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9F2" w14:textId="3AEA7CCA" w:rsidR="0055718B" w:rsidRPr="003A5336" w:rsidRDefault="00B811E0" w:rsidP="006E7982">
      <w:pPr>
        <w:spacing w:after="0" w:line="360" w:lineRule="auto"/>
        <w:jc w:val="right"/>
        <w:rPr>
          <w:rFonts w:cs="Times New Roman"/>
          <w:i/>
          <w:color w:val="FF0000"/>
        </w:rPr>
      </w:pPr>
      <w:r w:rsidRPr="003A5336">
        <w:rPr>
          <w:rFonts w:cs="Times New Roman"/>
          <w:i/>
        </w:rPr>
        <w:t xml:space="preserve"> </w:t>
      </w:r>
      <w:r w:rsidR="0055718B" w:rsidRPr="003A5336">
        <w:rPr>
          <w:rFonts w:cs="Times New Roman"/>
          <w:i/>
          <w:color w:val="FF0000"/>
        </w:rPr>
        <w:t xml:space="preserve">Załącznik nr1 do Uchwały nr </w:t>
      </w:r>
      <w:r w:rsidR="00222B74" w:rsidRPr="003A5336">
        <w:rPr>
          <w:rFonts w:cs="Times New Roman"/>
          <w:i/>
          <w:color w:val="FF0000"/>
        </w:rPr>
        <w:t xml:space="preserve">… </w:t>
      </w:r>
      <w:r w:rsidR="0055718B" w:rsidRPr="003A5336">
        <w:rPr>
          <w:rFonts w:cs="Times New Roman"/>
          <w:i/>
          <w:color w:val="FF0000"/>
        </w:rPr>
        <w:t>/W/201</w:t>
      </w:r>
      <w:r w:rsidR="00222B74" w:rsidRPr="003A5336">
        <w:rPr>
          <w:rFonts w:cs="Times New Roman"/>
          <w:i/>
          <w:color w:val="FF0000"/>
        </w:rPr>
        <w:t>6</w:t>
      </w:r>
      <w:r w:rsidR="0055718B" w:rsidRPr="003A5336">
        <w:rPr>
          <w:rFonts w:cs="Times New Roman"/>
          <w:i/>
          <w:color w:val="FF0000"/>
        </w:rPr>
        <w:t xml:space="preserve"> </w:t>
      </w:r>
      <w:r w:rsidR="0055718B" w:rsidRPr="003A5336">
        <w:rPr>
          <w:rFonts w:cs="Times New Roman"/>
          <w:i/>
          <w:color w:val="FF0000"/>
        </w:rPr>
        <w:br/>
        <w:t xml:space="preserve">z dnia </w:t>
      </w:r>
      <w:r w:rsidR="00222B74" w:rsidRPr="003A5336">
        <w:rPr>
          <w:rFonts w:cs="Times New Roman"/>
          <w:i/>
          <w:color w:val="FF0000"/>
        </w:rPr>
        <w:t xml:space="preserve">13 października 2016 r. </w:t>
      </w:r>
      <w:r w:rsidR="0055718B" w:rsidRPr="003A5336">
        <w:rPr>
          <w:rFonts w:cs="Times New Roman"/>
          <w:i/>
          <w:color w:val="FF0000"/>
        </w:rPr>
        <w:t>.</w:t>
      </w:r>
    </w:p>
    <w:p w14:paraId="20D60D07" w14:textId="77777777" w:rsidR="003F7C9E" w:rsidRPr="003A5336" w:rsidRDefault="008F2625" w:rsidP="006E7982">
      <w:pPr>
        <w:spacing w:after="0" w:line="360" w:lineRule="auto"/>
        <w:jc w:val="center"/>
        <w:rPr>
          <w:rFonts w:cs="Times New Roman"/>
          <w:b/>
        </w:rPr>
      </w:pPr>
      <w:r w:rsidRPr="003A5336">
        <w:rPr>
          <w:rFonts w:cs="Times New Roman"/>
          <w:b/>
        </w:rPr>
        <w:t>Procedura oceny wyboru operacji</w:t>
      </w:r>
      <w:r w:rsidR="003F7C9E" w:rsidRPr="003A5336">
        <w:rPr>
          <w:rFonts w:cs="Times New Roman"/>
          <w:b/>
        </w:rPr>
        <w:t xml:space="preserve"> Bialskopodlaskiej Lokalnej Grupy Działania </w:t>
      </w:r>
      <w:r w:rsidR="003F7C9E" w:rsidRPr="003A5336">
        <w:rPr>
          <w:rFonts w:cs="Times New Roman"/>
          <w:b/>
        </w:rPr>
        <w:br/>
        <w:t>w ramach p</w:t>
      </w:r>
      <w:r w:rsidR="00805EBB" w:rsidRPr="003A5336">
        <w:rPr>
          <w:rFonts w:cs="Times New Roman"/>
          <w:b/>
        </w:rPr>
        <w:t>o</w:t>
      </w:r>
      <w:r w:rsidR="003F7C9E" w:rsidRPr="003A5336">
        <w:rPr>
          <w:rFonts w:cs="Times New Roman"/>
          <w:b/>
        </w:rPr>
        <w:t>ddziałania „Wsparcie na wdrażanie operacji w ramach strategii rozwoju lokalnego kierowanego przez społeczność” objętego PROW 2014-2020</w:t>
      </w:r>
    </w:p>
    <w:p w14:paraId="4EBE7D4A" w14:textId="77777777" w:rsidR="003F7C9E" w:rsidRPr="003A5336" w:rsidRDefault="003F7C9E" w:rsidP="006E7982">
      <w:pPr>
        <w:spacing w:after="0" w:line="360" w:lineRule="auto"/>
        <w:jc w:val="center"/>
        <w:rPr>
          <w:rFonts w:cs="Times New Roman"/>
          <w:b/>
        </w:rPr>
      </w:pPr>
    </w:p>
    <w:p w14:paraId="7CD95F1D" w14:textId="77777777" w:rsidR="003F7C9E" w:rsidRPr="003A5336" w:rsidRDefault="003F7C9E" w:rsidP="006E7982">
      <w:pPr>
        <w:spacing w:after="0" w:line="360" w:lineRule="auto"/>
        <w:jc w:val="center"/>
        <w:rPr>
          <w:rFonts w:cs="Times New Roman"/>
          <w:b/>
        </w:rPr>
      </w:pPr>
      <w:r w:rsidRPr="003A5336">
        <w:rPr>
          <w:rFonts w:cs="Times New Roman"/>
          <w:b/>
        </w:rPr>
        <w:t>§1</w:t>
      </w:r>
    </w:p>
    <w:p w14:paraId="3A22D691" w14:textId="77777777" w:rsidR="00805EBB" w:rsidRPr="003A5336" w:rsidRDefault="008F2625" w:rsidP="006E7982">
      <w:pPr>
        <w:widowControl w:val="0"/>
        <w:spacing w:before="120" w:after="0" w:line="360" w:lineRule="auto"/>
        <w:jc w:val="center"/>
        <w:rPr>
          <w:rFonts w:eastAsia="Calibri" w:cs="Times New Roman"/>
          <w:b/>
        </w:rPr>
      </w:pPr>
      <w:r w:rsidRPr="003A5336">
        <w:rPr>
          <w:rFonts w:eastAsia="Calibri" w:cs="Times New Roman"/>
          <w:b/>
        </w:rPr>
        <w:t>Zasady przeprowadzania oceny zgodności operacji z LSR, w tym z Programem oraz wyboru operacji do finansowania.</w:t>
      </w:r>
    </w:p>
    <w:p w14:paraId="658E5C67" w14:textId="77777777" w:rsidR="008F2625" w:rsidRPr="003A5336" w:rsidRDefault="008F2625" w:rsidP="006E7982">
      <w:pPr>
        <w:pStyle w:val="Akapitzlist"/>
        <w:widowControl w:val="0"/>
        <w:numPr>
          <w:ilvl w:val="0"/>
          <w:numId w:val="5"/>
        </w:numPr>
        <w:spacing w:before="120" w:after="0" w:line="360" w:lineRule="auto"/>
        <w:ind w:left="426"/>
        <w:rPr>
          <w:rFonts w:eastAsia="Calibri" w:cs="Times New Roman"/>
        </w:rPr>
      </w:pPr>
      <w:r w:rsidRPr="003A5336">
        <w:rPr>
          <w:rFonts w:eastAsia="Calibri" w:cs="Times New Roman"/>
        </w:rPr>
        <w:t>Przez operację zgodną z LSR rozumie się operację, która</w:t>
      </w:r>
      <w:r w:rsidR="00020776" w:rsidRPr="003A5336">
        <w:rPr>
          <w:rFonts w:eastAsia="Calibri" w:cs="Times New Roman"/>
        </w:rPr>
        <w:t>:</w:t>
      </w:r>
      <w:r w:rsidRPr="003A5336">
        <w:rPr>
          <w:rFonts w:eastAsia="Calibri" w:cs="Times New Roman"/>
        </w:rPr>
        <w:t xml:space="preserve"> </w:t>
      </w:r>
    </w:p>
    <w:p w14:paraId="217BD28E" w14:textId="77777777" w:rsidR="00020776" w:rsidRPr="003A5336" w:rsidRDefault="00020776" w:rsidP="006E7982">
      <w:pPr>
        <w:pStyle w:val="Akapitzlist"/>
        <w:numPr>
          <w:ilvl w:val="0"/>
          <w:numId w:val="6"/>
        </w:numPr>
        <w:autoSpaceDE w:val="0"/>
        <w:autoSpaceDN w:val="0"/>
        <w:adjustRightInd w:val="0"/>
        <w:spacing w:after="0" w:line="360" w:lineRule="auto"/>
        <w:jc w:val="both"/>
        <w:rPr>
          <w:rFonts w:cs="Times New Roman"/>
        </w:rPr>
      </w:pPr>
      <w:r w:rsidRPr="003A5336">
        <w:rPr>
          <w:rFonts w:cs="Times New Roman"/>
        </w:rPr>
        <w:t xml:space="preserve">zakłada realizację celów głównych i szczegółowych LSR, przez osiąganie zaplanowanych </w:t>
      </w:r>
      <w:r w:rsidR="003F7C9E" w:rsidRPr="003A5336">
        <w:rPr>
          <w:rFonts w:cs="Times New Roman"/>
        </w:rPr>
        <w:br/>
      </w:r>
      <w:r w:rsidR="00805EBB" w:rsidRPr="003A5336">
        <w:rPr>
          <w:rFonts w:cs="Times New Roman"/>
        </w:rPr>
        <w:t>w</w:t>
      </w:r>
      <w:r w:rsidRPr="003A5336">
        <w:rPr>
          <w:rFonts w:cs="Times New Roman"/>
        </w:rPr>
        <w:t xml:space="preserve"> LSR wskaźników;</w:t>
      </w:r>
    </w:p>
    <w:p w14:paraId="26496415" w14:textId="77777777" w:rsidR="00020776" w:rsidRPr="003A5336" w:rsidRDefault="00020776" w:rsidP="006E7982">
      <w:pPr>
        <w:pStyle w:val="Akapitzlist"/>
        <w:numPr>
          <w:ilvl w:val="0"/>
          <w:numId w:val="6"/>
        </w:numPr>
        <w:tabs>
          <w:tab w:val="left" w:pos="284"/>
        </w:tabs>
        <w:spacing w:after="0" w:line="360" w:lineRule="auto"/>
        <w:jc w:val="both"/>
        <w:rPr>
          <w:rFonts w:eastAsia="Calibri" w:cs="Times New Roman"/>
        </w:rPr>
      </w:pPr>
      <w:r w:rsidRPr="003A5336">
        <w:rPr>
          <w:rFonts w:cs="Times New Roman"/>
        </w:rPr>
        <w:t>jest zgodna z programem, w ramach którego jest planowana realizacja tej operacji.</w:t>
      </w:r>
    </w:p>
    <w:p w14:paraId="689152F1" w14:textId="77777777" w:rsidR="008F2625" w:rsidRPr="003A5336" w:rsidRDefault="008F2625" w:rsidP="006E7982">
      <w:pPr>
        <w:pStyle w:val="Akapitzlist"/>
        <w:numPr>
          <w:ilvl w:val="0"/>
          <w:numId w:val="5"/>
        </w:numPr>
        <w:tabs>
          <w:tab w:val="left" w:pos="567"/>
        </w:tabs>
        <w:spacing w:after="0" w:line="360" w:lineRule="auto"/>
        <w:ind w:left="426"/>
        <w:jc w:val="both"/>
        <w:rPr>
          <w:rFonts w:eastAsia="Calibri" w:cs="Times New Roman"/>
        </w:rPr>
      </w:pPr>
      <w:r w:rsidRPr="003A5336">
        <w:rPr>
          <w:rFonts w:eastAsia="Calibri" w:cs="Times New Roman"/>
        </w:rPr>
        <w:t>Przed przystąpieniem do oceny zgodności z LSR</w:t>
      </w:r>
      <w:r w:rsidR="00717955" w:rsidRPr="003A5336">
        <w:rPr>
          <w:rFonts w:eastAsia="Calibri" w:cs="Times New Roman"/>
        </w:rPr>
        <w:t xml:space="preserve"> BLGD dokonuje</w:t>
      </w:r>
      <w:r w:rsidRPr="003A5336">
        <w:rPr>
          <w:rFonts w:eastAsia="Calibri" w:cs="Times New Roman"/>
        </w:rPr>
        <w:t xml:space="preserve"> wstępnej oceny wniosków </w:t>
      </w:r>
      <w:r w:rsidR="009D3B1B" w:rsidRPr="003A5336">
        <w:rPr>
          <w:rFonts w:eastAsia="Calibri" w:cs="Times New Roman"/>
        </w:rPr>
        <w:br/>
      </w:r>
      <w:r w:rsidRPr="003A5336">
        <w:rPr>
          <w:rFonts w:eastAsia="Calibri" w:cs="Times New Roman"/>
        </w:rPr>
        <w:t>w zakresie:</w:t>
      </w:r>
    </w:p>
    <w:p w14:paraId="2A27D52C" w14:textId="3E1BE5CE" w:rsidR="008F2625" w:rsidRPr="003A5336" w:rsidRDefault="008F2625" w:rsidP="006E7982">
      <w:pPr>
        <w:pStyle w:val="Akapitzlist"/>
        <w:numPr>
          <w:ilvl w:val="0"/>
          <w:numId w:val="7"/>
        </w:numPr>
        <w:tabs>
          <w:tab w:val="left" w:pos="0"/>
        </w:tabs>
        <w:spacing w:after="0" w:line="360" w:lineRule="auto"/>
        <w:jc w:val="both"/>
        <w:rPr>
          <w:rFonts w:eastAsia="Calibri" w:cs="Times New Roman"/>
        </w:rPr>
      </w:pPr>
      <w:r w:rsidRPr="003A5336">
        <w:rPr>
          <w:rFonts w:eastAsia="Calibri" w:cs="Times New Roman"/>
        </w:rPr>
        <w:t xml:space="preserve">złożenia wniosku </w:t>
      </w:r>
      <w:r w:rsidR="00F966CF" w:rsidRPr="003A5336">
        <w:rPr>
          <w:rFonts w:eastAsia="Calibri" w:cs="Times New Roman"/>
          <w:color w:val="FF0000"/>
        </w:rPr>
        <w:t xml:space="preserve">o przyznanie pomocy </w:t>
      </w:r>
      <w:r w:rsidRPr="003A5336">
        <w:rPr>
          <w:rFonts w:eastAsia="Calibri" w:cs="Times New Roman"/>
        </w:rPr>
        <w:t xml:space="preserve">w miejscu i terminie wskazanym w ogłoszeniu </w:t>
      </w:r>
      <w:r w:rsidR="006E7982">
        <w:rPr>
          <w:rFonts w:eastAsia="Calibri" w:cs="Times New Roman"/>
        </w:rPr>
        <w:br/>
      </w:r>
      <w:r w:rsidRPr="003A5336">
        <w:rPr>
          <w:rFonts w:eastAsia="Calibri" w:cs="Times New Roman"/>
        </w:rPr>
        <w:t>o naborze</w:t>
      </w:r>
      <w:r w:rsidR="00F966CF" w:rsidRPr="003A5336">
        <w:rPr>
          <w:rFonts w:eastAsia="Calibri" w:cs="Times New Roman"/>
        </w:rPr>
        <w:t xml:space="preserve"> </w:t>
      </w:r>
      <w:r w:rsidR="00F966CF" w:rsidRPr="003A5336">
        <w:rPr>
          <w:rFonts w:eastAsia="Calibri" w:cs="Times New Roman"/>
          <w:color w:val="FF0000"/>
        </w:rPr>
        <w:t>wniosków o przyznanie pomocy</w:t>
      </w:r>
      <w:r w:rsidRPr="003A5336">
        <w:rPr>
          <w:rFonts w:eastAsia="Calibri" w:cs="Times New Roman"/>
        </w:rPr>
        <w:t>,</w:t>
      </w:r>
    </w:p>
    <w:p w14:paraId="5529C8DB" w14:textId="77777777" w:rsidR="008F2625" w:rsidRPr="003A5336" w:rsidRDefault="008F2625" w:rsidP="006E7982">
      <w:pPr>
        <w:pStyle w:val="Akapitzlist"/>
        <w:numPr>
          <w:ilvl w:val="0"/>
          <w:numId w:val="7"/>
        </w:numPr>
        <w:tabs>
          <w:tab w:val="left" w:pos="0"/>
        </w:tabs>
        <w:spacing w:after="0" w:line="360" w:lineRule="auto"/>
        <w:jc w:val="both"/>
        <w:rPr>
          <w:rFonts w:eastAsia="Calibri" w:cs="Times New Roman"/>
        </w:rPr>
      </w:pPr>
      <w:r w:rsidRPr="003A5336">
        <w:rPr>
          <w:rFonts w:eastAsia="Calibri" w:cs="Times New Roman"/>
        </w:rPr>
        <w:t>zgodności operacji z zakresem tematycznym, który został wskazany w ogłoszeniu o naborze</w:t>
      </w:r>
      <w:r w:rsidR="00F966CF" w:rsidRPr="003A5336">
        <w:rPr>
          <w:rFonts w:eastAsia="Calibri" w:cs="Times New Roman"/>
        </w:rPr>
        <w:t xml:space="preserve"> </w:t>
      </w:r>
      <w:r w:rsidR="00F966CF" w:rsidRPr="003A5336">
        <w:rPr>
          <w:rFonts w:eastAsia="Calibri" w:cs="Times New Roman"/>
          <w:color w:val="FF0000"/>
        </w:rPr>
        <w:t>wniosków o przyznanie pomocy</w:t>
      </w:r>
      <w:r w:rsidRPr="003A5336">
        <w:rPr>
          <w:rFonts w:eastAsia="Calibri" w:cs="Times New Roman"/>
        </w:rPr>
        <w:t>,</w:t>
      </w:r>
    </w:p>
    <w:p w14:paraId="3F0B6B86" w14:textId="77777777" w:rsidR="00F966CF" w:rsidRPr="003A5336" w:rsidRDefault="00F966CF" w:rsidP="006E7982">
      <w:pPr>
        <w:pStyle w:val="Akapitzlist"/>
        <w:numPr>
          <w:ilvl w:val="0"/>
          <w:numId w:val="7"/>
        </w:numPr>
        <w:tabs>
          <w:tab w:val="left" w:pos="0"/>
        </w:tabs>
        <w:spacing w:after="0" w:line="360" w:lineRule="auto"/>
        <w:jc w:val="both"/>
        <w:rPr>
          <w:rFonts w:eastAsia="Calibri" w:cs="Times New Roman"/>
          <w:color w:val="FF0000"/>
        </w:rPr>
      </w:pPr>
      <w:r w:rsidRPr="003A5336">
        <w:rPr>
          <w:rFonts w:eastAsia="Calibri" w:cs="Times New Roman"/>
          <w:color w:val="FF0000"/>
        </w:rPr>
        <w:t>realizacji przez operację celów głównych i szczegółowych LSR, przez osiąganie zaplanowanych w LSR wskaźników,</w:t>
      </w:r>
    </w:p>
    <w:p w14:paraId="3428D816" w14:textId="77777777" w:rsidR="00F966CF" w:rsidRPr="003A5336" w:rsidRDefault="00F966CF" w:rsidP="006E7982">
      <w:pPr>
        <w:pStyle w:val="Akapitzlist"/>
        <w:numPr>
          <w:ilvl w:val="0"/>
          <w:numId w:val="7"/>
        </w:numPr>
        <w:tabs>
          <w:tab w:val="left" w:pos="0"/>
        </w:tabs>
        <w:spacing w:after="0" w:line="360" w:lineRule="auto"/>
        <w:jc w:val="both"/>
        <w:rPr>
          <w:rFonts w:eastAsia="Calibri" w:cs="Times New Roman"/>
          <w:color w:val="FF0000"/>
        </w:rPr>
      </w:pPr>
      <w:r w:rsidRPr="003A5336">
        <w:rPr>
          <w:rFonts w:eastAsia="Calibri" w:cs="Times New Roman"/>
          <w:color w:val="FF0000"/>
        </w:rPr>
        <w:t xml:space="preserve">zgodności operacji z Programem, w ramach którego planowana jest realizacja tej operacji, </w:t>
      </w:r>
      <w:r w:rsidRPr="003A5336">
        <w:rPr>
          <w:rFonts w:eastAsia="Calibri" w:cs="Times New Roman"/>
          <w:color w:val="FF0000"/>
        </w:rPr>
        <w:br/>
        <w:t>w tym:</w:t>
      </w:r>
    </w:p>
    <w:p w14:paraId="1DF686C1" w14:textId="77777777" w:rsidR="00F966CF" w:rsidRPr="003A5336" w:rsidRDefault="00F966CF" w:rsidP="006E7982">
      <w:pPr>
        <w:pStyle w:val="Akapitzlist"/>
        <w:tabs>
          <w:tab w:val="left" w:pos="0"/>
        </w:tabs>
        <w:spacing w:after="0" w:line="360" w:lineRule="auto"/>
        <w:jc w:val="both"/>
        <w:rPr>
          <w:rFonts w:eastAsia="Calibri" w:cs="Times New Roman"/>
          <w:color w:val="FF0000"/>
        </w:rPr>
      </w:pPr>
      <w:r w:rsidRPr="003A5336">
        <w:rPr>
          <w:rFonts w:eastAsia="Calibri" w:cs="Times New Roman"/>
          <w:color w:val="FF0000"/>
        </w:rPr>
        <w:t xml:space="preserve">- zgodności z formą wsparcia wskazana w ogłoszeniu naboru wniosków o przyznanie pomocy </w:t>
      </w:r>
      <w:r w:rsidRPr="003A5336">
        <w:rPr>
          <w:rFonts w:eastAsia="Calibri" w:cs="Times New Roman"/>
          <w:color w:val="FF0000"/>
        </w:rPr>
        <w:br/>
        <w:t>(refundacja albo ryczałt - premia),</w:t>
      </w:r>
    </w:p>
    <w:p w14:paraId="159C6DE3" w14:textId="77777777" w:rsidR="00F966CF" w:rsidRPr="003A5336" w:rsidRDefault="00F966CF" w:rsidP="006E7982">
      <w:pPr>
        <w:pStyle w:val="Akapitzlist"/>
        <w:tabs>
          <w:tab w:val="left" w:pos="0"/>
        </w:tabs>
        <w:spacing w:after="0" w:line="360" w:lineRule="auto"/>
        <w:jc w:val="both"/>
        <w:rPr>
          <w:rFonts w:eastAsia="Calibri" w:cs="Times New Roman"/>
          <w:color w:val="FF0000"/>
        </w:rPr>
      </w:pPr>
      <w:r w:rsidRPr="003A5336">
        <w:rPr>
          <w:rFonts w:eastAsia="Calibri" w:cs="Times New Roman"/>
          <w:color w:val="FF0000"/>
        </w:rPr>
        <w:t>- zgodności z warunkami udzielenia wsparcia obowiązującymi w ramach naboru.</w:t>
      </w:r>
    </w:p>
    <w:p w14:paraId="2D3053CA" w14:textId="77777777" w:rsidR="008F2625" w:rsidRPr="003A5336" w:rsidRDefault="008F2625" w:rsidP="006E7982">
      <w:pPr>
        <w:pStyle w:val="Akapitzlist"/>
        <w:numPr>
          <w:ilvl w:val="0"/>
          <w:numId w:val="7"/>
        </w:numPr>
        <w:tabs>
          <w:tab w:val="left" w:pos="0"/>
        </w:tabs>
        <w:spacing w:after="0" w:line="360" w:lineRule="auto"/>
        <w:jc w:val="both"/>
        <w:rPr>
          <w:rFonts w:eastAsia="Calibri" w:cs="Times New Roman"/>
          <w:strike/>
        </w:rPr>
      </w:pPr>
      <w:r w:rsidRPr="003A5336">
        <w:rPr>
          <w:rFonts w:eastAsia="Calibri" w:cs="Times New Roman"/>
          <w:strike/>
        </w:rPr>
        <w:t>zgodności operacji z formą wsparcia wskazaną w ogłoszeniu o naborze,</w:t>
      </w:r>
    </w:p>
    <w:p w14:paraId="320B3A4F" w14:textId="77777777" w:rsidR="008F2625" w:rsidRPr="003A5336" w:rsidRDefault="008F2625" w:rsidP="006E7982">
      <w:pPr>
        <w:pStyle w:val="Akapitzlist"/>
        <w:numPr>
          <w:ilvl w:val="0"/>
          <w:numId w:val="7"/>
        </w:numPr>
        <w:tabs>
          <w:tab w:val="left" w:pos="0"/>
        </w:tabs>
        <w:spacing w:after="0" w:line="360" w:lineRule="auto"/>
        <w:jc w:val="both"/>
        <w:rPr>
          <w:rFonts w:eastAsia="Calibri" w:cs="Times New Roman"/>
          <w:strike/>
        </w:rPr>
      </w:pPr>
      <w:r w:rsidRPr="003A5336">
        <w:rPr>
          <w:rFonts w:eastAsia="Calibri" w:cs="Times New Roman"/>
          <w:strike/>
        </w:rPr>
        <w:t>spełniania dodatkowych warunków udzielenia wsparcia obowiązujących w ramach naboru.</w:t>
      </w:r>
    </w:p>
    <w:p w14:paraId="73C8BEF0" w14:textId="77777777" w:rsidR="008F2625" w:rsidRPr="003A5336" w:rsidRDefault="008F2625" w:rsidP="006E7982">
      <w:pPr>
        <w:pStyle w:val="Akapitzlist"/>
        <w:numPr>
          <w:ilvl w:val="0"/>
          <w:numId w:val="5"/>
        </w:numPr>
        <w:spacing w:after="0" w:line="360" w:lineRule="auto"/>
        <w:ind w:left="426"/>
        <w:jc w:val="both"/>
        <w:rPr>
          <w:rFonts w:eastAsia="Calibri" w:cs="Times New Roman"/>
        </w:rPr>
      </w:pPr>
      <w:r w:rsidRPr="003A5336">
        <w:rPr>
          <w:rFonts w:eastAsia="Calibri" w:cs="Times New Roman"/>
        </w:rPr>
        <w:t xml:space="preserve">Operacje, które nie spełniają ww. warunków nie podlegają ocenie zgodności z LSR i wyborowi. Decyzja w tej sprawie musi zostać podjęta przez </w:t>
      </w:r>
      <w:r w:rsidR="002F07E1" w:rsidRPr="003A5336">
        <w:rPr>
          <w:rFonts w:eastAsia="Calibri" w:cs="Times New Roman"/>
        </w:rPr>
        <w:t>B</w:t>
      </w:r>
      <w:r w:rsidRPr="003A5336">
        <w:rPr>
          <w:rFonts w:eastAsia="Calibri" w:cs="Times New Roman"/>
        </w:rPr>
        <w:t xml:space="preserve">LGD z zachowaniem śladu rewizyjnego. Obowiązek oceny w tym zakresie </w:t>
      </w:r>
      <w:r w:rsidR="002F07E1" w:rsidRPr="003A5336">
        <w:rPr>
          <w:rFonts w:eastAsia="Calibri" w:cs="Times New Roman"/>
        </w:rPr>
        <w:t xml:space="preserve">został </w:t>
      </w:r>
      <w:r w:rsidRPr="003A5336">
        <w:rPr>
          <w:rFonts w:eastAsia="Calibri" w:cs="Times New Roman"/>
        </w:rPr>
        <w:t>uwzględni</w:t>
      </w:r>
      <w:r w:rsidR="002F07E1" w:rsidRPr="003A5336">
        <w:rPr>
          <w:rFonts w:eastAsia="Calibri" w:cs="Times New Roman"/>
        </w:rPr>
        <w:t>ony</w:t>
      </w:r>
      <w:r w:rsidRPr="003A5336">
        <w:rPr>
          <w:rFonts w:eastAsia="Calibri" w:cs="Times New Roman"/>
        </w:rPr>
        <w:t xml:space="preserve"> w procedurach </w:t>
      </w:r>
      <w:r w:rsidR="002F07E1" w:rsidRPr="003A5336">
        <w:rPr>
          <w:rFonts w:eastAsia="Calibri" w:cs="Times New Roman"/>
        </w:rPr>
        <w:t>B</w:t>
      </w:r>
      <w:r w:rsidRPr="003A5336">
        <w:rPr>
          <w:rFonts w:eastAsia="Calibri" w:cs="Times New Roman"/>
        </w:rPr>
        <w:t>LGD.</w:t>
      </w:r>
    </w:p>
    <w:p w14:paraId="77520002" w14:textId="77777777" w:rsidR="008F2625" w:rsidRPr="003A5336" w:rsidRDefault="009D3B1B" w:rsidP="006E7982">
      <w:pPr>
        <w:pStyle w:val="Akapitzlist"/>
        <w:numPr>
          <w:ilvl w:val="0"/>
          <w:numId w:val="5"/>
        </w:numPr>
        <w:spacing w:after="0" w:line="360" w:lineRule="auto"/>
        <w:ind w:left="426"/>
        <w:jc w:val="both"/>
        <w:rPr>
          <w:rFonts w:eastAsia="Calibri" w:cs="Times New Roman"/>
        </w:rPr>
      </w:pPr>
      <w:r w:rsidRPr="003A5336">
        <w:rPr>
          <w:rFonts w:eastAsia="Calibri" w:cs="Times New Roman"/>
        </w:rPr>
        <w:t xml:space="preserve">Rada </w:t>
      </w:r>
      <w:r w:rsidR="00805EBB" w:rsidRPr="003A5336">
        <w:rPr>
          <w:rFonts w:eastAsia="Calibri" w:cs="Times New Roman"/>
        </w:rPr>
        <w:t>B</w:t>
      </w:r>
      <w:r w:rsidR="008F2625" w:rsidRPr="003A5336">
        <w:rPr>
          <w:rFonts w:eastAsia="Calibri" w:cs="Times New Roman"/>
        </w:rPr>
        <w:t xml:space="preserve">LGD weryfikuje zgodność operacji z Programem </w:t>
      </w:r>
      <w:r w:rsidR="00805EBB" w:rsidRPr="003A5336">
        <w:rPr>
          <w:rFonts w:eastAsia="Calibri" w:cs="Times New Roman"/>
        </w:rPr>
        <w:t xml:space="preserve">zgodnie z procedurą określoną </w:t>
      </w:r>
      <w:r w:rsidR="00772605" w:rsidRPr="003A5336">
        <w:rPr>
          <w:rFonts w:eastAsia="Calibri" w:cs="Times New Roman"/>
        </w:rPr>
        <w:br/>
      </w:r>
      <w:r w:rsidR="00805EBB" w:rsidRPr="003A5336">
        <w:rPr>
          <w:rFonts w:eastAsia="Calibri" w:cs="Times New Roman"/>
        </w:rPr>
        <w:t xml:space="preserve">w </w:t>
      </w:r>
      <w:r w:rsidR="008F2625" w:rsidRPr="003A5336">
        <w:rPr>
          <w:rFonts w:eastAsia="Calibri" w:cs="Times New Roman"/>
        </w:rPr>
        <w:t xml:space="preserve">dokumentach towarzyszących do LSR oraz przy zastosowaniu karty weryfikacji, w ramach której konieczne jest uwzględnienie także punktów kontrolnych ujętych w </w:t>
      </w:r>
      <w:r w:rsidR="00F075EA" w:rsidRPr="003A5336">
        <w:rPr>
          <w:rFonts w:eastAsia="Calibri" w:cs="Times New Roman"/>
        </w:rPr>
        <w:t>z</w:t>
      </w:r>
      <w:r w:rsidR="008F2625" w:rsidRPr="003A5336">
        <w:rPr>
          <w:rFonts w:eastAsia="Calibri" w:cs="Times New Roman"/>
        </w:rPr>
        <w:t xml:space="preserve">ałączniku </w:t>
      </w:r>
      <w:r w:rsidR="00F075EA" w:rsidRPr="003A5336">
        <w:rPr>
          <w:rFonts w:eastAsia="Calibri" w:cs="Times New Roman"/>
        </w:rPr>
        <w:t>– „weryfikacja zgodności operacji z programem rozwoju obszarów wiejskich na lata 2014-2020</w:t>
      </w:r>
      <w:r w:rsidR="00805EBB" w:rsidRPr="003A5336">
        <w:rPr>
          <w:rFonts w:eastAsia="Calibri" w:cs="Times New Roman"/>
        </w:rPr>
        <w:t>”.</w:t>
      </w:r>
    </w:p>
    <w:p w14:paraId="1FD752A0" w14:textId="77777777" w:rsidR="00A562F6" w:rsidRPr="003A5336" w:rsidRDefault="00A562F6" w:rsidP="006E7982">
      <w:pPr>
        <w:spacing w:after="0" w:line="360" w:lineRule="auto"/>
        <w:jc w:val="center"/>
        <w:rPr>
          <w:rFonts w:cs="Times New Roman"/>
          <w:b/>
        </w:rPr>
      </w:pPr>
      <w:r w:rsidRPr="003A5336">
        <w:rPr>
          <w:rFonts w:cs="Times New Roman"/>
          <w:b/>
        </w:rPr>
        <w:lastRenderedPageBreak/>
        <w:t>§2</w:t>
      </w:r>
    </w:p>
    <w:p w14:paraId="22898E62" w14:textId="77777777" w:rsidR="00A562F6" w:rsidRPr="003A5336" w:rsidRDefault="00A562F6" w:rsidP="006E7982">
      <w:pPr>
        <w:spacing w:after="0" w:line="360" w:lineRule="auto"/>
        <w:jc w:val="center"/>
        <w:rPr>
          <w:rFonts w:cs="Times New Roman"/>
          <w:b/>
        </w:rPr>
      </w:pPr>
      <w:r w:rsidRPr="003A5336">
        <w:rPr>
          <w:rFonts w:cs="Times New Roman"/>
          <w:b/>
        </w:rPr>
        <w:t>Zasady wyboru operacji</w:t>
      </w:r>
    </w:p>
    <w:p w14:paraId="1227F94E" w14:textId="3BACC56F" w:rsidR="002F07E1" w:rsidRPr="003A5336" w:rsidRDefault="008425F6" w:rsidP="006E7982">
      <w:pPr>
        <w:pStyle w:val="Akapitzlist"/>
        <w:numPr>
          <w:ilvl w:val="0"/>
          <w:numId w:val="2"/>
        </w:numPr>
        <w:tabs>
          <w:tab w:val="left" w:pos="0"/>
        </w:tabs>
        <w:spacing w:after="0" w:line="360" w:lineRule="auto"/>
        <w:ind w:left="426"/>
        <w:jc w:val="both"/>
        <w:rPr>
          <w:rFonts w:eastAsia="Calibri" w:cs="Times New Roman"/>
          <w:strike/>
        </w:rPr>
      </w:pPr>
      <w:r w:rsidRPr="003A5336">
        <w:rPr>
          <w:rFonts w:eastAsia="Calibri" w:cs="Times New Roman"/>
        </w:rPr>
        <w:t xml:space="preserve">Rada dokonuje wyboru operacji, które: </w:t>
      </w:r>
      <w:r w:rsidR="008F2625" w:rsidRPr="003A5336">
        <w:rPr>
          <w:rFonts w:eastAsia="Calibri" w:cs="Times New Roman"/>
          <w:strike/>
        </w:rPr>
        <w:t>Wybór operacji jest dokonywany przez Radę</w:t>
      </w:r>
      <w:r w:rsidR="002F07E1" w:rsidRPr="003A5336">
        <w:rPr>
          <w:rFonts w:eastAsia="Calibri" w:cs="Times New Roman"/>
          <w:strike/>
        </w:rPr>
        <w:t xml:space="preserve"> BLGD</w:t>
      </w:r>
      <w:r w:rsidR="008F2625" w:rsidRPr="003A5336">
        <w:rPr>
          <w:rFonts w:eastAsia="Calibri" w:cs="Times New Roman"/>
          <w:strike/>
        </w:rPr>
        <w:t xml:space="preserve"> </w:t>
      </w:r>
      <w:r w:rsidR="00020776" w:rsidRPr="003A5336">
        <w:rPr>
          <w:rFonts w:eastAsia="Calibri" w:cs="Times New Roman"/>
          <w:strike/>
        </w:rPr>
        <w:t>w następujący sposób</w:t>
      </w:r>
      <w:r w:rsidR="00805EBB" w:rsidRPr="003A5336">
        <w:rPr>
          <w:rFonts w:eastAsia="Calibri" w:cs="Times New Roman"/>
          <w:strike/>
        </w:rPr>
        <w:t>: (w</w:t>
      </w:r>
      <w:r w:rsidR="002F07E1" w:rsidRPr="003A5336">
        <w:rPr>
          <w:rFonts w:eastAsia="Calibri" w:cs="Times New Roman"/>
          <w:strike/>
        </w:rPr>
        <w:t>ybór dokonyw</w:t>
      </w:r>
      <w:r w:rsidR="00805EBB" w:rsidRPr="003A5336">
        <w:rPr>
          <w:rFonts w:eastAsia="Calibri" w:cs="Times New Roman"/>
          <w:strike/>
        </w:rPr>
        <w:t>any jest spośród operacji które):</w:t>
      </w:r>
    </w:p>
    <w:p w14:paraId="2293E58D" w14:textId="73F2887A" w:rsidR="00485B5D" w:rsidRPr="003A5336" w:rsidRDefault="008425F6" w:rsidP="006E7982">
      <w:pPr>
        <w:pStyle w:val="Akapitzlist"/>
        <w:numPr>
          <w:ilvl w:val="0"/>
          <w:numId w:val="8"/>
        </w:numPr>
        <w:tabs>
          <w:tab w:val="left" w:pos="0"/>
        </w:tabs>
        <w:spacing w:after="0" w:line="360" w:lineRule="auto"/>
        <w:jc w:val="both"/>
        <w:rPr>
          <w:rFonts w:eastAsia="Calibri" w:cs="Times New Roman"/>
          <w:color w:val="FF0000"/>
        </w:rPr>
      </w:pPr>
      <w:r w:rsidRPr="003A5336">
        <w:rPr>
          <w:rFonts w:eastAsia="Calibri" w:cs="Times New Roman"/>
          <w:color w:val="FF0000"/>
        </w:rPr>
        <w:t xml:space="preserve">Zostały złożone </w:t>
      </w:r>
      <w:r w:rsidR="00485B5D" w:rsidRPr="003A5336">
        <w:rPr>
          <w:rFonts w:eastAsia="Calibri" w:cs="Times New Roman"/>
          <w:color w:val="FF0000"/>
        </w:rPr>
        <w:t xml:space="preserve"> w miejscu i terminie wskazanym w ogłoszeniu naboru wniosków o przyznanie pomocy,</w:t>
      </w:r>
    </w:p>
    <w:p w14:paraId="1EDA1F40" w14:textId="37653199" w:rsidR="00485B5D" w:rsidRPr="003A5336" w:rsidRDefault="008425F6" w:rsidP="006E7982">
      <w:pPr>
        <w:pStyle w:val="Akapitzlist"/>
        <w:numPr>
          <w:ilvl w:val="0"/>
          <w:numId w:val="8"/>
        </w:numPr>
        <w:tabs>
          <w:tab w:val="left" w:pos="0"/>
        </w:tabs>
        <w:spacing w:after="0" w:line="360" w:lineRule="auto"/>
        <w:jc w:val="both"/>
        <w:rPr>
          <w:rFonts w:eastAsia="Calibri" w:cs="Times New Roman"/>
          <w:color w:val="FF0000"/>
        </w:rPr>
      </w:pPr>
      <w:r w:rsidRPr="003A5336">
        <w:rPr>
          <w:rFonts w:eastAsia="Calibri" w:cs="Times New Roman"/>
          <w:color w:val="FF0000"/>
        </w:rPr>
        <w:t>Są zgodne</w:t>
      </w:r>
      <w:r w:rsidR="00485B5D" w:rsidRPr="003A5336">
        <w:rPr>
          <w:rFonts w:eastAsia="Calibri" w:cs="Times New Roman"/>
          <w:color w:val="FF0000"/>
        </w:rPr>
        <w:t xml:space="preserve"> z zakresem tematycznym, który został wskazany w ogłoszeniu o naborze wniosków o przyznanie pomocy,</w:t>
      </w:r>
    </w:p>
    <w:p w14:paraId="30EDA99A" w14:textId="4BD37355" w:rsidR="00F966CF" w:rsidRPr="003A5336" w:rsidRDefault="00100AE7" w:rsidP="006E7982">
      <w:pPr>
        <w:pStyle w:val="Akapitzlist"/>
        <w:numPr>
          <w:ilvl w:val="0"/>
          <w:numId w:val="8"/>
        </w:numPr>
        <w:tabs>
          <w:tab w:val="left" w:pos="0"/>
        </w:tabs>
        <w:spacing w:after="0" w:line="360" w:lineRule="auto"/>
        <w:jc w:val="both"/>
        <w:rPr>
          <w:rFonts w:eastAsia="Calibri" w:cs="Times New Roman"/>
          <w:color w:val="FF0000"/>
        </w:rPr>
      </w:pPr>
      <w:r w:rsidRPr="003A5336">
        <w:rPr>
          <w:rFonts w:eastAsia="Calibri" w:cs="Times New Roman"/>
          <w:color w:val="FF0000"/>
        </w:rPr>
        <w:t>realizują</w:t>
      </w:r>
      <w:r w:rsidR="00F966CF" w:rsidRPr="003A5336">
        <w:rPr>
          <w:rFonts w:eastAsia="Calibri" w:cs="Times New Roman"/>
          <w:color w:val="FF0000"/>
        </w:rPr>
        <w:t xml:space="preserve"> </w:t>
      </w:r>
      <w:r w:rsidRPr="003A5336">
        <w:rPr>
          <w:rFonts w:eastAsia="Calibri" w:cs="Times New Roman"/>
          <w:color w:val="FF0000"/>
        </w:rPr>
        <w:t>cele główne i szczegółowe</w:t>
      </w:r>
      <w:r w:rsidR="00F966CF" w:rsidRPr="003A5336">
        <w:rPr>
          <w:rFonts w:eastAsia="Calibri" w:cs="Times New Roman"/>
          <w:color w:val="FF0000"/>
        </w:rPr>
        <w:t xml:space="preserve"> LSR, przez osiąganie zaplanowanych w LSR wskaźników,</w:t>
      </w:r>
    </w:p>
    <w:p w14:paraId="28903A22" w14:textId="2D0535DF" w:rsidR="00F966CF" w:rsidRPr="003A5336" w:rsidRDefault="00100AE7" w:rsidP="006E7982">
      <w:pPr>
        <w:pStyle w:val="Akapitzlist"/>
        <w:numPr>
          <w:ilvl w:val="0"/>
          <w:numId w:val="8"/>
        </w:numPr>
        <w:tabs>
          <w:tab w:val="left" w:pos="0"/>
        </w:tabs>
        <w:spacing w:after="0" w:line="360" w:lineRule="auto"/>
        <w:jc w:val="both"/>
        <w:rPr>
          <w:rFonts w:eastAsia="Calibri" w:cs="Times New Roman"/>
          <w:color w:val="FF0000"/>
        </w:rPr>
      </w:pPr>
      <w:r w:rsidRPr="003A5336">
        <w:rPr>
          <w:rFonts w:eastAsia="Calibri" w:cs="Times New Roman"/>
          <w:color w:val="FF0000"/>
        </w:rPr>
        <w:t xml:space="preserve">są zgodne z </w:t>
      </w:r>
      <w:r w:rsidR="00F966CF" w:rsidRPr="003A5336">
        <w:rPr>
          <w:rFonts w:eastAsia="Calibri" w:cs="Times New Roman"/>
          <w:color w:val="FF0000"/>
        </w:rPr>
        <w:t xml:space="preserve">Programem, w ramach którego planowana jest realizacja tej operacji, </w:t>
      </w:r>
      <w:r w:rsidR="00F966CF" w:rsidRPr="003A5336">
        <w:rPr>
          <w:rFonts w:eastAsia="Calibri" w:cs="Times New Roman"/>
          <w:color w:val="FF0000"/>
        </w:rPr>
        <w:br/>
        <w:t>w tym:</w:t>
      </w:r>
    </w:p>
    <w:p w14:paraId="4013053D" w14:textId="03AE7175" w:rsidR="00F966CF" w:rsidRPr="003A5336" w:rsidRDefault="007F48C7" w:rsidP="006E7982">
      <w:pPr>
        <w:pStyle w:val="Akapitzlist"/>
        <w:tabs>
          <w:tab w:val="left" w:pos="0"/>
        </w:tabs>
        <w:spacing w:after="0" w:line="360" w:lineRule="auto"/>
        <w:jc w:val="both"/>
        <w:rPr>
          <w:rFonts w:eastAsia="Calibri" w:cs="Times New Roman"/>
          <w:color w:val="FF0000"/>
        </w:rPr>
      </w:pPr>
      <w:r w:rsidRPr="003A5336">
        <w:rPr>
          <w:rFonts w:eastAsia="Calibri" w:cs="Times New Roman"/>
          <w:color w:val="FF0000"/>
        </w:rPr>
        <w:t>- zgodne</w:t>
      </w:r>
      <w:r w:rsidR="00F966CF" w:rsidRPr="003A5336">
        <w:rPr>
          <w:rFonts w:eastAsia="Calibri" w:cs="Times New Roman"/>
          <w:color w:val="FF0000"/>
        </w:rPr>
        <w:t xml:space="preserve"> z formą wsparcia wskazana w ogłoszeniu naboru wniosków o przyznanie pomocy </w:t>
      </w:r>
      <w:r w:rsidR="00F966CF" w:rsidRPr="003A5336">
        <w:rPr>
          <w:rFonts w:eastAsia="Calibri" w:cs="Times New Roman"/>
          <w:color w:val="FF0000"/>
        </w:rPr>
        <w:br/>
        <w:t>(refundacja albo ryczałt - premia),</w:t>
      </w:r>
    </w:p>
    <w:p w14:paraId="4C43CED1" w14:textId="55AD6F7B" w:rsidR="00F966CF" w:rsidRPr="003A5336" w:rsidRDefault="007F48C7" w:rsidP="006E7982">
      <w:pPr>
        <w:pStyle w:val="Akapitzlist"/>
        <w:tabs>
          <w:tab w:val="left" w:pos="0"/>
        </w:tabs>
        <w:spacing w:after="0" w:line="360" w:lineRule="auto"/>
        <w:jc w:val="both"/>
        <w:rPr>
          <w:rFonts w:eastAsia="Calibri" w:cs="Times New Roman"/>
          <w:color w:val="FF0000"/>
        </w:rPr>
      </w:pPr>
      <w:r w:rsidRPr="003A5336">
        <w:rPr>
          <w:rFonts w:eastAsia="Calibri" w:cs="Times New Roman"/>
          <w:color w:val="FF0000"/>
        </w:rPr>
        <w:t>- zgodne</w:t>
      </w:r>
      <w:r w:rsidR="00F966CF" w:rsidRPr="003A5336">
        <w:rPr>
          <w:rFonts w:eastAsia="Calibri" w:cs="Times New Roman"/>
          <w:color w:val="FF0000"/>
        </w:rPr>
        <w:t xml:space="preserve"> z warunkami udzielenia wsparcia obowiązującymi w ramach naboru.</w:t>
      </w:r>
    </w:p>
    <w:p w14:paraId="6061FB65" w14:textId="77777777" w:rsidR="00020776" w:rsidRPr="003A5336" w:rsidRDefault="00020776" w:rsidP="006E7982">
      <w:pPr>
        <w:pStyle w:val="Akapitzlist"/>
        <w:numPr>
          <w:ilvl w:val="0"/>
          <w:numId w:val="8"/>
        </w:numPr>
        <w:tabs>
          <w:tab w:val="left" w:pos="284"/>
        </w:tabs>
        <w:spacing w:after="0" w:line="360" w:lineRule="auto"/>
        <w:jc w:val="both"/>
        <w:rPr>
          <w:rFonts w:cs="Times New Roman"/>
          <w:strike/>
        </w:rPr>
      </w:pPr>
      <w:r w:rsidRPr="003A5336">
        <w:rPr>
          <w:rFonts w:cs="Times New Roman"/>
          <w:strike/>
        </w:rPr>
        <w:t>są zgodne z LSR</w:t>
      </w:r>
      <w:r w:rsidR="00DA1B26" w:rsidRPr="003A5336">
        <w:rPr>
          <w:rFonts w:cs="Times New Roman"/>
          <w:strike/>
        </w:rPr>
        <w:t xml:space="preserve"> oraz programem</w:t>
      </w:r>
      <w:r w:rsidRPr="003A5336">
        <w:rPr>
          <w:rFonts w:cs="Times New Roman"/>
          <w:strike/>
        </w:rPr>
        <w:t>,</w:t>
      </w:r>
    </w:p>
    <w:p w14:paraId="29F638DF" w14:textId="77777777" w:rsidR="00020776" w:rsidRPr="003A5336" w:rsidRDefault="00020776" w:rsidP="006E7982">
      <w:pPr>
        <w:pStyle w:val="Akapitzlist"/>
        <w:numPr>
          <w:ilvl w:val="0"/>
          <w:numId w:val="8"/>
        </w:numPr>
        <w:tabs>
          <w:tab w:val="left" w:pos="284"/>
        </w:tabs>
        <w:spacing w:after="0" w:line="360" w:lineRule="auto"/>
        <w:jc w:val="both"/>
        <w:rPr>
          <w:rFonts w:eastAsia="Calibri" w:cs="Times New Roman"/>
          <w:strike/>
        </w:rPr>
      </w:pPr>
      <w:r w:rsidRPr="003A5336">
        <w:rPr>
          <w:rFonts w:cs="Times New Roman"/>
          <w:strike/>
        </w:rPr>
        <w:t xml:space="preserve">zostały złożone w miejscu i terminie wskazanym w ogłoszeniu o naborze wniosków </w:t>
      </w:r>
      <w:r w:rsidR="007308CB" w:rsidRPr="003A5336">
        <w:rPr>
          <w:rFonts w:cs="Times New Roman"/>
          <w:strike/>
        </w:rPr>
        <w:br/>
      </w:r>
      <w:r w:rsidRPr="003A5336">
        <w:rPr>
          <w:rFonts w:cs="Times New Roman"/>
          <w:strike/>
        </w:rPr>
        <w:t>o udzielenie wsparcia, na wdrażanie operacji w ramach LSR</w:t>
      </w:r>
    </w:p>
    <w:p w14:paraId="65F07B0E" w14:textId="77777777" w:rsidR="00020776" w:rsidRPr="003A5336" w:rsidRDefault="00020776" w:rsidP="006E7982">
      <w:pPr>
        <w:pStyle w:val="Akapitzlist"/>
        <w:numPr>
          <w:ilvl w:val="0"/>
          <w:numId w:val="8"/>
        </w:numPr>
        <w:tabs>
          <w:tab w:val="left" w:pos="284"/>
        </w:tabs>
        <w:spacing w:after="0" w:line="360" w:lineRule="auto"/>
        <w:jc w:val="both"/>
        <w:rPr>
          <w:rFonts w:eastAsia="Calibri" w:cs="Times New Roman"/>
          <w:strike/>
        </w:rPr>
      </w:pPr>
      <w:r w:rsidRPr="003A5336">
        <w:rPr>
          <w:rFonts w:cs="Times New Roman"/>
          <w:strike/>
        </w:rPr>
        <w:t xml:space="preserve">są </w:t>
      </w:r>
      <w:r w:rsidR="00805EBB" w:rsidRPr="003A5336">
        <w:rPr>
          <w:rFonts w:cs="Times New Roman"/>
          <w:strike/>
        </w:rPr>
        <w:t xml:space="preserve">zgodne z zakresem tematycznym, </w:t>
      </w:r>
      <w:r w:rsidRPr="003A5336">
        <w:rPr>
          <w:rFonts w:cs="Times New Roman"/>
          <w:strike/>
        </w:rPr>
        <w:t>który został wskazany w ogłoszeniu o naborze wniosków o udzielenie wsparcia, na wdrażanie operacji w ramach LSR</w:t>
      </w:r>
    </w:p>
    <w:p w14:paraId="55ADC331" w14:textId="77777777" w:rsidR="00020776" w:rsidRPr="003A5336" w:rsidRDefault="00020776" w:rsidP="006E7982">
      <w:pPr>
        <w:pStyle w:val="Akapitzlist"/>
        <w:numPr>
          <w:ilvl w:val="0"/>
          <w:numId w:val="8"/>
        </w:numPr>
        <w:tabs>
          <w:tab w:val="left" w:pos="284"/>
        </w:tabs>
        <w:spacing w:after="0" w:line="360" w:lineRule="auto"/>
        <w:jc w:val="both"/>
        <w:rPr>
          <w:rFonts w:eastAsia="Calibri" w:cs="Times New Roman"/>
        </w:rPr>
      </w:pPr>
      <w:r w:rsidRPr="003A5336">
        <w:rPr>
          <w:rFonts w:cs="Times New Roman"/>
        </w:rPr>
        <w:t>na podstawie kryteriów wyboru określonych w LSR.</w:t>
      </w:r>
    </w:p>
    <w:p w14:paraId="0626195A" w14:textId="77777777" w:rsidR="008F2625" w:rsidRPr="003A5336" w:rsidRDefault="009D4425" w:rsidP="006E7982">
      <w:pPr>
        <w:pStyle w:val="Akapitzlist"/>
        <w:numPr>
          <w:ilvl w:val="0"/>
          <w:numId w:val="9"/>
        </w:numPr>
        <w:autoSpaceDE w:val="0"/>
        <w:autoSpaceDN w:val="0"/>
        <w:adjustRightInd w:val="0"/>
        <w:spacing w:after="0" w:line="360" w:lineRule="auto"/>
        <w:ind w:left="426"/>
        <w:jc w:val="both"/>
        <w:rPr>
          <w:rFonts w:cs="Times New Roman"/>
        </w:rPr>
      </w:pPr>
      <w:r w:rsidRPr="003A5336">
        <w:rPr>
          <w:rFonts w:eastAsia="Calibri" w:cs="Times New Roman"/>
        </w:rPr>
        <w:t xml:space="preserve">Weryfikacji </w:t>
      </w:r>
      <w:r w:rsidR="008F2625" w:rsidRPr="003A5336">
        <w:rPr>
          <w:rFonts w:eastAsia="Calibri" w:cs="Times New Roman"/>
        </w:rPr>
        <w:t xml:space="preserve">zgodności operacji z LSR i Programem oraz wybór operacji </w:t>
      </w:r>
      <w:r w:rsidRPr="003A5336">
        <w:rPr>
          <w:rFonts w:eastAsia="Calibri" w:cs="Times New Roman"/>
        </w:rPr>
        <w:t>jest</w:t>
      </w:r>
      <w:r w:rsidR="008F2625" w:rsidRPr="003A5336">
        <w:rPr>
          <w:rFonts w:eastAsia="Calibri" w:cs="Times New Roman"/>
        </w:rPr>
        <w:t xml:space="preserve"> dokonany w terminie </w:t>
      </w:r>
      <w:r w:rsidR="00020776" w:rsidRPr="003A5336">
        <w:rPr>
          <w:rFonts w:cs="Times New Roman"/>
        </w:rPr>
        <w:t xml:space="preserve">45 dni od dnia następującego po ostatnim dniu terminu składania wniosków </w:t>
      </w:r>
      <w:r w:rsidR="007308CB" w:rsidRPr="003A5336">
        <w:rPr>
          <w:rFonts w:cs="Times New Roman"/>
        </w:rPr>
        <w:br/>
      </w:r>
      <w:r w:rsidR="00020776" w:rsidRPr="003A5336">
        <w:rPr>
          <w:rFonts w:cs="Times New Roman"/>
        </w:rPr>
        <w:t>o udzielenie</w:t>
      </w:r>
      <w:r w:rsidR="008F7CDD" w:rsidRPr="003A5336">
        <w:rPr>
          <w:rFonts w:cs="Times New Roman"/>
        </w:rPr>
        <w:t xml:space="preserve"> w</w:t>
      </w:r>
      <w:r w:rsidR="00020776" w:rsidRPr="003A5336">
        <w:rPr>
          <w:rFonts w:cs="Times New Roman"/>
        </w:rPr>
        <w:t xml:space="preserve">sparcia na </w:t>
      </w:r>
      <w:r w:rsidR="007308CB" w:rsidRPr="003A5336">
        <w:rPr>
          <w:rFonts w:cs="Times New Roman"/>
        </w:rPr>
        <w:t>wdrażanie operacji w ramach LSR.</w:t>
      </w:r>
      <w:r w:rsidR="00A562F6" w:rsidRPr="003A5336">
        <w:rPr>
          <w:rFonts w:cs="Times New Roman"/>
        </w:rPr>
        <w:t xml:space="preserve"> Rada </w:t>
      </w:r>
      <w:r w:rsidR="007308CB" w:rsidRPr="003A5336">
        <w:rPr>
          <w:rFonts w:cs="Times New Roman"/>
        </w:rPr>
        <w:t>B</w:t>
      </w:r>
      <w:r w:rsidR="00020776" w:rsidRPr="003A5336">
        <w:rPr>
          <w:rFonts w:cs="Times New Roman"/>
        </w:rPr>
        <w:t>LGD dokonuje oceny zgodności operacji z LSR, wybiera operacje oraz ustala kwotę wsparcia</w:t>
      </w:r>
      <w:r w:rsidR="008F7CDD" w:rsidRPr="003A5336">
        <w:rPr>
          <w:rFonts w:cs="Times New Roman"/>
        </w:rPr>
        <w:t>.</w:t>
      </w:r>
    </w:p>
    <w:p w14:paraId="7EA75068" w14:textId="77777777" w:rsidR="008F2625" w:rsidRPr="003A5336" w:rsidRDefault="008F2625" w:rsidP="006E7982">
      <w:pPr>
        <w:pStyle w:val="Akapitzlist"/>
        <w:numPr>
          <w:ilvl w:val="0"/>
          <w:numId w:val="10"/>
        </w:numPr>
        <w:autoSpaceDE w:val="0"/>
        <w:autoSpaceDN w:val="0"/>
        <w:adjustRightInd w:val="0"/>
        <w:spacing w:after="0" w:line="360" w:lineRule="auto"/>
        <w:ind w:left="426"/>
        <w:jc w:val="both"/>
        <w:rPr>
          <w:rFonts w:cs="Times New Roman"/>
        </w:rPr>
      </w:pPr>
      <w:r w:rsidRPr="003A5336">
        <w:rPr>
          <w:rFonts w:eastAsia="Calibri" w:cs="Times New Roman"/>
        </w:rPr>
        <w:t xml:space="preserve">Podczas dokonywania wyboru operacji </w:t>
      </w:r>
      <w:r w:rsidR="009D4425" w:rsidRPr="003A5336">
        <w:rPr>
          <w:rFonts w:eastAsia="Calibri" w:cs="Times New Roman"/>
        </w:rPr>
        <w:t>Rada BLGD</w:t>
      </w:r>
      <w:r w:rsidRPr="003A5336">
        <w:rPr>
          <w:rFonts w:eastAsia="Calibri" w:cs="Times New Roman"/>
        </w:rPr>
        <w:t>:</w:t>
      </w:r>
    </w:p>
    <w:p w14:paraId="73C4A741" w14:textId="77777777" w:rsidR="008F2625" w:rsidRPr="003A5336" w:rsidRDefault="009D4425" w:rsidP="006E7982">
      <w:pPr>
        <w:pStyle w:val="Akapitzlist"/>
        <w:widowControl w:val="0"/>
        <w:numPr>
          <w:ilvl w:val="0"/>
          <w:numId w:val="11"/>
        </w:numPr>
        <w:spacing w:after="0" w:line="360" w:lineRule="auto"/>
        <w:jc w:val="both"/>
        <w:rPr>
          <w:rFonts w:eastAsia="Calibri" w:cs="Times New Roman"/>
        </w:rPr>
      </w:pPr>
      <w:r w:rsidRPr="003A5336">
        <w:rPr>
          <w:rFonts w:eastAsia="Calibri" w:cs="Times New Roman"/>
        </w:rPr>
        <w:t>stosuje</w:t>
      </w:r>
      <w:r w:rsidR="008F2625" w:rsidRPr="003A5336">
        <w:rPr>
          <w:rFonts w:eastAsia="Calibri" w:cs="Times New Roman"/>
        </w:rPr>
        <w:t xml:space="preserve"> procedurę</w:t>
      </w:r>
      <w:r w:rsidR="00517CFC" w:rsidRPr="003A5336">
        <w:rPr>
          <w:rFonts w:eastAsia="Calibri" w:cs="Times New Roman"/>
        </w:rPr>
        <w:t xml:space="preserve"> </w:t>
      </w:r>
      <w:r w:rsidR="00517CFC" w:rsidRPr="003A5336">
        <w:rPr>
          <w:rFonts w:eastAsia="Calibri" w:cs="Times New Roman"/>
          <w:color w:val="FF0000"/>
        </w:rPr>
        <w:t>wyboru i oceny operacji w ramach LSR</w:t>
      </w:r>
      <w:r w:rsidR="008F2625" w:rsidRPr="003A5336">
        <w:rPr>
          <w:rFonts w:eastAsia="Calibri" w:cs="Times New Roman"/>
        </w:rPr>
        <w:t xml:space="preserve"> zapewniającą bezstronność członków Rady,</w:t>
      </w:r>
    </w:p>
    <w:p w14:paraId="5A516405" w14:textId="77777777" w:rsidR="007308CB" w:rsidRPr="003A5336" w:rsidRDefault="009D4425" w:rsidP="006E7982">
      <w:pPr>
        <w:pStyle w:val="Akapitzlist"/>
        <w:widowControl w:val="0"/>
        <w:numPr>
          <w:ilvl w:val="0"/>
          <w:numId w:val="11"/>
        </w:numPr>
        <w:spacing w:after="0" w:line="360" w:lineRule="auto"/>
        <w:jc w:val="both"/>
        <w:rPr>
          <w:rFonts w:eastAsia="Calibri" w:cs="Times New Roman"/>
        </w:rPr>
      </w:pPr>
      <w:r w:rsidRPr="003A5336">
        <w:rPr>
          <w:rFonts w:eastAsia="Calibri" w:cs="Times New Roman"/>
        </w:rPr>
        <w:t>dokonuje</w:t>
      </w:r>
      <w:r w:rsidR="008F2625" w:rsidRPr="003A5336">
        <w:rPr>
          <w:rFonts w:eastAsia="Calibri" w:cs="Times New Roman"/>
        </w:rPr>
        <w:t xml:space="preserve"> wyboru operacji w op</w:t>
      </w:r>
      <w:r w:rsidR="00805EBB" w:rsidRPr="003A5336">
        <w:rPr>
          <w:rFonts w:eastAsia="Calibri" w:cs="Times New Roman"/>
        </w:rPr>
        <w:t>arciu o kryteria wyboru</w:t>
      </w:r>
      <w:r w:rsidR="00517CFC" w:rsidRPr="003A5336">
        <w:rPr>
          <w:rFonts w:eastAsia="Calibri" w:cs="Times New Roman"/>
        </w:rPr>
        <w:t xml:space="preserve"> </w:t>
      </w:r>
      <w:r w:rsidR="00517CFC" w:rsidRPr="003A5336">
        <w:rPr>
          <w:rFonts w:eastAsia="Calibri" w:cs="Times New Roman"/>
          <w:color w:val="FF0000"/>
        </w:rPr>
        <w:t>operacji</w:t>
      </w:r>
      <w:r w:rsidR="008F2625" w:rsidRPr="003A5336">
        <w:rPr>
          <w:rFonts w:eastAsia="Calibri" w:cs="Times New Roman"/>
        </w:rPr>
        <w:t>,</w:t>
      </w:r>
    </w:p>
    <w:p w14:paraId="7F76F3F2" w14:textId="77777777" w:rsidR="008F7CDD" w:rsidRPr="003A5336" w:rsidRDefault="009D4425" w:rsidP="006E7982">
      <w:pPr>
        <w:pStyle w:val="Akapitzlist"/>
        <w:widowControl w:val="0"/>
        <w:numPr>
          <w:ilvl w:val="0"/>
          <w:numId w:val="11"/>
        </w:numPr>
        <w:spacing w:after="0" w:line="360" w:lineRule="auto"/>
        <w:jc w:val="both"/>
        <w:rPr>
          <w:rFonts w:eastAsia="Calibri" w:cs="Times New Roman"/>
        </w:rPr>
      </w:pPr>
      <w:r w:rsidRPr="003A5336">
        <w:rPr>
          <w:rFonts w:eastAsia="Calibri" w:cs="Times New Roman"/>
        </w:rPr>
        <w:t>zapewnia</w:t>
      </w:r>
      <w:r w:rsidR="008F2625" w:rsidRPr="003A5336">
        <w:rPr>
          <w:rFonts w:eastAsia="Calibri" w:cs="Times New Roman"/>
        </w:rPr>
        <w:t xml:space="preserve"> skład</w:t>
      </w:r>
      <w:r w:rsidR="007308CB" w:rsidRPr="003A5336">
        <w:rPr>
          <w:rFonts w:eastAsia="Calibri" w:cs="Times New Roman"/>
        </w:rPr>
        <w:t xml:space="preserve"> </w:t>
      </w:r>
      <w:r w:rsidR="008F2625" w:rsidRPr="003A5336">
        <w:rPr>
          <w:rFonts w:eastAsia="Calibri" w:cs="Times New Roman"/>
        </w:rPr>
        <w:t xml:space="preserve">Rady </w:t>
      </w:r>
      <w:r w:rsidR="007308CB" w:rsidRPr="003A5336">
        <w:rPr>
          <w:rFonts w:eastAsia="Calibri" w:cs="Times New Roman"/>
        </w:rPr>
        <w:t>do którego</w:t>
      </w:r>
      <w:r w:rsidR="007308CB" w:rsidRPr="003A5336">
        <w:rPr>
          <w:rFonts w:eastAsia="Calibri" w:cs="Times New Roman"/>
          <w:color w:val="FF0000"/>
        </w:rPr>
        <w:t xml:space="preserve"> </w:t>
      </w:r>
      <w:r w:rsidR="008F7CDD" w:rsidRPr="003A5336">
        <w:rPr>
          <w:rFonts w:eastAsia="Calibri" w:cs="Times New Roman"/>
        </w:rPr>
        <w:t xml:space="preserve">wchodzą przedstawiciele władz publicznych, lokalni partnerzy społeczni i gospodarczy oraz mieszkańcy, przy czym na poziomie podejmowania decyzji ani władze publiczne ani żadna z grup interesu nie </w:t>
      </w:r>
      <w:r w:rsidR="00DF0698" w:rsidRPr="003A5336">
        <w:rPr>
          <w:rFonts w:eastAsia="Calibri" w:cs="Times New Roman"/>
        </w:rPr>
        <w:t>będzie</w:t>
      </w:r>
      <w:r w:rsidR="00805EBB" w:rsidRPr="003A5336">
        <w:rPr>
          <w:rFonts w:eastAsia="Calibri" w:cs="Times New Roman"/>
        </w:rPr>
        <w:t xml:space="preserve"> </w:t>
      </w:r>
      <w:r w:rsidR="008F7CDD" w:rsidRPr="003A5336">
        <w:rPr>
          <w:rFonts w:eastAsia="Calibri" w:cs="Times New Roman"/>
        </w:rPr>
        <w:t>posiada</w:t>
      </w:r>
      <w:r w:rsidR="00805EBB" w:rsidRPr="003A5336">
        <w:rPr>
          <w:rFonts w:eastAsia="Calibri" w:cs="Times New Roman"/>
        </w:rPr>
        <w:t>ć więcej niż 49% głosów</w:t>
      </w:r>
      <w:r w:rsidR="008F7CDD" w:rsidRPr="003A5336">
        <w:rPr>
          <w:rFonts w:eastAsia="Calibri" w:cs="Times New Roman"/>
        </w:rPr>
        <w:t>.</w:t>
      </w:r>
    </w:p>
    <w:p w14:paraId="11798CD8" w14:textId="77777777" w:rsidR="005628F2" w:rsidRPr="003A5336" w:rsidRDefault="00517CFC" w:rsidP="006E7982">
      <w:pPr>
        <w:pStyle w:val="Akapitzlist"/>
        <w:widowControl w:val="0"/>
        <w:numPr>
          <w:ilvl w:val="0"/>
          <w:numId w:val="11"/>
        </w:numPr>
        <w:spacing w:after="0" w:line="360" w:lineRule="auto"/>
        <w:jc w:val="both"/>
        <w:rPr>
          <w:rFonts w:eastAsia="Times New Roman" w:cs="Times New Roman"/>
          <w:lang w:eastAsia="pl-PL"/>
        </w:rPr>
      </w:pPr>
      <w:r w:rsidRPr="003A5336">
        <w:rPr>
          <w:rFonts w:eastAsia="Calibri" w:cs="Times New Roman"/>
        </w:rPr>
        <w:t>z</w:t>
      </w:r>
      <w:r w:rsidR="00DF0698" w:rsidRPr="003A5336">
        <w:rPr>
          <w:rFonts w:eastAsia="Calibri" w:cs="Times New Roman"/>
        </w:rPr>
        <w:t xml:space="preserve">apewnia </w:t>
      </w:r>
      <w:r w:rsidR="008F2625" w:rsidRPr="003A5336">
        <w:rPr>
          <w:rFonts w:eastAsia="Calibri" w:cs="Times New Roman"/>
        </w:rPr>
        <w:t xml:space="preserve">zachowanie parytetu </w:t>
      </w:r>
      <w:r w:rsidR="00D246F7" w:rsidRPr="003A5336">
        <w:rPr>
          <w:rFonts w:eastAsia="Calibri" w:cs="Times New Roman"/>
        </w:rPr>
        <w:t xml:space="preserve">oraz </w:t>
      </w:r>
      <w:r w:rsidR="005628F2" w:rsidRPr="003A5336">
        <w:rPr>
          <w:rFonts w:eastAsia="Times New Roman" w:cs="Times New Roman"/>
          <w:lang w:eastAsia="pl-PL"/>
        </w:rPr>
        <w:t>opracowanie niedyskryminującej i przejrzystej procedury wyboru oraz obiektywnych kryteriów wyboru operacji, które pozwalają uniknąć konfliktów interesów</w:t>
      </w:r>
      <w:r w:rsidR="00805EBB" w:rsidRPr="003A5336">
        <w:rPr>
          <w:rFonts w:eastAsia="Times New Roman" w:cs="Times New Roman"/>
          <w:lang w:eastAsia="pl-PL"/>
        </w:rPr>
        <w:t>, gwarantują, że co najmniej 50</w:t>
      </w:r>
      <w:r w:rsidR="005628F2" w:rsidRPr="003A5336">
        <w:rPr>
          <w:rFonts w:eastAsia="Times New Roman" w:cs="Times New Roman"/>
          <w:lang w:eastAsia="pl-PL"/>
        </w:rPr>
        <w:t>% głosów w decyzjach dotyczących wyboru pochodzi od partnerów niebędących instytucjami publicznymi i umożliwiają wybór w drodze procedury pisemnej;</w:t>
      </w:r>
    </w:p>
    <w:p w14:paraId="7F1CECBE" w14:textId="77777777" w:rsidR="00A562F6" w:rsidRPr="003A5336" w:rsidRDefault="00517CFC" w:rsidP="006E7982">
      <w:pPr>
        <w:pStyle w:val="Akapitzlist"/>
        <w:widowControl w:val="0"/>
        <w:numPr>
          <w:ilvl w:val="0"/>
          <w:numId w:val="11"/>
        </w:numPr>
        <w:spacing w:after="0" w:line="360" w:lineRule="auto"/>
        <w:jc w:val="both"/>
        <w:rPr>
          <w:rFonts w:eastAsia="Calibri" w:cs="Times New Roman"/>
        </w:rPr>
      </w:pPr>
      <w:r w:rsidRPr="003A5336">
        <w:rPr>
          <w:rFonts w:eastAsia="Calibri" w:cs="Times New Roman"/>
        </w:rPr>
        <w:lastRenderedPageBreak/>
        <w:t>u</w:t>
      </w:r>
      <w:r w:rsidR="00DF0698" w:rsidRPr="003A5336">
        <w:rPr>
          <w:rFonts w:eastAsia="Calibri" w:cs="Times New Roman"/>
        </w:rPr>
        <w:t xml:space="preserve">stala </w:t>
      </w:r>
      <w:r w:rsidR="008F2625" w:rsidRPr="003A5336">
        <w:rPr>
          <w:rFonts w:eastAsia="Calibri" w:cs="Times New Roman"/>
        </w:rPr>
        <w:t>kwotę wsparcia.</w:t>
      </w:r>
    </w:p>
    <w:p w14:paraId="13B330A8" w14:textId="77777777" w:rsidR="00466194" w:rsidRPr="003A5336" w:rsidRDefault="00466194" w:rsidP="006E7982">
      <w:pPr>
        <w:spacing w:after="0" w:line="360" w:lineRule="auto"/>
        <w:jc w:val="center"/>
        <w:rPr>
          <w:rFonts w:cs="Times New Roman"/>
          <w:b/>
        </w:rPr>
      </w:pPr>
      <w:r w:rsidRPr="003A5336">
        <w:rPr>
          <w:rFonts w:cs="Times New Roman"/>
          <w:b/>
        </w:rPr>
        <w:t>§3</w:t>
      </w:r>
    </w:p>
    <w:p w14:paraId="5C5E6BC8" w14:textId="77777777" w:rsidR="00466194" w:rsidRPr="003A5336" w:rsidRDefault="00466194" w:rsidP="006E7982">
      <w:pPr>
        <w:spacing w:after="0" w:line="360" w:lineRule="auto"/>
        <w:jc w:val="center"/>
        <w:rPr>
          <w:rFonts w:cs="Times New Roman"/>
          <w:b/>
        </w:rPr>
      </w:pPr>
      <w:r w:rsidRPr="003A5336">
        <w:rPr>
          <w:rFonts w:cs="Times New Roman"/>
          <w:b/>
        </w:rPr>
        <w:t>Ustalenie kwoty wsparcia oraz wysokości premii</w:t>
      </w:r>
    </w:p>
    <w:p w14:paraId="646E4D25" w14:textId="78CB09A5" w:rsidR="00843728" w:rsidRPr="006E7982" w:rsidRDefault="00466194" w:rsidP="00107DB1">
      <w:pPr>
        <w:pStyle w:val="Akapitzlist"/>
        <w:numPr>
          <w:ilvl w:val="0"/>
          <w:numId w:val="36"/>
        </w:numPr>
        <w:spacing w:after="0" w:line="360" w:lineRule="auto"/>
        <w:ind w:left="284"/>
        <w:jc w:val="both"/>
        <w:rPr>
          <w:rFonts w:cs="Times New Roman"/>
          <w:color w:val="FF0000"/>
        </w:rPr>
      </w:pPr>
      <w:r w:rsidRPr="003A5336">
        <w:rPr>
          <w:rFonts w:cs="Times New Roman"/>
          <w:color w:val="FF0000"/>
        </w:rPr>
        <w:t>Ustalenie kwoty wsparcia w przypadku pomocy udzielonej w formie refundacji poniesionych kosztów kwalifikowalnych, odbywa się przez sprawdzenie czy:</w:t>
      </w:r>
    </w:p>
    <w:p w14:paraId="769267F1" w14:textId="77777777" w:rsidR="00466194" w:rsidRPr="003A5336" w:rsidRDefault="00466194" w:rsidP="00107DB1">
      <w:pPr>
        <w:pStyle w:val="Akapitzlist"/>
        <w:numPr>
          <w:ilvl w:val="0"/>
          <w:numId w:val="37"/>
        </w:numPr>
        <w:spacing w:after="0" w:line="360" w:lineRule="auto"/>
        <w:ind w:left="426" w:firstLine="0"/>
        <w:jc w:val="both"/>
        <w:rPr>
          <w:rFonts w:cs="Times New Roman"/>
          <w:color w:val="FF0000"/>
        </w:rPr>
      </w:pPr>
      <w:r w:rsidRPr="003A5336">
        <w:rPr>
          <w:rFonts w:cs="Times New Roman"/>
          <w:color w:val="FF0000"/>
        </w:rPr>
        <w:t>prawidłowo zastosowano wskazaną w LSR intensywność pomocy określoną dla danej grupy beneficjentów w granicach:</w:t>
      </w:r>
    </w:p>
    <w:p w14:paraId="5F10D4FB" w14:textId="77777777" w:rsidR="006E7982" w:rsidRDefault="00466194" w:rsidP="00107DB1">
      <w:pPr>
        <w:pStyle w:val="Akapitzlist"/>
        <w:numPr>
          <w:ilvl w:val="0"/>
          <w:numId w:val="40"/>
        </w:numPr>
        <w:autoSpaceDE w:val="0"/>
        <w:autoSpaceDN w:val="0"/>
        <w:adjustRightInd w:val="0"/>
        <w:spacing w:after="0" w:line="360" w:lineRule="auto"/>
        <w:jc w:val="both"/>
        <w:rPr>
          <w:rFonts w:cs="Times New Roman"/>
          <w:color w:val="FF0000"/>
        </w:rPr>
      </w:pPr>
      <w:r w:rsidRPr="006E7982">
        <w:rPr>
          <w:rFonts w:cs="Times New Roman"/>
          <w:color w:val="FF0000"/>
        </w:rPr>
        <w:t>70% kosztów kwalifikowalnych – w przypadku podmiotu wykonującego działalność gospodarczą, do której stosuje się przepisy ustawy z dnia 2 lipca 2004 r. o swobodzie działalności gospodarczej,</w:t>
      </w:r>
    </w:p>
    <w:p w14:paraId="0397B84E" w14:textId="77777777" w:rsidR="006E7982" w:rsidRDefault="00466194" w:rsidP="00107DB1">
      <w:pPr>
        <w:pStyle w:val="Akapitzlist"/>
        <w:numPr>
          <w:ilvl w:val="0"/>
          <w:numId w:val="40"/>
        </w:numPr>
        <w:autoSpaceDE w:val="0"/>
        <w:autoSpaceDN w:val="0"/>
        <w:adjustRightInd w:val="0"/>
        <w:spacing w:after="0" w:line="360" w:lineRule="auto"/>
        <w:jc w:val="both"/>
        <w:rPr>
          <w:rFonts w:cs="Times New Roman"/>
          <w:color w:val="FF0000"/>
        </w:rPr>
      </w:pPr>
      <w:r w:rsidRPr="006E7982">
        <w:rPr>
          <w:rFonts w:cs="Times New Roman"/>
          <w:color w:val="FF0000"/>
        </w:rPr>
        <w:t xml:space="preserve"> 100%  – w przypadku pozostałych podmiotów;</w:t>
      </w:r>
    </w:p>
    <w:p w14:paraId="44152FF8" w14:textId="45979972" w:rsidR="00466194" w:rsidRPr="006E7982" w:rsidRDefault="00466194" w:rsidP="00107DB1">
      <w:pPr>
        <w:pStyle w:val="Akapitzlist"/>
        <w:numPr>
          <w:ilvl w:val="0"/>
          <w:numId w:val="40"/>
        </w:numPr>
        <w:autoSpaceDE w:val="0"/>
        <w:autoSpaceDN w:val="0"/>
        <w:adjustRightInd w:val="0"/>
        <w:spacing w:after="0" w:line="360" w:lineRule="auto"/>
        <w:jc w:val="both"/>
        <w:rPr>
          <w:rFonts w:cs="Times New Roman"/>
          <w:color w:val="FF0000"/>
        </w:rPr>
      </w:pPr>
      <w:r w:rsidRPr="006E7982">
        <w:rPr>
          <w:rFonts w:cs="Times New Roman"/>
          <w:color w:val="FF0000"/>
        </w:rPr>
        <w:t xml:space="preserve"> 63,63% kosztów kwalifikowalnych – w przypadku jednostki sektora finansów publicznych.</w:t>
      </w:r>
    </w:p>
    <w:p w14:paraId="7BDE24CB" w14:textId="0C2913D0" w:rsidR="00466194" w:rsidRPr="003A5336" w:rsidRDefault="00466194" w:rsidP="00107DB1">
      <w:pPr>
        <w:pStyle w:val="Akapitzlist"/>
        <w:numPr>
          <w:ilvl w:val="0"/>
          <w:numId w:val="37"/>
        </w:numPr>
        <w:spacing w:after="0" w:line="360" w:lineRule="auto"/>
        <w:ind w:left="709"/>
        <w:jc w:val="both"/>
        <w:rPr>
          <w:rFonts w:cs="Times New Roman"/>
          <w:color w:val="FF0000"/>
        </w:rPr>
      </w:pPr>
      <w:r w:rsidRPr="003A5336">
        <w:rPr>
          <w:rFonts w:cs="Times New Roman"/>
          <w:color w:val="FF0000"/>
        </w:rPr>
        <w:t xml:space="preserve">Prawidłowo zastosowano wskazaną w LSR lub ogłoszeniu o naborze wniosków </w:t>
      </w:r>
      <w:r w:rsidR="00843728" w:rsidRPr="003A5336">
        <w:rPr>
          <w:rFonts w:cs="Times New Roman"/>
          <w:color w:val="FF0000"/>
        </w:rPr>
        <w:br/>
      </w:r>
      <w:r w:rsidRPr="003A5336">
        <w:rPr>
          <w:rFonts w:cs="Times New Roman"/>
          <w:color w:val="FF0000"/>
        </w:rPr>
        <w:t xml:space="preserve">o przyznanie pomocy maksymalną kwotę pomocy np. dla danego typu operacji </w:t>
      </w:r>
      <w:r w:rsidR="00843728" w:rsidRPr="003A5336">
        <w:rPr>
          <w:rFonts w:cs="Times New Roman"/>
          <w:color w:val="FF0000"/>
        </w:rPr>
        <w:br/>
      </w:r>
      <w:r w:rsidRPr="003A5336">
        <w:rPr>
          <w:rFonts w:cs="Times New Roman"/>
          <w:color w:val="FF0000"/>
        </w:rPr>
        <w:t>/ rodzaju działalności gospodarczej</w:t>
      </w:r>
      <w:r w:rsidR="006E7982">
        <w:rPr>
          <w:rFonts w:cs="Times New Roman"/>
          <w:color w:val="FF0000"/>
        </w:rPr>
        <w:t>, w granicach określonych w LSR:</w:t>
      </w:r>
    </w:p>
    <w:p w14:paraId="7F6C9435" w14:textId="2D49B8C0" w:rsidR="006E7982" w:rsidRDefault="00554009" w:rsidP="00107DB1">
      <w:pPr>
        <w:pStyle w:val="Akapitzlist"/>
        <w:widowControl w:val="0"/>
        <w:numPr>
          <w:ilvl w:val="0"/>
          <w:numId w:val="41"/>
        </w:numPr>
        <w:tabs>
          <w:tab w:val="left" w:pos="0"/>
        </w:tabs>
        <w:spacing w:after="0" w:line="360" w:lineRule="auto"/>
        <w:ind w:left="1134" w:hanging="425"/>
        <w:jc w:val="both"/>
        <w:rPr>
          <w:rFonts w:cs="Times New Roman"/>
          <w:color w:val="FF0000"/>
        </w:rPr>
      </w:pPr>
      <w:r w:rsidRPr="006E7982">
        <w:rPr>
          <w:rFonts w:cs="Times New Roman"/>
          <w:color w:val="FF0000"/>
        </w:rPr>
        <w:t>do 500 tys. złotych – w przypadku operacji w zakresie tworzenie lub rozwój inkubatorów przetwórstwa lokalnego produktów rolnych</w:t>
      </w:r>
      <w:r w:rsidR="006E7982">
        <w:rPr>
          <w:rFonts w:cs="Times New Roman"/>
          <w:color w:val="FF0000"/>
        </w:rPr>
        <w:t>,</w:t>
      </w:r>
    </w:p>
    <w:p w14:paraId="75966614" w14:textId="77777777" w:rsidR="006E7982" w:rsidRDefault="00554009" w:rsidP="00107DB1">
      <w:pPr>
        <w:pStyle w:val="Akapitzlist"/>
        <w:widowControl w:val="0"/>
        <w:numPr>
          <w:ilvl w:val="0"/>
          <w:numId w:val="41"/>
        </w:numPr>
        <w:tabs>
          <w:tab w:val="left" w:pos="0"/>
        </w:tabs>
        <w:spacing w:after="0" w:line="360" w:lineRule="auto"/>
        <w:ind w:left="1134" w:hanging="425"/>
        <w:jc w:val="both"/>
        <w:rPr>
          <w:rFonts w:cs="Times New Roman"/>
          <w:color w:val="FF0000"/>
        </w:rPr>
      </w:pPr>
      <w:r w:rsidRPr="006E7982">
        <w:rPr>
          <w:rFonts w:cs="Times New Roman"/>
          <w:color w:val="FF0000"/>
        </w:rPr>
        <w:t>do 300 tys. złotych – w przypadku operacji w zakresie rozwoju działalności gospodarczej,</w:t>
      </w:r>
    </w:p>
    <w:p w14:paraId="26C2994B" w14:textId="07E69750" w:rsidR="00554009" w:rsidRPr="006E7982" w:rsidRDefault="00554009" w:rsidP="00107DB1">
      <w:pPr>
        <w:pStyle w:val="Akapitzlist"/>
        <w:widowControl w:val="0"/>
        <w:numPr>
          <w:ilvl w:val="0"/>
          <w:numId w:val="41"/>
        </w:numPr>
        <w:tabs>
          <w:tab w:val="left" w:pos="0"/>
        </w:tabs>
        <w:spacing w:after="0" w:line="360" w:lineRule="auto"/>
        <w:ind w:left="1134" w:hanging="425"/>
        <w:jc w:val="both"/>
        <w:rPr>
          <w:rFonts w:cs="Times New Roman"/>
          <w:color w:val="FF0000"/>
        </w:rPr>
      </w:pPr>
      <w:r w:rsidRPr="006E7982">
        <w:rPr>
          <w:rFonts w:cs="Times New Roman"/>
          <w:color w:val="FF0000"/>
        </w:rPr>
        <w:t>100 tys. złotych – w przypadku premii na rozpoczęcie działalności gospodarczej</w:t>
      </w:r>
      <w:r w:rsidR="006E7982">
        <w:rPr>
          <w:rFonts w:cs="Times New Roman"/>
          <w:color w:val="FF0000"/>
        </w:rPr>
        <w:t>.</w:t>
      </w:r>
    </w:p>
    <w:p w14:paraId="14366893" w14:textId="77777777" w:rsidR="00466194" w:rsidRPr="003A5336" w:rsidRDefault="00466194" w:rsidP="00107DB1">
      <w:pPr>
        <w:pStyle w:val="Akapitzlist"/>
        <w:numPr>
          <w:ilvl w:val="0"/>
          <w:numId w:val="37"/>
        </w:numPr>
        <w:spacing w:after="0" w:line="360" w:lineRule="auto"/>
        <w:ind w:left="709"/>
        <w:jc w:val="both"/>
        <w:rPr>
          <w:rFonts w:cs="Times New Roman"/>
          <w:color w:val="FF0000"/>
        </w:rPr>
      </w:pPr>
      <w:r w:rsidRPr="003A5336">
        <w:rPr>
          <w:rFonts w:cs="Times New Roman"/>
          <w:color w:val="FF0000"/>
        </w:rPr>
        <w:t>Kwota pomocy jest racjonalna, a także poprzez weryfikację kosztów kwalifikowalnych operacji.</w:t>
      </w:r>
    </w:p>
    <w:p w14:paraId="06568761" w14:textId="12224B90" w:rsidR="00466194" w:rsidRPr="003A5336" w:rsidRDefault="00466194" w:rsidP="006E7982">
      <w:pPr>
        <w:spacing w:after="0" w:line="360" w:lineRule="auto"/>
        <w:jc w:val="both"/>
        <w:rPr>
          <w:rFonts w:cs="Times New Roman"/>
          <w:color w:val="FF0000"/>
        </w:rPr>
      </w:pPr>
      <w:r w:rsidRPr="003A5336">
        <w:rPr>
          <w:rFonts w:cs="Times New Roman"/>
          <w:color w:val="FF0000"/>
        </w:rPr>
        <w:t xml:space="preserve">Ustalenie kwoty wsparcia w tym przypadku odbywać się będzie w zgodnie z procedurą wyboru i oceny operacji w ramach LSR i polegać będzie na sprawdzeniu, czy koszty kwalifikowalne określone we wniosku o przyznanie pomocy są zgodne z zakresem kosztów kwalifikowalności określonymi </w:t>
      </w:r>
      <w:r w:rsidR="00450ABF">
        <w:rPr>
          <w:rFonts w:cs="Times New Roman"/>
          <w:color w:val="FF0000"/>
        </w:rPr>
        <w:br/>
      </w:r>
      <w:r w:rsidRPr="003A5336">
        <w:rPr>
          <w:rFonts w:cs="Times New Roman"/>
          <w:color w:val="FF0000"/>
        </w:rPr>
        <w:t>w rozporządzeniu LSR.</w:t>
      </w:r>
    </w:p>
    <w:p w14:paraId="40943BA7" w14:textId="77777777" w:rsidR="00466194" w:rsidRPr="003A5336" w:rsidRDefault="00466194" w:rsidP="00107DB1">
      <w:pPr>
        <w:pStyle w:val="Akapitzlist"/>
        <w:numPr>
          <w:ilvl w:val="0"/>
          <w:numId w:val="37"/>
        </w:numPr>
        <w:spacing w:after="0" w:line="360" w:lineRule="auto"/>
        <w:ind w:left="709"/>
        <w:jc w:val="both"/>
        <w:rPr>
          <w:rFonts w:cs="Times New Roman"/>
          <w:color w:val="FF0000"/>
        </w:rPr>
      </w:pPr>
      <w:r w:rsidRPr="003A5336">
        <w:rPr>
          <w:rFonts w:cs="Times New Roman"/>
          <w:color w:val="FF0000"/>
        </w:rPr>
        <w:t>W przypadku gdy kwota pomocy określona we wniosku o przyznanie pomocy przez podmiot ubiegający się o przyznanie pomocy będzie przekraczać:</w:t>
      </w:r>
    </w:p>
    <w:p w14:paraId="4794E826" w14:textId="77777777" w:rsidR="00C455DF" w:rsidRDefault="00466194" w:rsidP="00107DB1">
      <w:pPr>
        <w:pStyle w:val="Akapitzlist"/>
        <w:numPr>
          <w:ilvl w:val="0"/>
          <w:numId w:val="42"/>
        </w:numPr>
        <w:tabs>
          <w:tab w:val="left" w:pos="1276"/>
        </w:tabs>
        <w:spacing w:after="0" w:line="360" w:lineRule="auto"/>
        <w:ind w:left="1134" w:hanging="425"/>
        <w:jc w:val="both"/>
        <w:rPr>
          <w:rFonts w:cs="Times New Roman"/>
          <w:color w:val="FF0000"/>
        </w:rPr>
      </w:pPr>
      <w:r w:rsidRPr="00542F30">
        <w:rPr>
          <w:rFonts w:cs="Times New Roman"/>
          <w:color w:val="FF0000"/>
        </w:rPr>
        <w:t xml:space="preserve">kwotę pomocy ustaloną przez </w:t>
      </w:r>
      <w:r w:rsidR="00B73A53" w:rsidRPr="00542F30">
        <w:rPr>
          <w:rFonts w:cs="Times New Roman"/>
          <w:color w:val="FF0000"/>
        </w:rPr>
        <w:t>B</w:t>
      </w:r>
      <w:r w:rsidRPr="00542F30">
        <w:rPr>
          <w:rFonts w:cs="Times New Roman"/>
          <w:color w:val="FF0000"/>
        </w:rPr>
        <w:t>LGD, lub</w:t>
      </w:r>
    </w:p>
    <w:p w14:paraId="41119DF5" w14:textId="77777777" w:rsidR="00C455DF" w:rsidRDefault="00466194" w:rsidP="00107DB1">
      <w:pPr>
        <w:pStyle w:val="Akapitzlist"/>
        <w:numPr>
          <w:ilvl w:val="0"/>
          <w:numId w:val="42"/>
        </w:numPr>
        <w:tabs>
          <w:tab w:val="left" w:pos="1276"/>
        </w:tabs>
        <w:spacing w:after="0" w:line="360" w:lineRule="auto"/>
        <w:ind w:left="1134" w:hanging="425"/>
        <w:jc w:val="both"/>
        <w:rPr>
          <w:rFonts w:cs="Times New Roman"/>
          <w:color w:val="FF0000"/>
        </w:rPr>
      </w:pPr>
      <w:r w:rsidRPr="00C455DF">
        <w:rPr>
          <w:rFonts w:cs="Times New Roman"/>
          <w:color w:val="FF0000"/>
        </w:rPr>
        <w:t>maksymalna kwotę pomocy określoną w LSR</w:t>
      </w:r>
    </w:p>
    <w:p w14:paraId="0DF02988" w14:textId="3DCB0F73" w:rsidR="00466194" w:rsidRPr="00C455DF" w:rsidRDefault="00466194" w:rsidP="00107DB1">
      <w:pPr>
        <w:pStyle w:val="Akapitzlist"/>
        <w:numPr>
          <w:ilvl w:val="0"/>
          <w:numId w:val="42"/>
        </w:numPr>
        <w:tabs>
          <w:tab w:val="left" w:pos="1276"/>
        </w:tabs>
        <w:spacing w:after="0" w:line="360" w:lineRule="auto"/>
        <w:ind w:left="1134" w:hanging="425"/>
        <w:jc w:val="both"/>
        <w:rPr>
          <w:rFonts w:cs="Times New Roman"/>
          <w:color w:val="FF0000"/>
        </w:rPr>
      </w:pPr>
      <w:r w:rsidRPr="00C455DF">
        <w:rPr>
          <w:rFonts w:cs="Times New Roman"/>
          <w:color w:val="FF0000"/>
        </w:rPr>
        <w:t xml:space="preserve">dostępne dla beneficjenta limity (pozostający do wykorzystania limit na beneficjenta </w:t>
      </w:r>
      <w:r w:rsidR="00C455DF">
        <w:rPr>
          <w:rFonts w:cs="Times New Roman"/>
          <w:color w:val="FF0000"/>
        </w:rPr>
        <w:br/>
      </w:r>
      <w:r w:rsidRPr="00C455DF">
        <w:rPr>
          <w:rFonts w:cs="Times New Roman"/>
          <w:color w:val="FF0000"/>
        </w:rPr>
        <w:t>w okresie programowania 2014-2020)</w:t>
      </w:r>
      <w:r w:rsidR="00DF1E04">
        <w:rPr>
          <w:rFonts w:cs="Times New Roman"/>
          <w:color w:val="FF0000"/>
        </w:rPr>
        <w:t>.</w:t>
      </w:r>
    </w:p>
    <w:p w14:paraId="517609B1" w14:textId="7C57789D" w:rsidR="00466194" w:rsidRPr="003A5336" w:rsidRDefault="00466194" w:rsidP="006E7982">
      <w:pPr>
        <w:spacing w:after="0" w:line="360" w:lineRule="auto"/>
        <w:ind w:left="360"/>
        <w:jc w:val="both"/>
        <w:rPr>
          <w:rFonts w:cs="Times New Roman"/>
          <w:color w:val="FF0000"/>
        </w:rPr>
      </w:pPr>
      <w:r w:rsidRPr="003A5336">
        <w:rPr>
          <w:rFonts w:cs="Times New Roman"/>
          <w:color w:val="FF0000"/>
        </w:rPr>
        <w:t xml:space="preserve">- </w:t>
      </w:r>
      <w:r w:rsidR="00B73A53" w:rsidRPr="003A5336">
        <w:rPr>
          <w:rFonts w:cs="Times New Roman"/>
          <w:color w:val="FF0000"/>
        </w:rPr>
        <w:t>B</w:t>
      </w:r>
      <w:r w:rsidRPr="003A5336">
        <w:rPr>
          <w:rFonts w:cs="Times New Roman"/>
          <w:color w:val="FF0000"/>
        </w:rPr>
        <w:t xml:space="preserve">LGD dokonuje ustalenia kwoty wsparcia przez odpowiednie zmniejszenie kwoty pomocy. </w:t>
      </w:r>
      <w:r w:rsidR="00DD79ED">
        <w:rPr>
          <w:rFonts w:cs="Times New Roman"/>
          <w:color w:val="FF0000"/>
        </w:rPr>
        <w:br/>
      </w:r>
      <w:r w:rsidRPr="003A5336">
        <w:rPr>
          <w:rFonts w:cs="Times New Roman"/>
          <w:color w:val="FF0000"/>
        </w:rPr>
        <w:t xml:space="preserve">W przypadku stwierdzenia przez </w:t>
      </w:r>
      <w:r w:rsidR="00B73A53" w:rsidRPr="003A5336">
        <w:rPr>
          <w:rFonts w:cs="Times New Roman"/>
          <w:color w:val="FF0000"/>
        </w:rPr>
        <w:t>B</w:t>
      </w:r>
      <w:r w:rsidRPr="003A5336">
        <w:rPr>
          <w:rFonts w:cs="Times New Roman"/>
          <w:color w:val="FF0000"/>
        </w:rPr>
        <w:t>LGD nie kwalifikowalności danego kosztu lub w wyniku obniżenia wysokości kosztów w drodze badania racjonalności kwota pomocy ulega odpowiedniemu zmniejszeniu.</w:t>
      </w:r>
    </w:p>
    <w:p w14:paraId="385EA97D" w14:textId="77777777" w:rsidR="00466194" w:rsidRPr="003A5336" w:rsidRDefault="009D1203" w:rsidP="006E7982">
      <w:pPr>
        <w:spacing w:after="0" w:line="360" w:lineRule="auto"/>
        <w:ind w:left="284" w:hanging="284"/>
        <w:jc w:val="both"/>
        <w:rPr>
          <w:rFonts w:cs="Times New Roman"/>
          <w:i/>
          <w:color w:val="FF0000"/>
        </w:rPr>
      </w:pPr>
      <w:r w:rsidRPr="003A5336">
        <w:rPr>
          <w:rFonts w:cs="Times New Roman"/>
          <w:color w:val="FF0000"/>
        </w:rPr>
        <w:lastRenderedPageBreak/>
        <w:t xml:space="preserve">2. </w:t>
      </w:r>
      <w:r w:rsidR="00077A65" w:rsidRPr="003A5336">
        <w:rPr>
          <w:rFonts w:cs="Times New Roman"/>
          <w:color w:val="FF0000"/>
        </w:rPr>
        <w:t xml:space="preserve"> </w:t>
      </w:r>
      <w:r w:rsidR="00466194" w:rsidRPr="003A5336">
        <w:rPr>
          <w:rFonts w:cs="Times New Roman"/>
          <w:color w:val="FF0000"/>
        </w:rPr>
        <w:t>Ustalenie kwoty wsparcia w przypadku pomocy udzielonej w formie premii, odbywa się przez sprawdzenie czy prawidłowo zastosowano odpowiednią wskazaną w LSR wartość premii określoną np. dla danego rodzaju działalności gospodarczej, w granicach określonych w LSR.</w:t>
      </w:r>
    </w:p>
    <w:p w14:paraId="5DDFC7CC" w14:textId="77777777" w:rsidR="00466194" w:rsidRPr="003A5336" w:rsidRDefault="00466194" w:rsidP="006E7982">
      <w:pPr>
        <w:spacing w:after="0" w:line="360" w:lineRule="auto"/>
        <w:jc w:val="both"/>
        <w:rPr>
          <w:rFonts w:cs="Times New Roman"/>
          <w:color w:val="FF0000"/>
        </w:rPr>
      </w:pPr>
      <w:r w:rsidRPr="003A5336">
        <w:rPr>
          <w:rFonts w:cs="Times New Roman"/>
          <w:color w:val="FF0000"/>
        </w:rPr>
        <w:t xml:space="preserve">Jeśli wnioskowana kwota premii będzie wyższa od określonej przez </w:t>
      </w:r>
      <w:r w:rsidR="00B73A53" w:rsidRPr="003A5336">
        <w:rPr>
          <w:rFonts w:cs="Times New Roman"/>
          <w:color w:val="FF0000"/>
        </w:rPr>
        <w:t>B</w:t>
      </w:r>
      <w:r w:rsidRPr="003A5336">
        <w:rPr>
          <w:rFonts w:cs="Times New Roman"/>
          <w:color w:val="FF0000"/>
        </w:rPr>
        <w:t xml:space="preserve">LGD w LSR – </w:t>
      </w:r>
      <w:r w:rsidR="00B73A53" w:rsidRPr="003A5336">
        <w:rPr>
          <w:rFonts w:cs="Times New Roman"/>
          <w:color w:val="FF0000"/>
        </w:rPr>
        <w:t>B</w:t>
      </w:r>
      <w:r w:rsidRPr="003A5336">
        <w:rPr>
          <w:rFonts w:cs="Times New Roman"/>
          <w:color w:val="FF0000"/>
        </w:rPr>
        <w:t>LGD ustali kwotę wsparcia na poziomie określonym w LSR.</w:t>
      </w:r>
    </w:p>
    <w:p w14:paraId="6D00C110" w14:textId="4F0EAA32" w:rsidR="00466194" w:rsidRPr="003A5336" w:rsidRDefault="00466194" w:rsidP="006E7982">
      <w:pPr>
        <w:spacing w:after="0" w:line="360" w:lineRule="auto"/>
        <w:jc w:val="both"/>
        <w:rPr>
          <w:rFonts w:cs="Times New Roman"/>
          <w:color w:val="FF0000"/>
        </w:rPr>
      </w:pPr>
      <w:r w:rsidRPr="003A5336">
        <w:rPr>
          <w:rFonts w:cs="Times New Roman"/>
          <w:color w:val="FF0000"/>
        </w:rPr>
        <w:t xml:space="preserve">Ustalenie kwoty wsparcia odbywa się bez uszczerbku dla kompetencji samorządu województwa </w:t>
      </w:r>
      <w:r w:rsidR="00EF132A">
        <w:rPr>
          <w:rFonts w:cs="Times New Roman"/>
          <w:color w:val="FF0000"/>
        </w:rPr>
        <w:br/>
      </w:r>
      <w:r w:rsidRPr="003A5336">
        <w:rPr>
          <w:rFonts w:cs="Times New Roman"/>
          <w:color w:val="FF0000"/>
        </w:rPr>
        <w:t>w zakresie ostatecznej weryfikacji kwalifikowalności i racjonalności kosztów dokonywanej w ramach kontroli administracyjnej wniosków o przyznanie pomocy, zgodnie z procedurą wyboru i oceny operacji w ramach LSR.</w:t>
      </w:r>
    </w:p>
    <w:p w14:paraId="50FB687D" w14:textId="17A71E75" w:rsidR="00466194" w:rsidRPr="003A5336" w:rsidRDefault="005819E1" w:rsidP="006E7982">
      <w:pPr>
        <w:spacing w:after="0" w:line="360" w:lineRule="auto"/>
        <w:jc w:val="both"/>
        <w:rPr>
          <w:rFonts w:cs="Times New Roman"/>
          <w:color w:val="FF0000"/>
        </w:rPr>
      </w:pPr>
      <w:r w:rsidRPr="003A5336">
        <w:rPr>
          <w:rFonts w:cs="Times New Roman"/>
          <w:color w:val="FF0000"/>
        </w:rPr>
        <w:t xml:space="preserve">Ustalenia </w:t>
      </w:r>
      <w:r w:rsidR="00466194" w:rsidRPr="003A5336">
        <w:rPr>
          <w:rFonts w:cs="Times New Roman"/>
          <w:color w:val="FF0000"/>
        </w:rPr>
        <w:t xml:space="preserve">kwoty wsparcia </w:t>
      </w:r>
      <w:r w:rsidRPr="003A5336">
        <w:rPr>
          <w:rFonts w:cs="Times New Roman"/>
          <w:color w:val="FF0000"/>
        </w:rPr>
        <w:t xml:space="preserve">dokonuje się </w:t>
      </w:r>
      <w:r w:rsidR="0014136C" w:rsidRPr="003A5336">
        <w:rPr>
          <w:rFonts w:cs="Times New Roman"/>
          <w:color w:val="FF0000"/>
        </w:rPr>
        <w:t>uwzględniając</w:t>
      </w:r>
      <w:r w:rsidR="00466194" w:rsidRPr="003A5336">
        <w:rPr>
          <w:rFonts w:cs="Times New Roman"/>
          <w:color w:val="FF0000"/>
        </w:rPr>
        <w:t xml:space="preserve"> minimalną całkowitą wartość operacji wynoszącą 50 tys. złotych. </w:t>
      </w:r>
    </w:p>
    <w:p w14:paraId="57E46FFB" w14:textId="77777777" w:rsidR="00466194" w:rsidRPr="003A5336" w:rsidRDefault="00466194" w:rsidP="006E7982">
      <w:pPr>
        <w:spacing w:after="0" w:line="360" w:lineRule="auto"/>
        <w:jc w:val="both"/>
        <w:rPr>
          <w:rFonts w:cs="Times New Roman"/>
          <w:color w:val="FF0000"/>
        </w:rPr>
      </w:pPr>
      <w:r w:rsidRPr="003A5336">
        <w:rPr>
          <w:rFonts w:cs="Times New Roman"/>
          <w:color w:val="FF0000"/>
        </w:rPr>
        <w:t xml:space="preserve"> </w:t>
      </w:r>
    </w:p>
    <w:p w14:paraId="71A8D196" w14:textId="77777777" w:rsidR="00466194" w:rsidRPr="003A5336" w:rsidRDefault="00466194" w:rsidP="006E7982">
      <w:pPr>
        <w:pStyle w:val="Akapitzlist"/>
        <w:numPr>
          <w:ilvl w:val="0"/>
          <w:numId w:val="12"/>
        </w:numPr>
        <w:tabs>
          <w:tab w:val="left" w:pos="0"/>
        </w:tabs>
        <w:spacing w:after="0" w:line="360" w:lineRule="auto"/>
        <w:ind w:left="426"/>
        <w:jc w:val="both"/>
        <w:rPr>
          <w:rFonts w:eastAsia="Calibri" w:cs="Times New Roman"/>
          <w:strike/>
        </w:rPr>
      </w:pPr>
      <w:r w:rsidRPr="003A5336">
        <w:rPr>
          <w:rFonts w:eastAsia="Calibri" w:cs="Times New Roman"/>
          <w:strike/>
        </w:rPr>
        <w:t xml:space="preserve">Ustalenie kwoty wsparcia odbywa się przez </w:t>
      </w:r>
      <w:r w:rsidRPr="003A5336">
        <w:rPr>
          <w:rFonts w:cs="Times New Roman"/>
          <w:strike/>
        </w:rPr>
        <w:t xml:space="preserve">zastosowanie </w:t>
      </w:r>
      <w:bookmarkStart w:id="0" w:name="OLE_LINK3"/>
      <w:bookmarkStart w:id="1" w:name="OLE_LINK4"/>
      <w:r w:rsidRPr="003A5336">
        <w:rPr>
          <w:rFonts w:cs="Times New Roman"/>
          <w:strike/>
        </w:rPr>
        <w:t xml:space="preserve">wskazanej w LSR </w:t>
      </w:r>
      <w:bookmarkEnd w:id="0"/>
      <w:bookmarkEnd w:id="1"/>
      <w:r w:rsidRPr="003A5336">
        <w:rPr>
          <w:rFonts w:cs="Times New Roman"/>
          <w:strike/>
        </w:rPr>
        <w:t xml:space="preserve">intensywności pomocy określonej dla danej grupy beneficjentów </w:t>
      </w:r>
      <w:bookmarkStart w:id="2" w:name="OLE_LINK1"/>
      <w:bookmarkStart w:id="3" w:name="OLE_LINK2"/>
      <w:r w:rsidRPr="003A5336">
        <w:rPr>
          <w:rFonts w:cs="Times New Roman"/>
          <w:strike/>
        </w:rPr>
        <w:t>w granicach</w:t>
      </w:r>
      <w:bookmarkEnd w:id="2"/>
      <w:bookmarkEnd w:id="3"/>
      <w:r w:rsidRPr="003A5336">
        <w:rPr>
          <w:rFonts w:cs="Times New Roman"/>
          <w:strike/>
        </w:rPr>
        <w:t xml:space="preserve"> określonej w LSR, lecz nie wyższej niż:</w:t>
      </w:r>
    </w:p>
    <w:p w14:paraId="747D6CC9" w14:textId="77777777" w:rsidR="00466194" w:rsidRPr="003A5336" w:rsidRDefault="00466194" w:rsidP="006E7982">
      <w:pPr>
        <w:pStyle w:val="Akapitzlist"/>
        <w:numPr>
          <w:ilvl w:val="0"/>
          <w:numId w:val="13"/>
        </w:numPr>
        <w:autoSpaceDE w:val="0"/>
        <w:autoSpaceDN w:val="0"/>
        <w:adjustRightInd w:val="0"/>
        <w:spacing w:after="0" w:line="360" w:lineRule="auto"/>
        <w:jc w:val="both"/>
        <w:rPr>
          <w:rFonts w:cs="Times New Roman"/>
          <w:strike/>
        </w:rPr>
      </w:pPr>
      <w:r w:rsidRPr="003A5336">
        <w:rPr>
          <w:rFonts w:cs="Times New Roman"/>
          <w:strike/>
        </w:rPr>
        <w:t>70% kosztów kwalifikowalnych – w przypadku podmiotu wykonującego działalność gospodarczą, do której stosuje się przepisy ustawy z dnia 2 lipca 2004 r. o swobodzie działalności gospodarczej,</w:t>
      </w:r>
    </w:p>
    <w:p w14:paraId="0AC3609F" w14:textId="77777777" w:rsidR="00466194" w:rsidRPr="003A5336" w:rsidRDefault="00466194" w:rsidP="006E7982">
      <w:pPr>
        <w:pStyle w:val="Akapitzlist"/>
        <w:numPr>
          <w:ilvl w:val="0"/>
          <w:numId w:val="13"/>
        </w:numPr>
        <w:autoSpaceDE w:val="0"/>
        <w:autoSpaceDN w:val="0"/>
        <w:adjustRightInd w:val="0"/>
        <w:spacing w:after="0" w:line="360" w:lineRule="auto"/>
        <w:jc w:val="both"/>
        <w:rPr>
          <w:rFonts w:cs="Times New Roman"/>
          <w:strike/>
        </w:rPr>
      </w:pPr>
      <w:r w:rsidRPr="003A5336">
        <w:rPr>
          <w:rFonts w:cs="Times New Roman"/>
          <w:strike/>
        </w:rPr>
        <w:t>100% – w przypadku pozostałych podmiotów;</w:t>
      </w:r>
    </w:p>
    <w:p w14:paraId="045E6225" w14:textId="77777777" w:rsidR="00466194" w:rsidRPr="003A5336" w:rsidRDefault="00466194" w:rsidP="006E7982">
      <w:pPr>
        <w:pStyle w:val="Akapitzlist"/>
        <w:numPr>
          <w:ilvl w:val="0"/>
          <w:numId w:val="13"/>
        </w:numPr>
        <w:autoSpaceDE w:val="0"/>
        <w:autoSpaceDN w:val="0"/>
        <w:adjustRightInd w:val="0"/>
        <w:spacing w:after="0" w:line="360" w:lineRule="auto"/>
        <w:jc w:val="both"/>
        <w:rPr>
          <w:rFonts w:cs="Times New Roman"/>
          <w:strike/>
        </w:rPr>
      </w:pPr>
      <w:r w:rsidRPr="003A5336">
        <w:rPr>
          <w:rFonts w:cs="Times New Roman"/>
          <w:strike/>
        </w:rPr>
        <w:t>63,63% kosztów kwalifikowalnych – w przypadku jednostki sektora finansów publicznych.</w:t>
      </w:r>
    </w:p>
    <w:p w14:paraId="33E7E9A1" w14:textId="77777777" w:rsidR="00466194" w:rsidRPr="003A5336" w:rsidRDefault="00466194" w:rsidP="006E7982">
      <w:pPr>
        <w:pStyle w:val="Akapitzlist"/>
        <w:numPr>
          <w:ilvl w:val="0"/>
          <w:numId w:val="12"/>
        </w:numPr>
        <w:autoSpaceDE w:val="0"/>
        <w:autoSpaceDN w:val="0"/>
        <w:adjustRightInd w:val="0"/>
        <w:spacing w:after="0" w:line="360" w:lineRule="auto"/>
        <w:ind w:left="426"/>
        <w:jc w:val="both"/>
        <w:rPr>
          <w:rFonts w:cs="Times New Roman"/>
          <w:strike/>
        </w:rPr>
      </w:pPr>
      <w:r w:rsidRPr="003A5336">
        <w:rPr>
          <w:rFonts w:cs="Times New Roman"/>
          <w:strike/>
        </w:rPr>
        <w:t xml:space="preserve">W przypadku gdy wysokość kosztów kwalifikowalnych w zakresie danego zadania ujętego </w:t>
      </w:r>
      <w:r w:rsidRPr="003A5336">
        <w:rPr>
          <w:rFonts w:cs="Times New Roman"/>
          <w:strike/>
        </w:rPr>
        <w:br/>
        <w:t>w zestawieniu rzeczowo - finansowym operacji przekracza wartość rynkową tych kosztów ustaloną w wyniku oceny ich racjonalności, przy ustalaniu wysokości pomocy uwzględnia się wartość rynkową tych kosztów.</w:t>
      </w:r>
    </w:p>
    <w:p w14:paraId="62FA8434" w14:textId="77777777" w:rsidR="00466194" w:rsidRPr="003A5336" w:rsidRDefault="00466194" w:rsidP="006E7982">
      <w:pPr>
        <w:pStyle w:val="Akapitzlist"/>
        <w:numPr>
          <w:ilvl w:val="0"/>
          <w:numId w:val="12"/>
        </w:numPr>
        <w:tabs>
          <w:tab w:val="left" w:pos="709"/>
        </w:tabs>
        <w:autoSpaceDE w:val="0"/>
        <w:autoSpaceDN w:val="0"/>
        <w:adjustRightInd w:val="0"/>
        <w:spacing w:after="0" w:line="360" w:lineRule="auto"/>
        <w:ind w:left="426"/>
        <w:jc w:val="both"/>
        <w:rPr>
          <w:rFonts w:cs="Times New Roman"/>
          <w:strike/>
        </w:rPr>
      </w:pPr>
      <w:r w:rsidRPr="003A5336">
        <w:rPr>
          <w:rFonts w:cs="Times New Roman"/>
          <w:strike/>
        </w:rPr>
        <w:t>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14:paraId="3FAE9A01" w14:textId="77777777" w:rsidR="00466194" w:rsidRPr="003A5336" w:rsidRDefault="00466194" w:rsidP="006E7982">
      <w:pPr>
        <w:pStyle w:val="Akapitzlist"/>
        <w:numPr>
          <w:ilvl w:val="0"/>
          <w:numId w:val="12"/>
        </w:numPr>
        <w:autoSpaceDE w:val="0"/>
        <w:autoSpaceDN w:val="0"/>
        <w:adjustRightInd w:val="0"/>
        <w:spacing w:after="0" w:line="360" w:lineRule="auto"/>
        <w:ind w:left="426"/>
        <w:jc w:val="both"/>
        <w:rPr>
          <w:rFonts w:cs="Times New Roman"/>
          <w:strike/>
        </w:rPr>
      </w:pPr>
      <w:r w:rsidRPr="003A5336">
        <w:rPr>
          <w:rFonts w:cs="Times New Roman"/>
          <w:strike/>
        </w:rPr>
        <w:t>Zastosowanie wskazanej w LSR lub w ogłoszeniu o naborze wniosków maksymalnej kwoty pomocy np. dla danego typu operacji lub rodzaju działalności gospodarczej, w granicach określonych przepisami zgodnie z</w:t>
      </w:r>
      <w:r w:rsidRPr="003A5336">
        <w:rPr>
          <w:rFonts w:cs="Times New Roman"/>
          <w:strike/>
          <w:color w:val="FF0000"/>
        </w:rPr>
        <w:t xml:space="preserve"> </w:t>
      </w:r>
      <w:r w:rsidRPr="003A5336">
        <w:rPr>
          <w:rFonts w:cs="Times New Roman"/>
          <w:strike/>
        </w:rPr>
        <w:t xml:space="preserve">rozporządzenia LSR (fakultatywnie), </w:t>
      </w:r>
    </w:p>
    <w:p w14:paraId="2856ED69"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Pomoc jest przyznawana do wysokości limitu, który w okresie realizacji Programu Rozwoju Obszarów Wiejskich na lata 2014–2020 wynosi 300 tys. złotych na jednego beneficjenta.</w:t>
      </w:r>
    </w:p>
    <w:p w14:paraId="29DE8ED7"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W przypadku beneficjenta realizującego operację w zakresie inkubatorów przetwórstwa limit, wynosi 500 tys. złotych, z tym że na operacje w innym zakresie limit ten wynosi 300 tys. złotych.</w:t>
      </w:r>
    </w:p>
    <w:p w14:paraId="5A1AA2B3"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Wysokość pomocy przyznanej na jedną operację nie może przekroczyć:</w:t>
      </w:r>
    </w:p>
    <w:p w14:paraId="4AE089A3" w14:textId="77777777" w:rsidR="00466194" w:rsidRPr="003A5336" w:rsidRDefault="00466194" w:rsidP="006E7982">
      <w:pPr>
        <w:pStyle w:val="Akapitzlist"/>
        <w:numPr>
          <w:ilvl w:val="0"/>
          <w:numId w:val="1"/>
        </w:numPr>
        <w:autoSpaceDE w:val="0"/>
        <w:autoSpaceDN w:val="0"/>
        <w:adjustRightInd w:val="0"/>
        <w:spacing w:after="0" w:line="360" w:lineRule="auto"/>
        <w:jc w:val="both"/>
        <w:rPr>
          <w:rFonts w:cs="Times New Roman"/>
          <w:strike/>
        </w:rPr>
      </w:pPr>
      <w:r w:rsidRPr="003A5336">
        <w:rPr>
          <w:rFonts w:cs="Times New Roman"/>
          <w:strike/>
        </w:rPr>
        <w:t>500 tys. złotych – w przypadku operacji w zakresie inkubatorów przetwórstwa</w:t>
      </w:r>
    </w:p>
    <w:p w14:paraId="230D1F8A" w14:textId="77777777" w:rsidR="00466194" w:rsidRPr="003A5336" w:rsidRDefault="00466194" w:rsidP="006E7982">
      <w:pPr>
        <w:pStyle w:val="Akapitzlist"/>
        <w:numPr>
          <w:ilvl w:val="0"/>
          <w:numId w:val="1"/>
        </w:numPr>
        <w:autoSpaceDE w:val="0"/>
        <w:autoSpaceDN w:val="0"/>
        <w:adjustRightInd w:val="0"/>
        <w:spacing w:after="0" w:line="360" w:lineRule="auto"/>
        <w:jc w:val="both"/>
        <w:rPr>
          <w:rFonts w:cs="Times New Roman"/>
          <w:strike/>
        </w:rPr>
      </w:pPr>
      <w:r w:rsidRPr="003A5336">
        <w:rPr>
          <w:rFonts w:cs="Times New Roman"/>
          <w:strike/>
        </w:rPr>
        <w:lastRenderedPageBreak/>
        <w:t>300 tys. złotych – w przypadku operacji w zakresie innym niż podejmowanie działalności oraz rozwój inkubatorów przetwórstwa</w:t>
      </w:r>
    </w:p>
    <w:p w14:paraId="497FA522"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 xml:space="preserve">Przy ustalaniu wysokości środków pozostałych do wykorzystania w ramach limitu, o którym mowa w lit. c), uwzględnia się sumę kwot pomocy wypłaconej na zrealizowane operacje </w:t>
      </w:r>
      <w:r w:rsidRPr="003A5336">
        <w:rPr>
          <w:rFonts w:cs="Times New Roman"/>
          <w:strike/>
        </w:rPr>
        <w:br/>
        <w:t>i kwot pomocy przyznanej na operacje, których realizacja nie została jeszcze zakończona.</w:t>
      </w:r>
    </w:p>
    <w:p w14:paraId="40EEE570"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 xml:space="preserve">W przypadku wspólnej realizacji operacji albo realizacji operacji w ramach wykonywania działalności gospodarczej w formie spółki cywilnej przy ustalaniu wysokości środków pozostałych do wykorzystania w ramach limitu, o którym mowa w lit. c), przez każdy </w:t>
      </w:r>
      <w:r w:rsidRPr="003A5336">
        <w:rPr>
          <w:rFonts w:cs="Times New Roman"/>
          <w:strike/>
        </w:rPr>
        <w:br/>
        <w:t>z podmiotów realizujących tę operację wysokość limitu pomocy na beneficjenta jest pomniejszana każdemu podmiotowi o jednakową kwotę stanowiącą iloraz kwoty pomocy przyznanej na operację oraz liczby podmiotów realizujących tę operację.</w:t>
      </w:r>
    </w:p>
    <w:p w14:paraId="27E4DC98"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Lit. a) – e) nie stosuje się do przyznawania pomocy BLGD oraz podmiotowi będącemu jednostką sektora finansów publicznych.</w:t>
      </w:r>
    </w:p>
    <w:p w14:paraId="11EF8412" w14:textId="77777777" w:rsidR="00466194" w:rsidRPr="003A5336" w:rsidRDefault="00466194" w:rsidP="006E7982">
      <w:pPr>
        <w:pStyle w:val="Akapitzlist"/>
        <w:numPr>
          <w:ilvl w:val="0"/>
          <w:numId w:val="14"/>
        </w:numPr>
        <w:autoSpaceDE w:val="0"/>
        <w:autoSpaceDN w:val="0"/>
        <w:adjustRightInd w:val="0"/>
        <w:spacing w:after="0" w:line="360" w:lineRule="auto"/>
        <w:jc w:val="both"/>
        <w:rPr>
          <w:rFonts w:cs="Times New Roman"/>
          <w:strike/>
        </w:rPr>
      </w:pPr>
      <w:r w:rsidRPr="003A5336">
        <w:rPr>
          <w:rFonts w:cs="Times New Roman"/>
          <w:strike/>
        </w:rPr>
        <w:t>Wysokość pomocy przyznanej na:</w:t>
      </w:r>
    </w:p>
    <w:p w14:paraId="2CAA59A4" w14:textId="77777777" w:rsidR="00466194" w:rsidRPr="003A5336" w:rsidRDefault="00466194" w:rsidP="006E7982">
      <w:pPr>
        <w:pStyle w:val="Akapitzlist"/>
        <w:numPr>
          <w:ilvl w:val="0"/>
          <w:numId w:val="3"/>
        </w:numPr>
        <w:autoSpaceDE w:val="0"/>
        <w:autoSpaceDN w:val="0"/>
        <w:adjustRightInd w:val="0"/>
        <w:spacing w:after="0" w:line="360" w:lineRule="auto"/>
        <w:jc w:val="both"/>
        <w:rPr>
          <w:rFonts w:cs="Times New Roman"/>
          <w:strike/>
        </w:rPr>
      </w:pPr>
      <w:r w:rsidRPr="003A5336">
        <w:rPr>
          <w:rFonts w:cs="Times New Roman"/>
          <w:strike/>
        </w:rPr>
        <w:t>jeden projekt grantowy nie może przekroczyć 300 tys. złotych;</w:t>
      </w:r>
    </w:p>
    <w:p w14:paraId="1E3DBDC6" w14:textId="77777777" w:rsidR="00466194" w:rsidRPr="003A5336" w:rsidRDefault="00466194" w:rsidP="006E7982">
      <w:pPr>
        <w:pStyle w:val="Default"/>
        <w:numPr>
          <w:ilvl w:val="0"/>
          <w:numId w:val="3"/>
        </w:numPr>
        <w:spacing w:line="360" w:lineRule="auto"/>
        <w:jc w:val="both"/>
        <w:rPr>
          <w:rFonts w:asciiTheme="minorHAnsi" w:hAnsiTheme="minorHAnsi"/>
          <w:i/>
          <w:strike/>
          <w:sz w:val="22"/>
          <w:szCs w:val="22"/>
        </w:rPr>
      </w:pPr>
      <w:r w:rsidRPr="003A5336">
        <w:rPr>
          <w:rFonts w:asciiTheme="minorHAnsi" w:hAnsiTheme="minorHAnsi"/>
          <w:strike/>
          <w:sz w:val="22"/>
          <w:szCs w:val="22"/>
        </w:rPr>
        <w:t>jedną operację własną LGD nie może przekroczyć 50 tys. złotych</w:t>
      </w:r>
      <w:r w:rsidRPr="003A5336">
        <w:rPr>
          <w:rFonts w:asciiTheme="minorHAnsi" w:hAnsiTheme="minorHAnsi"/>
          <w:i/>
          <w:strike/>
          <w:sz w:val="22"/>
          <w:szCs w:val="22"/>
        </w:rPr>
        <w:t>.</w:t>
      </w:r>
    </w:p>
    <w:p w14:paraId="41A61C90" w14:textId="77777777" w:rsidR="00466194" w:rsidRPr="003A5336" w:rsidRDefault="00466194" w:rsidP="006E7982">
      <w:pPr>
        <w:pStyle w:val="Default"/>
        <w:numPr>
          <w:ilvl w:val="0"/>
          <w:numId w:val="4"/>
        </w:numPr>
        <w:spacing w:line="360" w:lineRule="auto"/>
        <w:ind w:left="426"/>
        <w:jc w:val="both"/>
        <w:rPr>
          <w:rFonts w:asciiTheme="minorHAnsi" w:hAnsiTheme="minorHAnsi"/>
          <w:strike/>
          <w:color w:val="auto"/>
          <w:sz w:val="22"/>
          <w:szCs w:val="22"/>
        </w:rPr>
      </w:pPr>
      <w:r w:rsidRPr="003A5336">
        <w:rPr>
          <w:rFonts w:asciiTheme="minorHAnsi" w:hAnsiTheme="minorHAnsi"/>
          <w:strike/>
          <w:sz w:val="22"/>
          <w:szCs w:val="22"/>
        </w:rPr>
        <w:t xml:space="preserve">Zastosowanie odpowiedniej wskazanej w LSR wartości premii określonej np. dla danego typu operacji lub rodzaju działalności gospodarczej, w granicach określonych przepisami </w:t>
      </w:r>
      <w:r w:rsidRPr="003A5336">
        <w:rPr>
          <w:rFonts w:asciiTheme="minorHAnsi" w:hAnsiTheme="minorHAnsi"/>
          <w:strike/>
          <w:color w:val="auto"/>
          <w:sz w:val="22"/>
          <w:szCs w:val="22"/>
        </w:rPr>
        <w:t>rozporządzenia LSR, tzn. od 50 tys. zł do 100 tys. zł.</w:t>
      </w:r>
    </w:p>
    <w:p w14:paraId="1CA28CAB" w14:textId="77777777" w:rsidR="00466194" w:rsidRPr="003A5336" w:rsidRDefault="00466194" w:rsidP="006E7982">
      <w:pPr>
        <w:pStyle w:val="Default"/>
        <w:numPr>
          <w:ilvl w:val="0"/>
          <w:numId w:val="15"/>
        </w:numPr>
        <w:spacing w:line="360" w:lineRule="auto"/>
        <w:jc w:val="both"/>
        <w:rPr>
          <w:rFonts w:asciiTheme="minorHAnsi" w:hAnsiTheme="minorHAnsi"/>
          <w:strike/>
          <w:color w:val="auto"/>
          <w:sz w:val="22"/>
          <w:szCs w:val="22"/>
        </w:rPr>
      </w:pPr>
      <w:r w:rsidRPr="003A5336">
        <w:rPr>
          <w:rFonts w:asciiTheme="minorHAnsi" w:hAnsiTheme="minorHAnsi"/>
          <w:strike/>
          <w:color w:val="auto"/>
          <w:sz w:val="22"/>
          <w:szCs w:val="22"/>
        </w:rPr>
        <w:t>Pomoc na operację w zakresie podejmowania działalności jest przyznawana w wysokości określonej w LSR, lecz nie wyższej niż 100 tys. złotych</w:t>
      </w:r>
    </w:p>
    <w:p w14:paraId="22FB331F" w14:textId="77777777" w:rsidR="00466194" w:rsidRPr="003A5336" w:rsidRDefault="00466194" w:rsidP="006E7982">
      <w:pPr>
        <w:pStyle w:val="Default"/>
        <w:numPr>
          <w:ilvl w:val="0"/>
          <w:numId w:val="16"/>
        </w:numPr>
        <w:spacing w:line="360" w:lineRule="auto"/>
        <w:ind w:left="426"/>
        <w:jc w:val="both"/>
        <w:rPr>
          <w:rFonts w:asciiTheme="minorHAnsi" w:hAnsiTheme="minorHAnsi"/>
          <w:strike/>
          <w:color w:val="FF0000"/>
          <w:sz w:val="22"/>
          <w:szCs w:val="22"/>
        </w:rPr>
      </w:pPr>
      <w:r w:rsidRPr="003A5336">
        <w:rPr>
          <w:rFonts w:asciiTheme="minorHAnsi" w:hAnsiTheme="minorHAnsi"/>
          <w:strike/>
          <w:color w:val="auto"/>
          <w:sz w:val="22"/>
          <w:szCs w:val="22"/>
        </w:rPr>
        <w:t>BLGD może zmniejszyć intensywność pomocy (poziom dofinansowania), wskazując w LSR np. dla danego typu operacji lub rodzaju działalności gospodarczej inne poziomy dofinansowania. Jeżeli BLGD nie będzie określać maksymalnych stawek kwot pomocy – w takim przypadku ustalenie przez BLGD kwoty pomocy dla danej operacji będzie stanowić iloczyn poziomu dofinansowania określonego przez BLGD oraz sumy kosztów kwalifikowalnych operacji. Jeśli tak wyliczona kwota pomocy będzie przekraczać kwotę pomocy określoną we wniosku przez podmiot ubiegający się o przyznanie pomocy lub maksymalną kwotę pomocy lub dostępne dla beneficjenta limity (pozostający do wykorzystania limit na beneficjenta w okresie programowania 2014-2020 oraz dostępny beneficjentowi limit pomocy de minimis) – BLGD dokonuje odpowiedniego zmniejszenia kwoty pomocy</w:t>
      </w:r>
      <w:r w:rsidRPr="003A5336">
        <w:rPr>
          <w:rFonts w:asciiTheme="minorHAnsi" w:hAnsiTheme="minorHAnsi"/>
          <w:strike/>
          <w:color w:val="FF0000"/>
          <w:sz w:val="22"/>
          <w:szCs w:val="22"/>
        </w:rPr>
        <w:t>.</w:t>
      </w:r>
    </w:p>
    <w:p w14:paraId="19E4EC2E" w14:textId="77777777" w:rsidR="00466194" w:rsidRPr="003A5336" w:rsidRDefault="00466194" w:rsidP="006E7982">
      <w:pPr>
        <w:pStyle w:val="Default"/>
        <w:numPr>
          <w:ilvl w:val="0"/>
          <w:numId w:val="17"/>
        </w:numPr>
        <w:spacing w:line="360" w:lineRule="auto"/>
        <w:ind w:left="426"/>
        <w:jc w:val="both"/>
        <w:rPr>
          <w:rFonts w:asciiTheme="minorHAnsi" w:hAnsiTheme="minorHAnsi"/>
          <w:strike/>
          <w:sz w:val="22"/>
          <w:szCs w:val="22"/>
        </w:rPr>
      </w:pPr>
      <w:r w:rsidRPr="003A5336">
        <w:rPr>
          <w:rFonts w:asciiTheme="minorHAnsi" w:hAnsiTheme="minorHAnsi"/>
          <w:strike/>
          <w:sz w:val="22"/>
          <w:szCs w:val="22"/>
        </w:rPr>
        <w:t xml:space="preserve">Rada BLGD może zmniejszyć maksymalną kwotę pomocy przewidzianą dla beneficjenta lub operacji, wskazując np. dla danego typu operacji lub rodzaju działalności gospodarczej inne wysokości kwoty pomocy. Jeżeli BLGD określi inne stawki kwot pomocy – w takim przypadku ustalenie przez BLGD kwoty pomocy dla danej operacji będzie się stanowić iloczyn poziomu </w:t>
      </w:r>
      <w:r w:rsidRPr="003A5336">
        <w:rPr>
          <w:rFonts w:asciiTheme="minorHAnsi" w:hAnsiTheme="minorHAnsi"/>
          <w:strike/>
          <w:sz w:val="22"/>
          <w:szCs w:val="22"/>
        </w:rPr>
        <w:lastRenderedPageBreak/>
        <w:t>dofinansowania określonego przez BLGD oraz sumy kosztów kwalifikowalnych operacji. Jeśli tak wyliczona kwota pomocy będzie przekraczać:</w:t>
      </w:r>
    </w:p>
    <w:p w14:paraId="7E4551DC" w14:textId="77777777" w:rsidR="00466194" w:rsidRPr="003A5336" w:rsidRDefault="00466194" w:rsidP="006E7982">
      <w:pPr>
        <w:pStyle w:val="Default"/>
        <w:numPr>
          <w:ilvl w:val="0"/>
          <w:numId w:val="18"/>
        </w:numPr>
        <w:spacing w:line="360" w:lineRule="auto"/>
        <w:jc w:val="both"/>
        <w:rPr>
          <w:rFonts w:asciiTheme="minorHAnsi" w:hAnsiTheme="minorHAnsi"/>
          <w:strike/>
          <w:sz w:val="22"/>
          <w:szCs w:val="22"/>
        </w:rPr>
      </w:pPr>
      <w:r w:rsidRPr="003A5336">
        <w:rPr>
          <w:rFonts w:asciiTheme="minorHAnsi" w:hAnsiTheme="minorHAnsi"/>
          <w:strike/>
          <w:sz w:val="22"/>
          <w:szCs w:val="22"/>
        </w:rPr>
        <w:t xml:space="preserve">maksymalną kwotę pomocy określoną przez BLGD w LSR lub ogłoszeniu, lub </w:t>
      </w:r>
    </w:p>
    <w:p w14:paraId="44626B1E" w14:textId="77777777" w:rsidR="00466194" w:rsidRPr="003A5336" w:rsidRDefault="00466194" w:rsidP="006E7982">
      <w:pPr>
        <w:pStyle w:val="Default"/>
        <w:numPr>
          <w:ilvl w:val="0"/>
          <w:numId w:val="18"/>
        </w:numPr>
        <w:spacing w:line="360" w:lineRule="auto"/>
        <w:jc w:val="both"/>
        <w:rPr>
          <w:rFonts w:asciiTheme="minorHAnsi" w:hAnsiTheme="minorHAnsi"/>
          <w:strike/>
          <w:sz w:val="22"/>
          <w:szCs w:val="22"/>
        </w:rPr>
      </w:pPr>
      <w:r w:rsidRPr="003A5336">
        <w:rPr>
          <w:rFonts w:asciiTheme="minorHAnsi" w:hAnsiTheme="minorHAnsi"/>
          <w:strike/>
          <w:sz w:val="22"/>
          <w:szCs w:val="22"/>
        </w:rPr>
        <w:t xml:space="preserve">kwotę pomocy określoną we wniosku przez podmiot ubiegający się o przyznanie pomocy, lub </w:t>
      </w:r>
    </w:p>
    <w:p w14:paraId="0EB44407" w14:textId="77777777" w:rsidR="00466194" w:rsidRPr="003A5336" w:rsidRDefault="00466194" w:rsidP="006E7982">
      <w:pPr>
        <w:pStyle w:val="Default"/>
        <w:numPr>
          <w:ilvl w:val="0"/>
          <w:numId w:val="18"/>
        </w:numPr>
        <w:spacing w:line="360" w:lineRule="auto"/>
        <w:jc w:val="both"/>
        <w:rPr>
          <w:rFonts w:asciiTheme="minorHAnsi" w:hAnsiTheme="minorHAnsi"/>
          <w:strike/>
          <w:sz w:val="22"/>
          <w:szCs w:val="22"/>
        </w:rPr>
      </w:pPr>
      <w:r w:rsidRPr="003A5336">
        <w:rPr>
          <w:rFonts w:asciiTheme="minorHAnsi" w:hAnsiTheme="minorHAnsi"/>
          <w:strike/>
          <w:sz w:val="22"/>
          <w:szCs w:val="22"/>
        </w:rPr>
        <w:t xml:space="preserve">maksymalną kwotę pomocy określoną w </w:t>
      </w:r>
      <w:r w:rsidRPr="003A5336">
        <w:rPr>
          <w:rFonts w:asciiTheme="minorHAnsi" w:hAnsiTheme="minorHAnsi"/>
          <w:strike/>
          <w:color w:val="auto"/>
          <w:sz w:val="22"/>
          <w:szCs w:val="22"/>
        </w:rPr>
        <w:t>§ 15 rozporządzenia LSR</w:t>
      </w:r>
      <w:r w:rsidRPr="003A5336">
        <w:rPr>
          <w:rFonts w:asciiTheme="minorHAnsi" w:hAnsiTheme="minorHAnsi"/>
          <w:strike/>
          <w:sz w:val="22"/>
          <w:szCs w:val="22"/>
        </w:rPr>
        <w:t xml:space="preserve">, lub </w:t>
      </w:r>
    </w:p>
    <w:p w14:paraId="34A28A20" w14:textId="77777777" w:rsidR="00466194" w:rsidRPr="003A5336" w:rsidRDefault="00466194" w:rsidP="006E7982">
      <w:pPr>
        <w:pStyle w:val="Default"/>
        <w:numPr>
          <w:ilvl w:val="0"/>
          <w:numId w:val="18"/>
        </w:numPr>
        <w:spacing w:line="360" w:lineRule="auto"/>
        <w:jc w:val="both"/>
        <w:rPr>
          <w:rFonts w:asciiTheme="minorHAnsi" w:hAnsiTheme="minorHAnsi"/>
          <w:strike/>
          <w:sz w:val="22"/>
          <w:szCs w:val="22"/>
        </w:rPr>
      </w:pPr>
      <w:r w:rsidRPr="003A5336">
        <w:rPr>
          <w:rFonts w:asciiTheme="minorHAnsi" w:hAnsiTheme="minorHAnsi"/>
          <w:strike/>
          <w:sz w:val="22"/>
          <w:szCs w:val="22"/>
        </w:rPr>
        <w:t xml:space="preserve">dostępne dla beneficjenta limity (pozostający do wykorzystania limit na beneficjenta </w:t>
      </w:r>
      <w:r w:rsidRPr="003A5336">
        <w:rPr>
          <w:rFonts w:asciiTheme="minorHAnsi" w:hAnsiTheme="minorHAnsi"/>
          <w:strike/>
          <w:sz w:val="22"/>
          <w:szCs w:val="22"/>
        </w:rPr>
        <w:br/>
        <w:t>w okresie programowania 2014-2020 oraz dostępny beneficjentowi limit pomocy de minimis) – LGD dokonuje odpowiedniego zmniejszenia kwoty pomocy.</w:t>
      </w:r>
    </w:p>
    <w:p w14:paraId="5A99AF56" w14:textId="77777777" w:rsidR="00466194" w:rsidRPr="003A5336" w:rsidRDefault="00466194" w:rsidP="006E7982">
      <w:pPr>
        <w:pStyle w:val="Default"/>
        <w:numPr>
          <w:ilvl w:val="0"/>
          <w:numId w:val="19"/>
        </w:numPr>
        <w:spacing w:line="360" w:lineRule="auto"/>
        <w:ind w:left="426"/>
        <w:jc w:val="both"/>
        <w:rPr>
          <w:rFonts w:asciiTheme="minorHAnsi" w:hAnsiTheme="minorHAnsi"/>
          <w:strike/>
          <w:sz w:val="22"/>
          <w:szCs w:val="22"/>
        </w:rPr>
      </w:pPr>
      <w:r w:rsidRPr="003A5336">
        <w:rPr>
          <w:rFonts w:asciiTheme="minorHAnsi" w:hAnsiTheme="minorHAnsi"/>
          <w:strike/>
          <w:sz w:val="22"/>
          <w:szCs w:val="22"/>
        </w:rPr>
        <w:t xml:space="preserve">BLGD określa w LSR wysokość premii, o jaką może ubiegać się Wnioskodawca. BLGD może ustalić jedną stawkę premii lub kilka stawek premii np. dla danego typu operacji lub rodzaju działalności gospodarczej. Uzasadnienie przyjętych stawek powinno być poprzedzone analizą </w:t>
      </w:r>
      <w:r w:rsidRPr="003A5336">
        <w:rPr>
          <w:rFonts w:asciiTheme="minorHAnsi" w:hAnsiTheme="minorHAnsi"/>
          <w:strike/>
          <w:sz w:val="22"/>
          <w:szCs w:val="22"/>
        </w:rPr>
        <w:br/>
        <w:t xml:space="preserve">i zamieszczone w LSR. Ustalenie przez BLGD wysokości premii dla danej operacji będzie się odbywać poprzez sprawdzenie, czy kwota premii wnioskowana przez podmiot ubiegający się </w:t>
      </w:r>
      <w:r w:rsidRPr="003A5336">
        <w:rPr>
          <w:rFonts w:asciiTheme="minorHAnsi" w:hAnsiTheme="minorHAnsi"/>
          <w:strike/>
          <w:sz w:val="22"/>
          <w:szCs w:val="22"/>
        </w:rPr>
        <w:br/>
        <w:t>o premię jest równa lub wyższa od kwoty premii określonej przez BLGD w LSR np. dla danego typu operacji lub rodzaju działalności gospodarczej. Jeśli wnioskowana kwota premii będzie niższa od określonej przez BLGD w LSR – nie będzie możliwe udzielenie wsparcia.</w:t>
      </w:r>
    </w:p>
    <w:p w14:paraId="54E85B8B" w14:textId="77777777" w:rsidR="00466194" w:rsidRPr="003A5336" w:rsidRDefault="00466194" w:rsidP="006E7982">
      <w:pPr>
        <w:spacing w:after="0" w:line="360" w:lineRule="auto"/>
      </w:pPr>
    </w:p>
    <w:p w14:paraId="710CD383" w14:textId="77777777" w:rsidR="00FD6E36" w:rsidRPr="003A5336" w:rsidRDefault="00FD6E36" w:rsidP="006E7982">
      <w:pPr>
        <w:spacing w:after="0" w:line="360" w:lineRule="auto"/>
        <w:jc w:val="center"/>
        <w:rPr>
          <w:rFonts w:cs="Times New Roman"/>
          <w:b/>
        </w:rPr>
      </w:pPr>
      <w:r w:rsidRPr="003A5336">
        <w:rPr>
          <w:rFonts w:cs="Times New Roman"/>
          <w:b/>
        </w:rPr>
        <w:t>§4</w:t>
      </w:r>
    </w:p>
    <w:p w14:paraId="141B37A3" w14:textId="77777777" w:rsidR="00FD6E36" w:rsidRPr="003A5336" w:rsidRDefault="00FD6E36" w:rsidP="006E7982">
      <w:pPr>
        <w:spacing w:after="0" w:line="360" w:lineRule="auto"/>
        <w:jc w:val="center"/>
        <w:rPr>
          <w:rFonts w:cs="Times New Roman"/>
          <w:b/>
        </w:rPr>
      </w:pPr>
      <w:r w:rsidRPr="003A5336">
        <w:rPr>
          <w:rFonts w:cs="Times New Roman"/>
          <w:b/>
        </w:rPr>
        <w:t>Przekazanie informacji beneficjentom</w:t>
      </w:r>
    </w:p>
    <w:p w14:paraId="7332232E" w14:textId="77777777" w:rsidR="008F2625" w:rsidRPr="003A5336" w:rsidRDefault="008F2625" w:rsidP="006E7982">
      <w:pPr>
        <w:pStyle w:val="Akapitzlist"/>
        <w:numPr>
          <w:ilvl w:val="0"/>
          <w:numId w:val="20"/>
        </w:numPr>
        <w:tabs>
          <w:tab w:val="left" w:pos="426"/>
        </w:tabs>
        <w:spacing w:after="0" w:line="360" w:lineRule="auto"/>
        <w:ind w:left="426"/>
        <w:jc w:val="both"/>
        <w:rPr>
          <w:rFonts w:eastAsia="Calibri" w:cs="Times New Roman"/>
        </w:rPr>
      </w:pPr>
      <w:r w:rsidRPr="003A5336">
        <w:rPr>
          <w:rFonts w:eastAsia="Calibri" w:cs="Times New Roman"/>
        </w:rPr>
        <w:t xml:space="preserve">Po zakończeniu wyboru operacji, </w:t>
      </w:r>
      <w:r w:rsidR="00383050" w:rsidRPr="003A5336">
        <w:rPr>
          <w:rFonts w:eastAsia="Calibri" w:cs="Times New Roman"/>
        </w:rPr>
        <w:t>B</w:t>
      </w:r>
      <w:r w:rsidRPr="003A5336">
        <w:rPr>
          <w:rFonts w:eastAsia="Calibri" w:cs="Times New Roman"/>
        </w:rPr>
        <w:t>LGD wykonuje</w:t>
      </w:r>
      <w:r w:rsidR="00383050" w:rsidRPr="003A5336">
        <w:rPr>
          <w:rFonts w:eastAsia="Calibri" w:cs="Times New Roman"/>
        </w:rPr>
        <w:t xml:space="preserve"> następujące</w:t>
      </w:r>
      <w:r w:rsidRPr="003A5336">
        <w:rPr>
          <w:rFonts w:eastAsia="Calibri" w:cs="Times New Roman"/>
        </w:rPr>
        <w:t xml:space="preserve"> zadania</w:t>
      </w:r>
      <w:r w:rsidR="00383050" w:rsidRPr="003A5336">
        <w:rPr>
          <w:rFonts w:eastAsia="Calibri" w:cs="Times New Roman"/>
        </w:rPr>
        <w:t>:</w:t>
      </w:r>
      <w:r w:rsidRPr="003A5336">
        <w:rPr>
          <w:rFonts w:eastAsia="Calibri" w:cs="Times New Roman"/>
        </w:rPr>
        <w:t xml:space="preserve"> </w:t>
      </w:r>
    </w:p>
    <w:p w14:paraId="657C9A0A" w14:textId="77777777" w:rsidR="000C3FA7" w:rsidRPr="003A5336" w:rsidRDefault="000C3FA7" w:rsidP="006E7982">
      <w:pPr>
        <w:autoSpaceDE w:val="0"/>
        <w:autoSpaceDN w:val="0"/>
        <w:adjustRightInd w:val="0"/>
        <w:spacing w:after="0" w:line="360" w:lineRule="auto"/>
        <w:ind w:left="709"/>
        <w:jc w:val="both"/>
        <w:rPr>
          <w:rFonts w:cs="Times New Roman"/>
        </w:rPr>
      </w:pPr>
      <w:r w:rsidRPr="003A5336">
        <w:rPr>
          <w:rFonts w:cs="Times New Roman"/>
        </w:rPr>
        <w:t>W terminie 7 dni od dn</w:t>
      </w:r>
      <w:r w:rsidR="00F118C8" w:rsidRPr="003A5336">
        <w:rPr>
          <w:rFonts w:cs="Times New Roman"/>
        </w:rPr>
        <w:t>ia zakończenia wyboru operacji</w:t>
      </w:r>
      <w:r w:rsidRPr="003A5336">
        <w:rPr>
          <w:rFonts w:cs="Times New Roman"/>
        </w:rPr>
        <w:t>:</w:t>
      </w:r>
    </w:p>
    <w:p w14:paraId="782E550F" w14:textId="6E372DD8" w:rsidR="000C3FA7" w:rsidRPr="003A5336" w:rsidRDefault="000C3FA7" w:rsidP="006E7982">
      <w:pPr>
        <w:pStyle w:val="Akapitzlist"/>
        <w:numPr>
          <w:ilvl w:val="0"/>
          <w:numId w:val="21"/>
        </w:numPr>
        <w:autoSpaceDE w:val="0"/>
        <w:autoSpaceDN w:val="0"/>
        <w:adjustRightInd w:val="0"/>
        <w:spacing w:after="0" w:line="360" w:lineRule="auto"/>
        <w:jc w:val="both"/>
        <w:rPr>
          <w:rFonts w:cs="Times New Roman"/>
        </w:rPr>
      </w:pPr>
      <w:r w:rsidRPr="003A5336">
        <w:rPr>
          <w:rFonts w:cs="Times New Roman"/>
        </w:rPr>
        <w:t>przekazuje podmiotowi ubiegającemu się o wsparcie, na wdrażanie operacji w ramach LSR, pisemną informacj</w:t>
      </w:r>
      <w:r w:rsidR="00F118C8" w:rsidRPr="003A5336">
        <w:rPr>
          <w:rFonts w:cs="Times New Roman"/>
        </w:rPr>
        <w:t xml:space="preserve">ę o wyniku oceny zgodności </w:t>
      </w:r>
      <w:r w:rsidRPr="003A5336">
        <w:rPr>
          <w:rFonts w:cs="Times New Roman"/>
        </w:rPr>
        <w:t xml:space="preserve">operacji z LSR lub wyniku wyboru, w tym oceny </w:t>
      </w:r>
      <w:r w:rsidR="00F118C8" w:rsidRPr="003A5336">
        <w:rPr>
          <w:rFonts w:cs="Times New Roman"/>
        </w:rPr>
        <w:t>w zakresie spełniania przez</w:t>
      </w:r>
      <w:r w:rsidRPr="003A5336">
        <w:rPr>
          <w:rFonts w:cs="Times New Roman"/>
        </w:rPr>
        <w:t xml:space="preserve"> operację kryteriów wyboru wraz z uzasadnieniem oceny </w:t>
      </w:r>
      <w:r w:rsidR="00772605" w:rsidRPr="003A5336">
        <w:rPr>
          <w:rFonts w:cs="Times New Roman"/>
        </w:rPr>
        <w:br/>
      </w:r>
      <w:r w:rsidRPr="003A5336">
        <w:rPr>
          <w:rFonts w:cs="Times New Roman"/>
        </w:rPr>
        <w:t xml:space="preserve">i podaniem liczby </w:t>
      </w:r>
      <w:r w:rsidR="00F118C8" w:rsidRPr="003A5336">
        <w:rPr>
          <w:rFonts w:cs="Times New Roman"/>
        </w:rPr>
        <w:t>uzyskanych punktów</w:t>
      </w:r>
      <w:r w:rsidR="00B73A53" w:rsidRPr="003A5336">
        <w:rPr>
          <w:rFonts w:cs="Times New Roman"/>
        </w:rPr>
        <w:t xml:space="preserve">. </w:t>
      </w:r>
      <w:r w:rsidR="00B73A53" w:rsidRPr="003A5336">
        <w:rPr>
          <w:rFonts w:cs="Times New Roman"/>
          <w:color w:val="FF0000"/>
        </w:rPr>
        <w:t>BLGD</w:t>
      </w:r>
      <w:r w:rsidR="00B73A53" w:rsidRPr="003A5336">
        <w:rPr>
          <w:rFonts w:cs="Times New Roman"/>
        </w:rPr>
        <w:t xml:space="preserve"> </w:t>
      </w:r>
      <w:r w:rsidR="00B73A53" w:rsidRPr="003A5336">
        <w:rPr>
          <w:rFonts w:cs="Times New Roman"/>
          <w:color w:val="FF0000"/>
        </w:rPr>
        <w:t>informuje także o ustalonej kwocie wsparcia.</w:t>
      </w:r>
      <w:r w:rsidR="00B73A53" w:rsidRPr="003A5336">
        <w:rPr>
          <w:rFonts w:cs="Times New Roman"/>
        </w:rPr>
        <w:t xml:space="preserve"> </w:t>
      </w:r>
      <w:r w:rsidRPr="003A5336">
        <w:rPr>
          <w:rFonts w:cs="Times New Roman"/>
        </w:rPr>
        <w:t xml:space="preserve"> </w:t>
      </w:r>
      <w:r w:rsidR="00EF132A">
        <w:rPr>
          <w:rFonts w:cs="Times New Roman"/>
          <w:strike/>
        </w:rPr>
        <w:br/>
      </w:r>
      <w:r w:rsidR="00B73A53" w:rsidRPr="003A5336">
        <w:rPr>
          <w:rFonts w:cs="Times New Roman"/>
        </w:rPr>
        <w:t>W</w:t>
      </w:r>
      <w:r w:rsidRPr="003A5336">
        <w:rPr>
          <w:rFonts w:cs="Times New Roman"/>
        </w:rPr>
        <w:t xml:space="preserve"> przypadku pozytywnego wyniku wyboru – zawierającą dodatkowo wskazanie, czy w dniu przekazania wniosków o udzielenie wsparcia, na wdrażanie operacji w ramach LSR, do zarządu województwa operacja mieści się w limicie środków wskazanym </w:t>
      </w:r>
      <w:r w:rsidR="00F118C8" w:rsidRPr="003A5336">
        <w:rPr>
          <w:rFonts w:cs="Times New Roman"/>
        </w:rPr>
        <w:t xml:space="preserve">w ogłoszeniu o naborze </w:t>
      </w:r>
      <w:r w:rsidRPr="003A5336">
        <w:rPr>
          <w:rFonts w:cs="Times New Roman"/>
        </w:rPr>
        <w:t>wniosków</w:t>
      </w:r>
      <w:r w:rsidR="006307D5" w:rsidRPr="003A5336">
        <w:rPr>
          <w:rFonts w:cs="Times New Roman"/>
        </w:rPr>
        <w:t xml:space="preserve"> </w:t>
      </w:r>
      <w:r w:rsidR="006307D5" w:rsidRPr="003A5336">
        <w:rPr>
          <w:rFonts w:cs="Times New Roman"/>
          <w:color w:val="FF0000"/>
        </w:rPr>
        <w:t>o przyznanie pomocy</w:t>
      </w:r>
      <w:r w:rsidRPr="003A5336">
        <w:rPr>
          <w:rFonts w:cs="Times New Roman"/>
        </w:rPr>
        <w:t>;</w:t>
      </w:r>
    </w:p>
    <w:p w14:paraId="24822214" w14:textId="77777777" w:rsidR="000C3FA7" w:rsidRPr="003A5336" w:rsidRDefault="000C3FA7" w:rsidP="006E7982">
      <w:pPr>
        <w:pStyle w:val="Akapitzlist"/>
        <w:numPr>
          <w:ilvl w:val="0"/>
          <w:numId w:val="21"/>
        </w:numPr>
        <w:autoSpaceDE w:val="0"/>
        <w:autoSpaceDN w:val="0"/>
        <w:adjustRightInd w:val="0"/>
        <w:spacing w:after="0" w:line="360" w:lineRule="auto"/>
        <w:jc w:val="both"/>
        <w:rPr>
          <w:rFonts w:cs="Times New Roman"/>
        </w:rPr>
      </w:pPr>
      <w:r w:rsidRPr="003A5336">
        <w:rPr>
          <w:rFonts w:cs="Times New Roman"/>
        </w:rPr>
        <w:t xml:space="preserve">zamieszcza na swojej stronie internetowej listę operacji zgodnych z LSR oraz listę operacji wybranych, ze wskazaniem, które z operacji mieszczą się w limicie środków wskazanym </w:t>
      </w:r>
      <w:r w:rsidR="00F81BEA" w:rsidRPr="003A5336">
        <w:rPr>
          <w:rFonts w:cs="Times New Roman"/>
        </w:rPr>
        <w:br/>
      </w:r>
      <w:r w:rsidRPr="003A5336">
        <w:rPr>
          <w:rFonts w:cs="Times New Roman"/>
        </w:rPr>
        <w:t>w ogłoszeniu o naborze wniosków o udzielenie wsparcia, na wdrażanie operacji w ramach LSR</w:t>
      </w:r>
      <w:r w:rsidR="00F118C8" w:rsidRPr="003A5336">
        <w:rPr>
          <w:rFonts w:cs="Times New Roman"/>
        </w:rPr>
        <w:t>.</w:t>
      </w:r>
    </w:p>
    <w:p w14:paraId="2F621609" w14:textId="77777777" w:rsidR="008F2625" w:rsidRPr="003A5336" w:rsidRDefault="008F2625" w:rsidP="006E7982">
      <w:pPr>
        <w:pStyle w:val="Akapitzlist"/>
        <w:numPr>
          <w:ilvl w:val="0"/>
          <w:numId w:val="20"/>
        </w:numPr>
        <w:spacing w:after="0" w:line="360" w:lineRule="auto"/>
        <w:ind w:left="426"/>
        <w:jc w:val="both"/>
        <w:rPr>
          <w:rFonts w:eastAsia="Calibri" w:cs="Times New Roman"/>
        </w:rPr>
      </w:pPr>
      <w:r w:rsidRPr="003A5336">
        <w:rPr>
          <w:rFonts w:eastAsia="Calibri" w:cs="Times New Roman"/>
        </w:rPr>
        <w:t xml:space="preserve">Ponadto, na stronie internetowej </w:t>
      </w:r>
      <w:r w:rsidR="00F81BEA" w:rsidRPr="003A5336">
        <w:rPr>
          <w:rFonts w:eastAsia="Calibri" w:cs="Times New Roman"/>
        </w:rPr>
        <w:t>B</w:t>
      </w:r>
      <w:r w:rsidRPr="003A5336">
        <w:rPr>
          <w:rFonts w:eastAsia="Calibri" w:cs="Times New Roman"/>
        </w:rPr>
        <w:t>LGD zamieszcza protokół z posiedzenia Rady, dotyczącego oceny i wyboru operacji, zawierający informację o wyłączeniach w związku z potencjalnym konfliktem interesów.</w:t>
      </w:r>
    </w:p>
    <w:p w14:paraId="60F416A8" w14:textId="77777777" w:rsidR="008F2625" w:rsidRPr="003A5336" w:rsidRDefault="008F2625" w:rsidP="006E7982">
      <w:pPr>
        <w:pStyle w:val="Akapitzlist"/>
        <w:numPr>
          <w:ilvl w:val="0"/>
          <w:numId w:val="20"/>
        </w:numPr>
        <w:tabs>
          <w:tab w:val="left" w:pos="851"/>
        </w:tabs>
        <w:spacing w:after="0" w:line="360" w:lineRule="auto"/>
        <w:ind w:left="426"/>
        <w:jc w:val="both"/>
        <w:rPr>
          <w:rFonts w:eastAsia="Calibri" w:cs="Times New Roman"/>
        </w:rPr>
      </w:pPr>
      <w:r w:rsidRPr="003A5336">
        <w:rPr>
          <w:rFonts w:eastAsia="Calibri" w:cs="Times New Roman"/>
        </w:rPr>
        <w:lastRenderedPageBreak/>
        <w:t>Przekazywaną do podmiotów ubie</w:t>
      </w:r>
      <w:r w:rsidR="00F118C8" w:rsidRPr="003A5336">
        <w:rPr>
          <w:rFonts w:eastAsia="Calibri" w:cs="Times New Roman"/>
        </w:rPr>
        <w:t xml:space="preserve">gających się o wsparcie, </w:t>
      </w:r>
      <w:r w:rsidRPr="003A5336">
        <w:rPr>
          <w:rFonts w:eastAsia="Calibri" w:cs="Times New Roman"/>
        </w:rPr>
        <w:t xml:space="preserve">informacje </w:t>
      </w:r>
      <w:r w:rsidR="00DF0698" w:rsidRPr="003A5336">
        <w:rPr>
          <w:rFonts w:eastAsia="Calibri" w:cs="Times New Roman"/>
        </w:rPr>
        <w:t xml:space="preserve">BLGD sporządza </w:t>
      </w:r>
      <w:r w:rsidRPr="003A5336">
        <w:rPr>
          <w:rFonts w:eastAsia="Calibri" w:cs="Times New Roman"/>
        </w:rPr>
        <w:t xml:space="preserve"> </w:t>
      </w:r>
      <w:r w:rsidR="00772605" w:rsidRPr="003A5336">
        <w:rPr>
          <w:rFonts w:eastAsia="Calibri" w:cs="Times New Roman"/>
        </w:rPr>
        <w:br/>
      </w:r>
      <w:r w:rsidRPr="003A5336">
        <w:rPr>
          <w:rFonts w:eastAsia="Calibri" w:cs="Times New Roman"/>
        </w:rPr>
        <w:t xml:space="preserve">w postaci pisma, podpisanego przez osobę </w:t>
      </w:r>
      <w:r w:rsidR="00F118C8" w:rsidRPr="003A5336">
        <w:rPr>
          <w:rFonts w:eastAsia="Calibri" w:cs="Times New Roman"/>
        </w:rPr>
        <w:t>do tego upoważnioną</w:t>
      </w:r>
      <w:r w:rsidRPr="003A5336">
        <w:rPr>
          <w:rFonts w:eastAsia="Calibri" w:cs="Times New Roman"/>
        </w:rPr>
        <w:t>. Forma przekazywania wnioskodawcom pisma może różnić s</w:t>
      </w:r>
      <w:r w:rsidR="00F81BEA" w:rsidRPr="003A5336">
        <w:rPr>
          <w:rFonts w:eastAsia="Calibri" w:cs="Times New Roman"/>
        </w:rPr>
        <w:t xml:space="preserve">ię w zależności od wyniku oceny. </w:t>
      </w:r>
      <w:r w:rsidRPr="003A5336">
        <w:rPr>
          <w:rFonts w:eastAsia="Calibri" w:cs="Times New Roman"/>
        </w:rPr>
        <w:t xml:space="preserve">W przypadku operacji wybranych przez </w:t>
      </w:r>
      <w:r w:rsidR="00F81BEA" w:rsidRPr="003A5336">
        <w:rPr>
          <w:rFonts w:eastAsia="Calibri" w:cs="Times New Roman"/>
        </w:rPr>
        <w:t>B</w:t>
      </w:r>
      <w:r w:rsidRPr="003A5336">
        <w:rPr>
          <w:rFonts w:eastAsia="Calibri" w:cs="Times New Roman"/>
        </w:rPr>
        <w:t>LGD do finansowania, które mieszczą się w limicie środków, w odniesieniu do których ustawa RLKS nie przewiduje możliwości wniesienia protestu, skan pisma jest przekazywany drogą poczty elektronicznej (z opcją potwierdzania dostarczenia i odczytu wiadomości).</w:t>
      </w:r>
      <w:r w:rsidR="006307D5" w:rsidRPr="003A5336">
        <w:rPr>
          <w:rFonts w:eastAsia="Calibri" w:cs="Times New Roman"/>
        </w:rPr>
        <w:t xml:space="preserve"> </w:t>
      </w:r>
      <w:r w:rsidR="006307D5" w:rsidRPr="003A5336">
        <w:rPr>
          <w:rFonts w:eastAsia="Calibri" w:cs="Times New Roman"/>
          <w:color w:val="FF0000"/>
        </w:rPr>
        <w:t>W pozostałych przypadkach, skan pisma przekazywany jest drogą poczty elektronicznej, a oryginał pisma – listem poleconym ze zwrotnym potwierdzeniem odbioru. Jest to niezbędne w celu potwierdzenia doręczenia pisma.</w:t>
      </w:r>
    </w:p>
    <w:p w14:paraId="0F161E80" w14:textId="77777777" w:rsidR="009D1203" w:rsidRPr="003A5336" w:rsidRDefault="009D1203" w:rsidP="006E7982">
      <w:pPr>
        <w:pStyle w:val="Akapitzlist"/>
        <w:tabs>
          <w:tab w:val="left" w:pos="851"/>
        </w:tabs>
        <w:spacing w:after="0" w:line="360" w:lineRule="auto"/>
        <w:ind w:left="426"/>
        <w:jc w:val="both"/>
        <w:rPr>
          <w:rFonts w:eastAsia="Calibri" w:cs="Times New Roman"/>
        </w:rPr>
      </w:pPr>
    </w:p>
    <w:p w14:paraId="5E9CC474" w14:textId="77777777" w:rsidR="009D1203" w:rsidRPr="003A5336" w:rsidRDefault="0045442D" w:rsidP="006E7982">
      <w:pPr>
        <w:spacing w:after="0" w:line="360" w:lineRule="auto"/>
        <w:jc w:val="center"/>
        <w:rPr>
          <w:rFonts w:cs="Times New Roman"/>
          <w:b/>
        </w:rPr>
      </w:pPr>
      <w:r w:rsidRPr="003A5336">
        <w:rPr>
          <w:rFonts w:cs="Times New Roman"/>
          <w:b/>
        </w:rPr>
        <w:t>§5</w:t>
      </w:r>
    </w:p>
    <w:p w14:paraId="3F297992" w14:textId="77777777" w:rsidR="0045442D" w:rsidRPr="003A5336" w:rsidRDefault="0045442D" w:rsidP="006E7982">
      <w:pPr>
        <w:tabs>
          <w:tab w:val="left" w:pos="851"/>
        </w:tabs>
        <w:spacing w:before="120" w:after="0" w:line="360" w:lineRule="auto"/>
        <w:ind w:left="851" w:hanging="425"/>
        <w:jc w:val="center"/>
        <w:rPr>
          <w:rFonts w:eastAsia="Calibri" w:cs="Times New Roman"/>
          <w:b/>
        </w:rPr>
      </w:pPr>
      <w:r w:rsidRPr="003A5336">
        <w:rPr>
          <w:rFonts w:eastAsia="Calibri" w:cs="Times New Roman"/>
          <w:b/>
        </w:rPr>
        <w:t>Procedura protestu</w:t>
      </w:r>
    </w:p>
    <w:p w14:paraId="3529B14D" w14:textId="77777777" w:rsidR="00E41ADE" w:rsidRPr="003A5336" w:rsidRDefault="00E41ADE" w:rsidP="00107DB1">
      <w:pPr>
        <w:pStyle w:val="Akapitzlist"/>
        <w:numPr>
          <w:ilvl w:val="0"/>
          <w:numId w:val="30"/>
        </w:numPr>
        <w:autoSpaceDE w:val="0"/>
        <w:autoSpaceDN w:val="0"/>
        <w:adjustRightInd w:val="0"/>
        <w:spacing w:after="0" w:line="360" w:lineRule="auto"/>
        <w:ind w:left="426"/>
        <w:jc w:val="both"/>
        <w:rPr>
          <w:rFonts w:cs="Times New Roman"/>
        </w:rPr>
      </w:pPr>
      <w:r w:rsidRPr="003A5336">
        <w:rPr>
          <w:rFonts w:cs="Times New Roman"/>
        </w:rPr>
        <w:t xml:space="preserve">Jeżeli operacja została negatywnie oceniona pod względem zgodności z LSR, nie została wybrana albo została wybrana ale nie mieści się w limicie środków, BLGD informuje wnioskodawcę o tym fakcie, przy czym informacja ta zawiera pouczenie o możliwości wniesienia protestu, określające: </w:t>
      </w:r>
    </w:p>
    <w:p w14:paraId="1B83B9F5" w14:textId="77777777" w:rsidR="00E41ADE" w:rsidRPr="003A5336" w:rsidRDefault="00E41ADE" w:rsidP="00107DB1">
      <w:pPr>
        <w:pStyle w:val="Akapitzlist"/>
        <w:numPr>
          <w:ilvl w:val="0"/>
          <w:numId w:val="31"/>
        </w:numPr>
        <w:autoSpaceDE w:val="0"/>
        <w:autoSpaceDN w:val="0"/>
        <w:adjustRightInd w:val="0"/>
        <w:spacing w:after="0" w:line="360" w:lineRule="auto"/>
        <w:jc w:val="both"/>
        <w:rPr>
          <w:rFonts w:cs="Times New Roman"/>
        </w:rPr>
      </w:pPr>
      <w:r w:rsidRPr="003A5336">
        <w:rPr>
          <w:rFonts w:cs="Times New Roman"/>
        </w:rPr>
        <w:t xml:space="preserve">termin wniesienia protestu, </w:t>
      </w:r>
    </w:p>
    <w:p w14:paraId="27819D75" w14:textId="77777777" w:rsidR="00E41ADE" w:rsidRPr="003A5336" w:rsidRDefault="00E41ADE" w:rsidP="00107DB1">
      <w:pPr>
        <w:pStyle w:val="Akapitzlist"/>
        <w:numPr>
          <w:ilvl w:val="0"/>
          <w:numId w:val="31"/>
        </w:numPr>
        <w:autoSpaceDE w:val="0"/>
        <w:autoSpaceDN w:val="0"/>
        <w:adjustRightInd w:val="0"/>
        <w:spacing w:after="0" w:line="360" w:lineRule="auto"/>
        <w:jc w:val="both"/>
        <w:rPr>
          <w:rFonts w:cs="Times New Roman"/>
        </w:rPr>
      </w:pPr>
      <w:r w:rsidRPr="003A5336">
        <w:rPr>
          <w:rFonts w:cs="Times New Roman"/>
        </w:rPr>
        <w:t>zarząd województwa lubelskiego do którego należy skierować protest za pośrednictwem BLGD,</w:t>
      </w:r>
    </w:p>
    <w:p w14:paraId="328266D9" w14:textId="77777777" w:rsidR="00E41ADE" w:rsidRPr="003A5336" w:rsidRDefault="00E41ADE" w:rsidP="00107DB1">
      <w:pPr>
        <w:pStyle w:val="Akapitzlist"/>
        <w:numPr>
          <w:ilvl w:val="0"/>
          <w:numId w:val="31"/>
        </w:numPr>
        <w:autoSpaceDE w:val="0"/>
        <w:autoSpaceDN w:val="0"/>
        <w:adjustRightInd w:val="0"/>
        <w:spacing w:after="0" w:line="360" w:lineRule="auto"/>
        <w:jc w:val="both"/>
        <w:rPr>
          <w:rFonts w:cs="Times New Roman"/>
        </w:rPr>
      </w:pPr>
      <w:r w:rsidRPr="003A5336">
        <w:rPr>
          <w:rFonts w:cs="Times New Roman"/>
        </w:rPr>
        <w:t>wymogi formalne protestu.</w:t>
      </w:r>
    </w:p>
    <w:p w14:paraId="1BB8F3FC" w14:textId="6810688D" w:rsidR="00D279AE" w:rsidRPr="003A5336" w:rsidRDefault="00E41ADE" w:rsidP="00107DB1">
      <w:pPr>
        <w:pStyle w:val="Akapitzlist"/>
        <w:numPr>
          <w:ilvl w:val="0"/>
          <w:numId w:val="30"/>
        </w:numPr>
        <w:autoSpaceDE w:val="0"/>
        <w:autoSpaceDN w:val="0"/>
        <w:adjustRightInd w:val="0"/>
        <w:spacing w:after="0" w:line="360" w:lineRule="auto"/>
        <w:ind w:left="426"/>
        <w:jc w:val="both"/>
        <w:rPr>
          <w:rFonts w:cs="Times New Roman"/>
          <w:color w:val="FF0000"/>
        </w:rPr>
      </w:pPr>
      <w:r w:rsidRPr="003A5336">
        <w:rPr>
          <w:rFonts w:cs="Times New Roman"/>
          <w:color w:val="FF0000"/>
        </w:rPr>
        <w:t>Protest przysługuje jeżeli</w:t>
      </w:r>
      <w:r w:rsidR="00D279AE" w:rsidRPr="003A5336">
        <w:rPr>
          <w:rFonts w:cs="Times New Roman"/>
          <w:color w:val="FF0000"/>
        </w:rPr>
        <w:t>:</w:t>
      </w:r>
    </w:p>
    <w:p w14:paraId="4FB06866" w14:textId="4E5A61C5" w:rsidR="00E41ADE" w:rsidRPr="003A5336" w:rsidRDefault="00D279AE" w:rsidP="00107DB1">
      <w:pPr>
        <w:pStyle w:val="Akapitzlist"/>
        <w:numPr>
          <w:ilvl w:val="0"/>
          <w:numId w:val="39"/>
        </w:numPr>
        <w:autoSpaceDE w:val="0"/>
        <w:autoSpaceDN w:val="0"/>
        <w:adjustRightInd w:val="0"/>
        <w:spacing w:after="0" w:line="360" w:lineRule="auto"/>
        <w:jc w:val="both"/>
        <w:rPr>
          <w:rFonts w:cs="Times New Roman"/>
          <w:color w:val="FF0000"/>
        </w:rPr>
      </w:pPr>
      <w:r w:rsidRPr="003A5336">
        <w:rPr>
          <w:rFonts w:cs="Times New Roman"/>
          <w:color w:val="FF0000"/>
        </w:rPr>
        <w:t xml:space="preserve">operacja </w:t>
      </w:r>
      <w:r w:rsidR="00E41ADE" w:rsidRPr="003A5336">
        <w:rPr>
          <w:rFonts w:cs="Times New Roman"/>
          <w:color w:val="FF0000"/>
        </w:rPr>
        <w:t>nie została wybrana z uwagi na:</w:t>
      </w:r>
    </w:p>
    <w:p w14:paraId="0D37770F" w14:textId="77777777" w:rsidR="00D279AE" w:rsidRPr="003A5336" w:rsidRDefault="00E41ADE" w:rsidP="00107DB1">
      <w:pPr>
        <w:pStyle w:val="Akapitzlist"/>
        <w:numPr>
          <w:ilvl w:val="0"/>
          <w:numId w:val="38"/>
        </w:numPr>
        <w:autoSpaceDE w:val="0"/>
        <w:autoSpaceDN w:val="0"/>
        <w:adjustRightInd w:val="0"/>
        <w:spacing w:after="0" w:line="360" w:lineRule="auto"/>
        <w:jc w:val="both"/>
        <w:rPr>
          <w:rFonts w:cs="Times New Roman"/>
          <w:color w:val="FF0000"/>
        </w:rPr>
      </w:pPr>
      <w:r w:rsidRPr="003A5336">
        <w:rPr>
          <w:rFonts w:cs="Times New Roman"/>
          <w:color w:val="FF0000"/>
        </w:rPr>
        <w:t>brak zgodności z LSR,</w:t>
      </w:r>
    </w:p>
    <w:p w14:paraId="626F1ED0" w14:textId="77777777" w:rsidR="00D279AE" w:rsidRPr="003A5336" w:rsidRDefault="00E41ADE" w:rsidP="00107DB1">
      <w:pPr>
        <w:pStyle w:val="Akapitzlist"/>
        <w:numPr>
          <w:ilvl w:val="0"/>
          <w:numId w:val="38"/>
        </w:numPr>
        <w:autoSpaceDE w:val="0"/>
        <w:autoSpaceDN w:val="0"/>
        <w:adjustRightInd w:val="0"/>
        <w:spacing w:after="0" w:line="360" w:lineRule="auto"/>
        <w:jc w:val="both"/>
        <w:rPr>
          <w:rFonts w:cs="Times New Roman"/>
          <w:color w:val="FF0000"/>
        </w:rPr>
      </w:pPr>
      <w:r w:rsidRPr="003A5336">
        <w:rPr>
          <w:rFonts w:cs="Times New Roman"/>
          <w:color w:val="FF0000"/>
        </w:rPr>
        <w:t>nieterminowe złożenie wniosku,</w:t>
      </w:r>
    </w:p>
    <w:p w14:paraId="6F0E77C4" w14:textId="77777777" w:rsidR="00D279AE" w:rsidRPr="003A5336" w:rsidRDefault="00E41ADE" w:rsidP="00107DB1">
      <w:pPr>
        <w:pStyle w:val="Akapitzlist"/>
        <w:numPr>
          <w:ilvl w:val="0"/>
          <w:numId w:val="38"/>
        </w:numPr>
        <w:autoSpaceDE w:val="0"/>
        <w:autoSpaceDN w:val="0"/>
        <w:adjustRightInd w:val="0"/>
        <w:spacing w:after="0" w:line="360" w:lineRule="auto"/>
        <w:jc w:val="both"/>
        <w:rPr>
          <w:rFonts w:cs="Times New Roman"/>
          <w:color w:val="FF0000"/>
        </w:rPr>
      </w:pPr>
      <w:r w:rsidRPr="003A5336">
        <w:rPr>
          <w:rFonts w:cs="Times New Roman"/>
          <w:color w:val="FF0000"/>
        </w:rPr>
        <w:t>brak zgodności z zakresem tematycznym,</w:t>
      </w:r>
    </w:p>
    <w:p w14:paraId="3CC64716" w14:textId="37C3D6A6" w:rsidR="00E41ADE" w:rsidRPr="003A5336" w:rsidRDefault="00E41ADE" w:rsidP="00107DB1">
      <w:pPr>
        <w:pStyle w:val="Akapitzlist"/>
        <w:numPr>
          <w:ilvl w:val="0"/>
          <w:numId w:val="38"/>
        </w:numPr>
        <w:autoSpaceDE w:val="0"/>
        <w:autoSpaceDN w:val="0"/>
        <w:adjustRightInd w:val="0"/>
        <w:spacing w:after="0" w:line="360" w:lineRule="auto"/>
        <w:jc w:val="both"/>
        <w:rPr>
          <w:rFonts w:cs="Times New Roman"/>
          <w:color w:val="FF0000"/>
        </w:rPr>
      </w:pPr>
      <w:r w:rsidRPr="003A5336">
        <w:rPr>
          <w:rFonts w:cs="Times New Roman"/>
          <w:color w:val="FF0000"/>
        </w:rPr>
        <w:t xml:space="preserve">nieuzyskanie minimalnej liczby </w:t>
      </w:r>
      <w:r w:rsidR="00D279AE" w:rsidRPr="003A5336">
        <w:rPr>
          <w:rFonts w:cs="Times New Roman"/>
          <w:color w:val="FF0000"/>
        </w:rPr>
        <w:t xml:space="preserve">punktów ze wszystkich kryteriów. </w:t>
      </w:r>
    </w:p>
    <w:p w14:paraId="4113217F" w14:textId="551686B0" w:rsidR="00D279AE" w:rsidRPr="003A5336" w:rsidRDefault="00D279AE" w:rsidP="00107DB1">
      <w:pPr>
        <w:pStyle w:val="Akapitzlist"/>
        <w:numPr>
          <w:ilvl w:val="0"/>
          <w:numId w:val="39"/>
        </w:numPr>
        <w:autoSpaceDE w:val="0"/>
        <w:autoSpaceDN w:val="0"/>
        <w:adjustRightInd w:val="0"/>
        <w:spacing w:after="0" w:line="360" w:lineRule="auto"/>
        <w:jc w:val="both"/>
        <w:rPr>
          <w:rFonts w:cs="Times New Roman"/>
          <w:color w:val="FF0000"/>
        </w:rPr>
      </w:pPr>
      <w:r w:rsidRPr="003A5336">
        <w:rPr>
          <w:rFonts w:cs="Times New Roman"/>
          <w:color w:val="FF0000"/>
        </w:rPr>
        <w:t>Wnioskowana kwota pomocy uległa obniżeniu prze Radę BLGD.</w:t>
      </w:r>
    </w:p>
    <w:p w14:paraId="6A169C3C" w14:textId="77777777" w:rsidR="00E41ADE" w:rsidRPr="003A5336" w:rsidRDefault="00E41ADE" w:rsidP="00107DB1">
      <w:pPr>
        <w:pStyle w:val="Akapitzlist"/>
        <w:numPr>
          <w:ilvl w:val="0"/>
          <w:numId w:val="22"/>
        </w:numPr>
        <w:autoSpaceDE w:val="0"/>
        <w:autoSpaceDN w:val="0"/>
        <w:adjustRightInd w:val="0"/>
        <w:spacing w:after="0" w:line="360" w:lineRule="auto"/>
        <w:ind w:left="426" w:hanging="426"/>
        <w:jc w:val="both"/>
        <w:rPr>
          <w:rFonts w:cs="Times New Roman"/>
        </w:rPr>
      </w:pPr>
      <w:r w:rsidRPr="003A5336">
        <w:rPr>
          <w:rFonts w:cs="Times New Roman"/>
        </w:rPr>
        <w:t>Protest wnosi się w terminie 7 dni od dnia doręczenia informacji w sprawie wyników wyboru operacji do BLGD. BLGD rozpatruje protest w ciągi 14 od dnia dostarczenia do Biura. W przypadku negatywnego rozpatrzenia protestu BLGD przekazuje protest zarządowi województwa lubelskiego.</w:t>
      </w:r>
    </w:p>
    <w:p w14:paraId="0074AAE7" w14:textId="77777777" w:rsidR="00E41ADE" w:rsidRPr="003A5336" w:rsidRDefault="00E41ADE" w:rsidP="00107DB1">
      <w:pPr>
        <w:pStyle w:val="Akapitzlist"/>
        <w:numPr>
          <w:ilvl w:val="0"/>
          <w:numId w:val="22"/>
        </w:numPr>
        <w:autoSpaceDE w:val="0"/>
        <w:autoSpaceDN w:val="0"/>
        <w:adjustRightInd w:val="0"/>
        <w:spacing w:after="0" w:line="360" w:lineRule="auto"/>
        <w:ind w:left="426" w:hanging="426"/>
        <w:jc w:val="both"/>
        <w:rPr>
          <w:rFonts w:cs="Times New Roman"/>
        </w:rPr>
      </w:pPr>
      <w:r w:rsidRPr="003A5336">
        <w:rPr>
          <w:rFonts w:cs="Times New Roman"/>
        </w:rPr>
        <w:t xml:space="preserve">Protest jest wnoszony w formie pisemnej i zawiera: </w:t>
      </w:r>
    </w:p>
    <w:p w14:paraId="16CD121F"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t>oznaczenie zarządu województwa właściwego do rozpatrzenia protestu,</w:t>
      </w:r>
    </w:p>
    <w:p w14:paraId="543CFD90"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t>oznaczenie wnioskodawcy,</w:t>
      </w:r>
    </w:p>
    <w:p w14:paraId="42D85B89"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t>numer WOPP,</w:t>
      </w:r>
    </w:p>
    <w:p w14:paraId="013C6D3E"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lastRenderedPageBreak/>
        <w:t xml:space="preserve">wskazanie kryteriów wyboru operacji, z których oceną wnioskodawca się nie zgadza lub wskazanie, w jakim zakresie wnioskodawca, nie zgadza się z negatywna oceną zgodności operacji z LSR oraz uzasadnienie stanowiska wnioskodawcy, </w:t>
      </w:r>
    </w:p>
    <w:p w14:paraId="0637882B"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t xml:space="preserve">wskazanie zarzutów o charakterze proceduralnym w zakresie przeprowadzonej oceny, jeżeli zdaniem wnioskodawcy, naruszenia takie miały miejsce, wraz z uzasadnieniem, </w:t>
      </w:r>
    </w:p>
    <w:p w14:paraId="1B6F8648" w14:textId="77777777" w:rsidR="00E41ADE" w:rsidRPr="003A5336" w:rsidRDefault="00E41ADE" w:rsidP="00107DB1">
      <w:pPr>
        <w:pStyle w:val="Akapitzlist"/>
        <w:numPr>
          <w:ilvl w:val="0"/>
          <w:numId w:val="23"/>
        </w:numPr>
        <w:autoSpaceDE w:val="0"/>
        <w:autoSpaceDN w:val="0"/>
        <w:adjustRightInd w:val="0"/>
        <w:spacing w:after="0" w:line="360" w:lineRule="auto"/>
        <w:jc w:val="both"/>
        <w:rPr>
          <w:rFonts w:cs="Times New Roman"/>
        </w:rPr>
      </w:pPr>
      <w:r w:rsidRPr="003A5336">
        <w:rPr>
          <w:rFonts w:cs="Times New Roman"/>
        </w:rPr>
        <w:t xml:space="preserve">podpis wnioskodawcy, lub osoby upoważnionej do jego reprezentowania, </w:t>
      </w:r>
      <w:r w:rsidR="00772605" w:rsidRPr="003A5336">
        <w:rPr>
          <w:rFonts w:cs="Times New Roman"/>
        </w:rPr>
        <w:br/>
      </w:r>
      <w:r w:rsidRPr="003A5336">
        <w:rPr>
          <w:rFonts w:cs="Times New Roman"/>
        </w:rPr>
        <w:t>z załączeniem oryginału lub kopii dokumentu poświadczającego umocowanie takiej osoby do reprezentowania wnioskodawcy.</w:t>
      </w:r>
    </w:p>
    <w:p w14:paraId="207F4106" w14:textId="77777777" w:rsidR="005834B2" w:rsidRPr="003A5336" w:rsidRDefault="005834B2" w:rsidP="00107DB1">
      <w:pPr>
        <w:pStyle w:val="Akapitzlist"/>
        <w:numPr>
          <w:ilvl w:val="0"/>
          <w:numId w:val="23"/>
        </w:numPr>
        <w:autoSpaceDE w:val="0"/>
        <w:autoSpaceDN w:val="0"/>
        <w:adjustRightInd w:val="0"/>
        <w:spacing w:after="0" w:line="360" w:lineRule="auto"/>
        <w:jc w:val="both"/>
        <w:rPr>
          <w:rFonts w:cs="Times New Roman"/>
          <w:color w:val="FF0000"/>
        </w:rPr>
      </w:pPr>
      <w:r w:rsidRPr="003A5336">
        <w:rPr>
          <w:rFonts w:cs="Times New Roman"/>
          <w:color w:val="FF0000"/>
        </w:rPr>
        <w:t>W przypadku ustalenia przez BLGD kwoty wsparcia niższej niż wnioskowana, protest zawiera wskazanie w jakim zakresie wnioskodawca nie zgadza się z tym ustaleniem, oraz uzasadnienie stanowiska wnioskodawcy,</w:t>
      </w:r>
    </w:p>
    <w:p w14:paraId="4CEE3498" w14:textId="77777777" w:rsidR="00E41ADE" w:rsidRPr="003A5336" w:rsidRDefault="00E41ADE" w:rsidP="00107DB1">
      <w:pPr>
        <w:pStyle w:val="Akapitzlist"/>
        <w:numPr>
          <w:ilvl w:val="0"/>
          <w:numId w:val="22"/>
        </w:numPr>
        <w:autoSpaceDE w:val="0"/>
        <w:autoSpaceDN w:val="0"/>
        <w:adjustRightInd w:val="0"/>
        <w:spacing w:after="0" w:line="360" w:lineRule="auto"/>
        <w:ind w:left="426"/>
        <w:jc w:val="both"/>
        <w:rPr>
          <w:rFonts w:cs="Times New Roman"/>
        </w:rPr>
      </w:pPr>
      <w:r w:rsidRPr="003A5336">
        <w:rPr>
          <w:rFonts w:cs="Times New Roman"/>
        </w:rPr>
        <w:t>W przypadku wniesienia protestu niespełniającego wyżej wymienionych wymogów formalnych lub zawierającego oczywiste omyłki, właściwa instytucja (BLGD lub zarząd województwa) wzywa wnioskodawcę do jego uzupełnienia lub poprawienia w nim oczywistych omyłek, w terminie 7 dni, licząc od dnia otrzymania wezwania, pod rygorem pozostawienia protestu bez rozpatrzenia.</w:t>
      </w:r>
    </w:p>
    <w:p w14:paraId="69649042" w14:textId="77777777" w:rsidR="00E41ADE" w:rsidRPr="003A5336" w:rsidRDefault="00E41ADE" w:rsidP="00107DB1">
      <w:pPr>
        <w:pStyle w:val="Akapitzlist"/>
        <w:numPr>
          <w:ilvl w:val="0"/>
          <w:numId w:val="22"/>
        </w:numPr>
        <w:autoSpaceDE w:val="0"/>
        <w:autoSpaceDN w:val="0"/>
        <w:adjustRightInd w:val="0"/>
        <w:spacing w:after="0" w:line="360" w:lineRule="auto"/>
        <w:ind w:left="426"/>
        <w:jc w:val="both"/>
        <w:rPr>
          <w:rFonts w:cs="Times New Roman"/>
        </w:rPr>
      </w:pPr>
      <w:r w:rsidRPr="003A5336">
        <w:rPr>
          <w:rFonts w:cs="Times New Roman"/>
        </w:rPr>
        <w:t>Uzupełnienie protestu może nastąpić w zakresie:</w:t>
      </w:r>
    </w:p>
    <w:p w14:paraId="51FF1ED3" w14:textId="77777777" w:rsidR="00E41ADE" w:rsidRPr="003A5336" w:rsidRDefault="00E41ADE" w:rsidP="00107DB1">
      <w:pPr>
        <w:pStyle w:val="Akapitzlist"/>
        <w:numPr>
          <w:ilvl w:val="0"/>
          <w:numId w:val="24"/>
        </w:numPr>
        <w:autoSpaceDE w:val="0"/>
        <w:autoSpaceDN w:val="0"/>
        <w:adjustRightInd w:val="0"/>
        <w:spacing w:after="0" w:line="360" w:lineRule="auto"/>
        <w:jc w:val="both"/>
        <w:rPr>
          <w:rFonts w:cs="Times New Roman"/>
        </w:rPr>
      </w:pPr>
      <w:r w:rsidRPr="003A5336">
        <w:rPr>
          <w:rFonts w:cs="Times New Roman"/>
        </w:rPr>
        <w:t>oznaczenia zarządu województwa właściwego do rozpatrzenia protestu,</w:t>
      </w:r>
    </w:p>
    <w:p w14:paraId="434E5F3E" w14:textId="77777777" w:rsidR="00E41ADE" w:rsidRPr="003A5336" w:rsidRDefault="00E41ADE" w:rsidP="00107DB1">
      <w:pPr>
        <w:pStyle w:val="Akapitzlist"/>
        <w:numPr>
          <w:ilvl w:val="0"/>
          <w:numId w:val="24"/>
        </w:numPr>
        <w:autoSpaceDE w:val="0"/>
        <w:autoSpaceDN w:val="0"/>
        <w:adjustRightInd w:val="0"/>
        <w:spacing w:after="0" w:line="360" w:lineRule="auto"/>
        <w:jc w:val="both"/>
        <w:rPr>
          <w:rFonts w:cs="Times New Roman"/>
        </w:rPr>
      </w:pPr>
      <w:r w:rsidRPr="003A5336">
        <w:rPr>
          <w:rFonts w:cs="Times New Roman"/>
        </w:rPr>
        <w:t>oznaczenia wnioskodawcy,</w:t>
      </w:r>
    </w:p>
    <w:p w14:paraId="30A89827" w14:textId="77777777" w:rsidR="00E41ADE" w:rsidRPr="003A5336" w:rsidRDefault="00E41ADE" w:rsidP="00107DB1">
      <w:pPr>
        <w:pStyle w:val="Akapitzlist"/>
        <w:numPr>
          <w:ilvl w:val="0"/>
          <w:numId w:val="24"/>
        </w:numPr>
        <w:autoSpaceDE w:val="0"/>
        <w:autoSpaceDN w:val="0"/>
        <w:adjustRightInd w:val="0"/>
        <w:spacing w:after="0" w:line="360" w:lineRule="auto"/>
        <w:jc w:val="both"/>
        <w:rPr>
          <w:rFonts w:cs="Times New Roman"/>
        </w:rPr>
      </w:pPr>
      <w:r w:rsidRPr="003A5336">
        <w:rPr>
          <w:rFonts w:cs="Times New Roman"/>
        </w:rPr>
        <w:t>numeru WOPP,</w:t>
      </w:r>
    </w:p>
    <w:p w14:paraId="4EE1E6B6" w14:textId="77777777" w:rsidR="00E41ADE" w:rsidRPr="003A5336" w:rsidRDefault="00E41ADE" w:rsidP="00107DB1">
      <w:pPr>
        <w:pStyle w:val="Akapitzlist"/>
        <w:numPr>
          <w:ilvl w:val="0"/>
          <w:numId w:val="24"/>
        </w:numPr>
        <w:autoSpaceDE w:val="0"/>
        <w:autoSpaceDN w:val="0"/>
        <w:adjustRightInd w:val="0"/>
        <w:spacing w:after="0" w:line="360" w:lineRule="auto"/>
        <w:jc w:val="both"/>
        <w:rPr>
          <w:rFonts w:cs="Times New Roman"/>
        </w:rPr>
      </w:pPr>
      <w:r w:rsidRPr="003A5336">
        <w:rPr>
          <w:rFonts w:cs="Times New Roman"/>
        </w:rPr>
        <w:t>podpisu wnioskodawcy, osoby upoważnionej do jej reprezentowania, lub dokumentu poświadczającego umocowanie takiej osoby do reprezentowania wnioskodawcy.</w:t>
      </w:r>
    </w:p>
    <w:p w14:paraId="4B5CA617" w14:textId="77777777" w:rsidR="00E41ADE" w:rsidRPr="003A5336" w:rsidRDefault="00E41ADE" w:rsidP="00107DB1">
      <w:pPr>
        <w:pStyle w:val="Akapitzlist"/>
        <w:numPr>
          <w:ilvl w:val="0"/>
          <w:numId w:val="22"/>
        </w:numPr>
        <w:autoSpaceDE w:val="0"/>
        <w:autoSpaceDN w:val="0"/>
        <w:adjustRightInd w:val="0"/>
        <w:spacing w:after="0" w:line="360" w:lineRule="auto"/>
        <w:ind w:left="426"/>
        <w:jc w:val="both"/>
        <w:rPr>
          <w:rFonts w:cs="Times New Roman"/>
          <w:strike/>
        </w:rPr>
      </w:pPr>
      <w:r w:rsidRPr="003A5336">
        <w:rPr>
          <w:rFonts w:cs="Times New Roman"/>
          <w:strike/>
        </w:rPr>
        <w:t xml:space="preserve">Wezwanie do uzupełnienia protestu lub poprawienia w nim oczywistych omyłek wstrzymuje bieg terminu na weryfikację wyników wyboru operacji i bieg terminu na rozpatrzenie protestu. </w:t>
      </w:r>
    </w:p>
    <w:p w14:paraId="3C5C8F41" w14:textId="77777777" w:rsidR="00E41ADE" w:rsidRPr="003A5336" w:rsidRDefault="00E41ADE" w:rsidP="00107DB1">
      <w:pPr>
        <w:pStyle w:val="Akapitzlist"/>
        <w:numPr>
          <w:ilvl w:val="0"/>
          <w:numId w:val="22"/>
        </w:numPr>
        <w:autoSpaceDE w:val="0"/>
        <w:autoSpaceDN w:val="0"/>
        <w:adjustRightInd w:val="0"/>
        <w:spacing w:after="0" w:line="360" w:lineRule="auto"/>
        <w:ind w:left="426"/>
        <w:jc w:val="both"/>
        <w:rPr>
          <w:rFonts w:cs="Times New Roman"/>
        </w:rPr>
      </w:pPr>
      <w:r w:rsidRPr="003A5336">
        <w:rPr>
          <w:rFonts w:cs="Times New Roman"/>
        </w:rPr>
        <w:t xml:space="preserve">Wniesienie protestu oraz procedura odwoławcza nie wstrzymują dalszego postępowania </w:t>
      </w:r>
      <w:r w:rsidR="00772605" w:rsidRPr="003A5336">
        <w:rPr>
          <w:rFonts w:cs="Times New Roman"/>
        </w:rPr>
        <w:br/>
      </w:r>
      <w:r w:rsidRPr="003A5336">
        <w:rPr>
          <w:rFonts w:cs="Times New Roman"/>
        </w:rPr>
        <w:t>z WOPP, dotyczącymi wybranych operacji, w tym przekazywania wniosków przez BLGD do zarządu województwa oraz udzielenia wsparcia.</w:t>
      </w:r>
    </w:p>
    <w:p w14:paraId="45F094B8" w14:textId="77777777" w:rsidR="00E41ADE" w:rsidRPr="003A5336" w:rsidRDefault="00E41ADE" w:rsidP="00107DB1">
      <w:pPr>
        <w:pStyle w:val="Akapitzlist"/>
        <w:numPr>
          <w:ilvl w:val="0"/>
          <w:numId w:val="22"/>
        </w:numPr>
        <w:autoSpaceDE w:val="0"/>
        <w:autoSpaceDN w:val="0"/>
        <w:adjustRightInd w:val="0"/>
        <w:spacing w:after="0" w:line="360" w:lineRule="auto"/>
        <w:ind w:left="426"/>
        <w:jc w:val="both"/>
        <w:rPr>
          <w:rFonts w:cs="Times New Roman"/>
        </w:rPr>
      </w:pPr>
      <w:r w:rsidRPr="003A5336">
        <w:rPr>
          <w:rFonts w:cs="Times New Roman"/>
        </w:rPr>
        <w:t>BLGD w terminie 14 dni od dnia otrzymania protestu weryfikuje wyniki dokonanej przez siebie oceny operacji w zakresie kryteriów i zarzutów podnoszonych w proteście i:</w:t>
      </w:r>
    </w:p>
    <w:p w14:paraId="39862418" w14:textId="77777777" w:rsidR="00E41ADE" w:rsidRPr="003A5336" w:rsidRDefault="00E41ADE" w:rsidP="00107DB1">
      <w:pPr>
        <w:pStyle w:val="Akapitzlist"/>
        <w:numPr>
          <w:ilvl w:val="0"/>
          <w:numId w:val="25"/>
        </w:numPr>
        <w:autoSpaceDE w:val="0"/>
        <w:autoSpaceDN w:val="0"/>
        <w:adjustRightInd w:val="0"/>
        <w:spacing w:after="0" w:line="360" w:lineRule="auto"/>
        <w:jc w:val="both"/>
        <w:rPr>
          <w:rFonts w:cs="Times New Roman"/>
        </w:rPr>
      </w:pPr>
      <w:r w:rsidRPr="003A5336">
        <w:rPr>
          <w:rFonts w:cs="Times New Roman"/>
        </w:rPr>
        <w:t>dokonuje zmiany podjętego rozstrzygnięcia, co skutkuje odpowiednio skierowaniem operacji do właściwego etapu oceny albo umieszczeniem go na liście operacji wybranych przez BLGD w wyniku przeprowadzenia procedury odwoławczej, informując o tym wnioskodawcę, albo</w:t>
      </w:r>
    </w:p>
    <w:p w14:paraId="6A2390F8" w14:textId="04B6F680" w:rsidR="00E41ADE" w:rsidRPr="003A5336" w:rsidRDefault="00E41ADE" w:rsidP="00107DB1">
      <w:pPr>
        <w:pStyle w:val="Akapitzlist"/>
        <w:numPr>
          <w:ilvl w:val="0"/>
          <w:numId w:val="25"/>
        </w:numPr>
        <w:autoSpaceDE w:val="0"/>
        <w:autoSpaceDN w:val="0"/>
        <w:adjustRightInd w:val="0"/>
        <w:spacing w:after="0" w:line="360" w:lineRule="auto"/>
        <w:jc w:val="both"/>
        <w:rPr>
          <w:rFonts w:cs="Times New Roman"/>
        </w:rPr>
      </w:pPr>
      <w:r w:rsidRPr="003A5336">
        <w:rPr>
          <w:rFonts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14:paraId="717D7BA4" w14:textId="77777777" w:rsidR="00E41ADE" w:rsidRPr="003A5336" w:rsidRDefault="00E41ADE" w:rsidP="00107DB1">
      <w:pPr>
        <w:pStyle w:val="Akapitzlist"/>
        <w:numPr>
          <w:ilvl w:val="0"/>
          <w:numId w:val="22"/>
        </w:numPr>
        <w:autoSpaceDE w:val="0"/>
        <w:autoSpaceDN w:val="0"/>
        <w:adjustRightInd w:val="0"/>
        <w:spacing w:after="0" w:line="360" w:lineRule="auto"/>
        <w:ind w:left="426" w:hanging="357"/>
        <w:jc w:val="both"/>
        <w:rPr>
          <w:rFonts w:cs="Times New Roman"/>
        </w:rPr>
      </w:pPr>
      <w:r w:rsidRPr="003A5336">
        <w:rPr>
          <w:rFonts w:cs="Times New Roman"/>
        </w:rPr>
        <w:lastRenderedPageBreak/>
        <w:t xml:space="preserve"> Zarząd województwa, rozpatruje protest, weryfikując prawidłowość oceny operacji w zakresie kryteriów i zarzutów podnoszonych w proteście, w terminie nie dłuższym niż 30 dni, licząc od dnia jego otrzymania. W uzasadnionych przypadkach, w szczególności gdy w trakcie rozpatrywania protestu konieczne jest skorzystanie z pomocy ekspertów, termin rozpatrzenia protestu może być przedłużony, o czym zarząd województwa informuje na piśmie wnioskodawcę. Termin rozpatrzenia protestu nie może przekroczyć łącznie 60 dni od dnia jego otrzymania.</w:t>
      </w:r>
    </w:p>
    <w:p w14:paraId="75FD44F3" w14:textId="77777777" w:rsidR="00E41ADE" w:rsidRPr="003A5336" w:rsidRDefault="00E41ADE" w:rsidP="00107DB1">
      <w:pPr>
        <w:pStyle w:val="Akapitzlist"/>
        <w:numPr>
          <w:ilvl w:val="0"/>
          <w:numId w:val="32"/>
        </w:numPr>
        <w:autoSpaceDE w:val="0"/>
        <w:autoSpaceDN w:val="0"/>
        <w:adjustRightInd w:val="0"/>
        <w:spacing w:after="0" w:line="360" w:lineRule="auto"/>
        <w:ind w:left="426"/>
        <w:jc w:val="both"/>
        <w:rPr>
          <w:rFonts w:cs="Times New Roman"/>
        </w:rPr>
      </w:pPr>
      <w:r w:rsidRPr="003A5336">
        <w:rPr>
          <w:rFonts w:cs="Times New Roman"/>
        </w:rPr>
        <w:t>Zarząd województwa, informuje wnioskodawcę na piśmie o wyniku rozpatrzenia protestu. Informacja ta zawiera w szczególności:</w:t>
      </w:r>
    </w:p>
    <w:p w14:paraId="104B2095" w14:textId="77777777" w:rsidR="00E41ADE" w:rsidRPr="003A5336" w:rsidRDefault="00E41ADE" w:rsidP="00107DB1">
      <w:pPr>
        <w:pStyle w:val="CZWSPPKTczwsplnapunktw"/>
        <w:numPr>
          <w:ilvl w:val="0"/>
          <w:numId w:val="26"/>
        </w:numPr>
        <w:tabs>
          <w:tab w:val="left" w:pos="426"/>
        </w:tabs>
        <w:ind w:left="1134" w:hanging="425"/>
        <w:rPr>
          <w:rFonts w:asciiTheme="minorHAnsi" w:hAnsiTheme="minorHAnsi" w:cs="Times New Roman"/>
          <w:sz w:val="22"/>
          <w:szCs w:val="22"/>
        </w:rPr>
      </w:pPr>
      <w:r w:rsidRPr="003A5336">
        <w:rPr>
          <w:rFonts w:asciiTheme="minorHAnsi" w:hAnsiTheme="minorHAnsi" w:cs="Times New Roman"/>
          <w:sz w:val="22"/>
          <w:szCs w:val="22"/>
        </w:rPr>
        <w:t>treść rozstrzygnięcia polegającego na uwzględnieniu albo nieuwzględnieniu protestu, wraz z uzasadnieniem;</w:t>
      </w:r>
    </w:p>
    <w:p w14:paraId="2D2DA2D0" w14:textId="77777777" w:rsidR="00E41ADE" w:rsidRPr="003A5336" w:rsidRDefault="00E41ADE" w:rsidP="00107DB1">
      <w:pPr>
        <w:pStyle w:val="CZWSPPKTczwsplnapunktw"/>
        <w:numPr>
          <w:ilvl w:val="0"/>
          <w:numId w:val="26"/>
        </w:numPr>
        <w:tabs>
          <w:tab w:val="left" w:pos="426"/>
        </w:tabs>
        <w:ind w:left="1134" w:hanging="425"/>
        <w:rPr>
          <w:rFonts w:asciiTheme="minorHAnsi" w:hAnsiTheme="minorHAnsi" w:cs="Times New Roman"/>
          <w:sz w:val="22"/>
          <w:szCs w:val="22"/>
        </w:rPr>
      </w:pPr>
      <w:r w:rsidRPr="003A5336">
        <w:rPr>
          <w:rFonts w:asciiTheme="minorHAnsi" w:hAnsiTheme="minorHAnsi" w:cs="Times New Roman"/>
          <w:sz w:val="22"/>
          <w:szCs w:val="22"/>
        </w:rPr>
        <w:t>w przypadku nieuwzględnienia protestu – pouczenie o możliwości wniesienia skargi do sądu administracyjnego.</w:t>
      </w:r>
    </w:p>
    <w:p w14:paraId="4ACBBF42" w14:textId="77777777" w:rsidR="00E41ADE" w:rsidRPr="003A5336" w:rsidRDefault="00E41ADE" w:rsidP="00107DB1">
      <w:pPr>
        <w:pStyle w:val="CZWSPPKTczwsplnapunktw"/>
        <w:numPr>
          <w:ilvl w:val="0"/>
          <w:numId w:val="33"/>
        </w:numPr>
        <w:ind w:left="426"/>
        <w:rPr>
          <w:rFonts w:asciiTheme="minorHAnsi" w:hAnsiTheme="minorHAnsi" w:cs="Times New Roman"/>
          <w:sz w:val="22"/>
          <w:szCs w:val="22"/>
        </w:rPr>
      </w:pPr>
      <w:bookmarkStart w:id="4" w:name="_GoBack"/>
      <w:bookmarkEnd w:id="4"/>
      <w:r w:rsidRPr="003A5336">
        <w:rPr>
          <w:rFonts w:asciiTheme="minorHAnsi" w:hAnsiTheme="minorHAnsi" w:cs="Times New Roman"/>
          <w:sz w:val="22"/>
          <w:szCs w:val="22"/>
        </w:rPr>
        <w:t>W przypadku uwzględnienia protestu zarząd województwa, może:</w:t>
      </w:r>
    </w:p>
    <w:p w14:paraId="05751B93" w14:textId="77777777" w:rsidR="00E41ADE" w:rsidRPr="003A5336" w:rsidRDefault="00E41ADE" w:rsidP="00107DB1">
      <w:pPr>
        <w:pStyle w:val="CZWSPPKTczwsplnapunktw"/>
        <w:numPr>
          <w:ilvl w:val="0"/>
          <w:numId w:val="27"/>
        </w:numPr>
        <w:tabs>
          <w:tab w:val="left" w:pos="426"/>
        </w:tabs>
        <w:rPr>
          <w:rFonts w:asciiTheme="minorHAnsi" w:hAnsiTheme="minorHAnsi" w:cs="Times New Roman"/>
          <w:sz w:val="22"/>
          <w:szCs w:val="22"/>
        </w:rPr>
      </w:pPr>
      <w:r w:rsidRPr="003A5336">
        <w:rPr>
          <w:rFonts w:asciiTheme="minorHAnsi" w:hAnsiTheme="minorHAnsi" w:cs="Times New Roman"/>
          <w:sz w:val="22"/>
          <w:szCs w:val="22"/>
        </w:rPr>
        <w:t>odpowiednio skierować projekt do właściwego etapu oceny albo umieścić go na liście projektów wybranych przez BLGD w wyniku przeprowadzenia procedury odwoławczej, informując o tym wnioskodawcę, albo</w:t>
      </w:r>
    </w:p>
    <w:p w14:paraId="78AF8CA6" w14:textId="77777777" w:rsidR="00E41ADE" w:rsidRPr="003A5336" w:rsidRDefault="00E41ADE" w:rsidP="00107DB1">
      <w:pPr>
        <w:pStyle w:val="CZWSPPKTczwsplnapunktw"/>
        <w:numPr>
          <w:ilvl w:val="0"/>
          <w:numId w:val="27"/>
        </w:numPr>
        <w:tabs>
          <w:tab w:val="left" w:pos="426"/>
        </w:tabs>
        <w:rPr>
          <w:rFonts w:asciiTheme="minorHAnsi" w:hAnsiTheme="minorHAnsi" w:cs="Times New Roman"/>
          <w:sz w:val="22"/>
          <w:szCs w:val="22"/>
        </w:rPr>
      </w:pPr>
      <w:r w:rsidRPr="003A5336">
        <w:rPr>
          <w:rFonts w:asciiTheme="minorHAnsi" w:hAnsiTheme="minorHAnsi" w:cs="Times New Roman"/>
          <w:sz w:val="22"/>
          <w:szCs w:val="22"/>
        </w:rPr>
        <w:t>przekazać sprawę BLGD w celu przeprowadzenia ponownej oceny operacji, jeżeli stwierdzi, że doszło do naruszeń obowiązujących procedur i konieczny do wyjaśnienia zakres sprawy ma istotny wpływ na wynik oceny, informując wnioskodawcę na piśmie o przekazaniu sprawy.</w:t>
      </w:r>
    </w:p>
    <w:p w14:paraId="01B3A9A1" w14:textId="77777777" w:rsidR="00E41ADE" w:rsidRPr="003A5336" w:rsidRDefault="00E41ADE" w:rsidP="00107DB1">
      <w:pPr>
        <w:pStyle w:val="Akapitzlist"/>
        <w:numPr>
          <w:ilvl w:val="0"/>
          <w:numId w:val="34"/>
        </w:numPr>
        <w:spacing w:after="0" w:line="360" w:lineRule="auto"/>
        <w:ind w:left="426"/>
        <w:jc w:val="both"/>
        <w:rPr>
          <w:rFonts w:cs="Times New Roman"/>
          <w:lang w:eastAsia="pl-PL"/>
        </w:rPr>
      </w:pPr>
      <w:r w:rsidRPr="003A5336">
        <w:rPr>
          <w:rFonts w:cs="Times New Roman"/>
          <w:lang w:eastAsia="pl-PL"/>
        </w:rPr>
        <w:t xml:space="preserve">Ponowna ocena polega na powtórnej ocenie operacji w zakresie kryteriów i zarzutów podnoszonych w proteście. BLGD informuje wnioskodawcę na piśmie o wyniku powtórnej oceny i: </w:t>
      </w:r>
    </w:p>
    <w:p w14:paraId="647F3990" w14:textId="1D3CD4A4" w:rsidR="00E41ADE" w:rsidRPr="003A5336" w:rsidRDefault="00E41ADE" w:rsidP="00107DB1">
      <w:pPr>
        <w:pStyle w:val="Akapitzlist"/>
        <w:numPr>
          <w:ilvl w:val="0"/>
          <w:numId w:val="28"/>
        </w:numPr>
        <w:spacing w:after="0" w:line="360" w:lineRule="auto"/>
        <w:jc w:val="both"/>
        <w:rPr>
          <w:rFonts w:cs="Times New Roman"/>
          <w:lang w:eastAsia="pl-PL"/>
        </w:rPr>
      </w:pPr>
      <w:r w:rsidRPr="003A5336">
        <w:rPr>
          <w:rFonts w:cs="Times New Roman"/>
          <w:lang w:eastAsia="pl-PL"/>
        </w:rPr>
        <w:t xml:space="preserve">w przypadku pozytywnej ponownej oceny operacji odpowiednio kieruje operację do właściwego etapu oceny albo umieszcza go na liście operacji wybranych przez BLGD </w:t>
      </w:r>
      <w:r w:rsidR="00070662">
        <w:rPr>
          <w:rFonts w:cs="Times New Roman"/>
          <w:lang w:eastAsia="pl-PL"/>
        </w:rPr>
        <w:br/>
      </w:r>
      <w:r w:rsidRPr="003A5336">
        <w:rPr>
          <w:rFonts w:cs="Times New Roman"/>
          <w:lang w:eastAsia="pl-PL"/>
        </w:rPr>
        <w:t>w wyniku przeprowadzenia procedury odwoławczej,</w:t>
      </w:r>
    </w:p>
    <w:p w14:paraId="7FD02C5E" w14:textId="77777777" w:rsidR="00E41ADE" w:rsidRPr="003A5336" w:rsidRDefault="00E41ADE" w:rsidP="00107DB1">
      <w:pPr>
        <w:pStyle w:val="Akapitzlist"/>
        <w:numPr>
          <w:ilvl w:val="0"/>
          <w:numId w:val="28"/>
        </w:numPr>
        <w:spacing w:after="0" w:line="360" w:lineRule="auto"/>
        <w:jc w:val="both"/>
        <w:rPr>
          <w:rFonts w:cs="Times New Roman"/>
          <w:lang w:eastAsia="pl-PL"/>
        </w:rPr>
      </w:pPr>
      <w:r w:rsidRPr="003A5336">
        <w:rPr>
          <w:rFonts w:cs="Times New Roman"/>
          <w:lang w:eastAsia="pl-PL"/>
        </w:rPr>
        <w:t xml:space="preserve">w przypadku negatywnej ponownej oceny operacji do informacji załącza dodatkowo pouczenie o możliwości wniesienia skargi do sądu administracyjnego. </w:t>
      </w:r>
    </w:p>
    <w:p w14:paraId="704307EF" w14:textId="42D371EF" w:rsidR="00E41ADE" w:rsidRPr="003A5336" w:rsidRDefault="00E41ADE" w:rsidP="00107DB1">
      <w:pPr>
        <w:pStyle w:val="Akapitzlist"/>
        <w:numPr>
          <w:ilvl w:val="0"/>
          <w:numId w:val="34"/>
        </w:numPr>
        <w:spacing w:after="0" w:line="360" w:lineRule="auto"/>
        <w:ind w:left="426"/>
        <w:jc w:val="both"/>
        <w:rPr>
          <w:rFonts w:cs="Times New Roman"/>
          <w:lang w:eastAsia="pl-PL"/>
        </w:rPr>
      </w:pPr>
      <w:r w:rsidRPr="003A5336">
        <w:rPr>
          <w:rFonts w:cs="Times New Roman"/>
          <w:lang w:eastAsia="pl-PL"/>
        </w:rPr>
        <w:t xml:space="preserve">Protest pozostawia się bez rozpatrzenia, jeżeli pomimo prawidłowego pouczenia o prawie </w:t>
      </w:r>
      <w:r w:rsidR="00070662">
        <w:rPr>
          <w:rFonts w:cs="Times New Roman"/>
          <w:lang w:eastAsia="pl-PL"/>
        </w:rPr>
        <w:br/>
      </w:r>
      <w:r w:rsidRPr="003A5336">
        <w:rPr>
          <w:rFonts w:cs="Times New Roman"/>
          <w:lang w:eastAsia="pl-PL"/>
        </w:rPr>
        <w:t>i sposobie jego wniesienia:</w:t>
      </w:r>
    </w:p>
    <w:p w14:paraId="56944A58" w14:textId="77777777" w:rsidR="00E41ADE" w:rsidRPr="003A5336" w:rsidRDefault="00E41ADE" w:rsidP="00107DB1">
      <w:pPr>
        <w:pStyle w:val="Akapitzlist"/>
        <w:numPr>
          <w:ilvl w:val="0"/>
          <w:numId w:val="29"/>
        </w:numPr>
        <w:spacing w:after="0" w:line="360" w:lineRule="auto"/>
        <w:jc w:val="both"/>
        <w:rPr>
          <w:rFonts w:cs="Times New Roman"/>
          <w:lang w:eastAsia="pl-PL"/>
        </w:rPr>
      </w:pPr>
      <w:r w:rsidRPr="003A5336">
        <w:rPr>
          <w:rFonts w:cs="Times New Roman"/>
          <w:lang w:eastAsia="pl-PL"/>
        </w:rPr>
        <w:t>został wniesiony po terminie,</w:t>
      </w:r>
    </w:p>
    <w:p w14:paraId="11F4E8D0" w14:textId="77777777" w:rsidR="00E41ADE" w:rsidRPr="003A5336" w:rsidRDefault="00E41ADE" w:rsidP="00107DB1">
      <w:pPr>
        <w:pStyle w:val="Akapitzlist"/>
        <w:numPr>
          <w:ilvl w:val="0"/>
          <w:numId w:val="29"/>
        </w:numPr>
        <w:spacing w:after="0" w:line="360" w:lineRule="auto"/>
        <w:jc w:val="both"/>
        <w:rPr>
          <w:rFonts w:cs="Times New Roman"/>
          <w:lang w:eastAsia="pl-PL"/>
        </w:rPr>
      </w:pPr>
      <w:r w:rsidRPr="003A5336">
        <w:rPr>
          <w:rFonts w:cs="Times New Roman"/>
          <w:lang w:eastAsia="pl-PL"/>
        </w:rPr>
        <w:t>został wniesiony przez podmiot wykluczony z możliwości otrzymania wsparcia,</w:t>
      </w:r>
    </w:p>
    <w:p w14:paraId="7B943B0A" w14:textId="32CC889F" w:rsidR="00E41ADE" w:rsidRPr="003A5336" w:rsidRDefault="00E41ADE" w:rsidP="00107DB1">
      <w:pPr>
        <w:pStyle w:val="Akapitzlist"/>
        <w:numPr>
          <w:ilvl w:val="0"/>
          <w:numId w:val="29"/>
        </w:numPr>
        <w:spacing w:after="0" w:line="360" w:lineRule="auto"/>
        <w:jc w:val="both"/>
        <w:rPr>
          <w:rFonts w:cs="Times New Roman"/>
          <w:lang w:eastAsia="pl-PL"/>
        </w:rPr>
      </w:pPr>
      <w:r w:rsidRPr="003A5336">
        <w:rPr>
          <w:rFonts w:cs="Times New Roman"/>
          <w:lang w:eastAsia="pl-PL"/>
        </w:rPr>
        <w:t xml:space="preserve">nie wskazuje kryteriów wyboru operacji, z których oceną wnioskodawca się nie zgadza, lub w jakim zakresie wnioskodawca, nie zgadza się z negatywną oceną zgodności operacji </w:t>
      </w:r>
      <w:r w:rsidR="00070662">
        <w:rPr>
          <w:rFonts w:cs="Times New Roman"/>
          <w:lang w:eastAsia="pl-PL"/>
        </w:rPr>
        <w:br/>
      </w:r>
      <w:r w:rsidRPr="003A5336">
        <w:rPr>
          <w:rFonts w:cs="Times New Roman"/>
          <w:lang w:eastAsia="pl-PL"/>
        </w:rPr>
        <w:t xml:space="preserve">z LSR oraz uzasadnienia - o czym wnioskodawca jest informowany na piśmie przez BLGD </w:t>
      </w:r>
      <w:r w:rsidRPr="003A5336">
        <w:rPr>
          <w:rFonts w:cs="Times New Roman"/>
          <w:lang w:eastAsia="pl-PL"/>
        </w:rPr>
        <w:lastRenderedPageBreak/>
        <w:t>albo przez zarząd województwa, a informacja ta zawiera pouczenie o możliwości wniesienia skargi do sądu administracyjnego.</w:t>
      </w:r>
    </w:p>
    <w:p w14:paraId="00A9F9C7" w14:textId="77777777" w:rsidR="00E41ADE" w:rsidRPr="003A5336" w:rsidRDefault="00E41ADE" w:rsidP="00107DB1">
      <w:pPr>
        <w:pStyle w:val="Akapitzlist"/>
        <w:numPr>
          <w:ilvl w:val="0"/>
          <w:numId w:val="35"/>
        </w:numPr>
        <w:spacing w:after="0" w:line="360" w:lineRule="auto"/>
        <w:ind w:left="426"/>
        <w:jc w:val="both"/>
        <w:rPr>
          <w:rFonts w:cs="Times New Roman"/>
          <w:lang w:eastAsia="pl-PL"/>
        </w:rPr>
      </w:pPr>
      <w:r w:rsidRPr="003A5336">
        <w:rPr>
          <w:rFonts w:cs="Times New Roman"/>
          <w:lang w:eastAsia="pl-PL"/>
        </w:rPr>
        <w:t>W ponownej ocenie oraz w ponownym wyborze operacji nie mogą brać udziału osoby, które nie zapewniają bezstronności. Sam udział danej osoby w pierwotnym wyborze operacji nie wyklucza jej udziału w ponownej ocenie lub w ponownym wyborze operacji.</w:t>
      </w:r>
    </w:p>
    <w:p w14:paraId="13E0069C" w14:textId="77777777" w:rsidR="00E41ADE" w:rsidRPr="003A5336" w:rsidRDefault="00E41ADE" w:rsidP="00107DB1">
      <w:pPr>
        <w:pStyle w:val="Akapitzlist"/>
        <w:numPr>
          <w:ilvl w:val="0"/>
          <w:numId w:val="35"/>
        </w:numPr>
        <w:spacing w:after="0" w:line="360" w:lineRule="auto"/>
        <w:ind w:left="426"/>
        <w:jc w:val="both"/>
        <w:rPr>
          <w:rFonts w:cs="Times New Roman"/>
          <w:lang w:eastAsia="pl-PL"/>
        </w:rPr>
      </w:pPr>
      <w:r w:rsidRPr="003A5336">
        <w:rPr>
          <w:rFonts w:cs="Times New Roman"/>
          <w:lang w:eastAsia="pl-PL"/>
        </w:rPr>
        <w:t>W przypadku nieuwzględnienia protestu lub pozostawienia go bez rozpatrzenia, wnioskodawca może w tym zakresie wnieść skargę do sądu administracyjnego.</w:t>
      </w:r>
    </w:p>
    <w:p w14:paraId="146A54CF" w14:textId="77777777" w:rsidR="00E41ADE" w:rsidRPr="003A5336" w:rsidRDefault="00E41ADE" w:rsidP="006E7982">
      <w:pPr>
        <w:autoSpaceDE w:val="0"/>
        <w:autoSpaceDN w:val="0"/>
        <w:adjustRightInd w:val="0"/>
        <w:spacing w:after="0" w:line="360" w:lineRule="auto"/>
        <w:jc w:val="both"/>
        <w:rPr>
          <w:rFonts w:cs="Times New Roman"/>
        </w:rPr>
      </w:pPr>
    </w:p>
    <w:p w14:paraId="4E4448C6" w14:textId="77777777" w:rsidR="00EE343B" w:rsidRPr="003A5336" w:rsidRDefault="00EE343B" w:rsidP="006E7982">
      <w:pPr>
        <w:pStyle w:val="Akapitzlist"/>
        <w:tabs>
          <w:tab w:val="left" w:pos="0"/>
        </w:tabs>
        <w:spacing w:after="0" w:line="360" w:lineRule="auto"/>
        <w:jc w:val="center"/>
        <w:rPr>
          <w:rFonts w:cs="Times New Roman"/>
          <w:b/>
        </w:rPr>
      </w:pPr>
      <w:r w:rsidRPr="003A5336">
        <w:rPr>
          <w:rFonts w:cs="Times New Roman"/>
          <w:b/>
        </w:rPr>
        <w:t>§6</w:t>
      </w:r>
    </w:p>
    <w:p w14:paraId="2CA8C5A3" w14:textId="77777777" w:rsidR="00EE343B" w:rsidRPr="003A5336" w:rsidRDefault="0007543F" w:rsidP="006E7982">
      <w:pPr>
        <w:pStyle w:val="Akapitzlist"/>
        <w:tabs>
          <w:tab w:val="left" w:pos="0"/>
        </w:tabs>
        <w:spacing w:after="0" w:line="360" w:lineRule="auto"/>
        <w:ind w:left="0"/>
        <w:jc w:val="both"/>
        <w:rPr>
          <w:rFonts w:cs="Times New Roman"/>
        </w:rPr>
      </w:pPr>
      <w:r w:rsidRPr="003A5336">
        <w:rPr>
          <w:rFonts w:cs="Times New Roman"/>
        </w:rPr>
        <w:t>Niniejsza P</w:t>
      </w:r>
      <w:r w:rsidR="00EE343B" w:rsidRPr="003A5336">
        <w:rPr>
          <w:rFonts w:cs="Times New Roman"/>
        </w:rPr>
        <w:t xml:space="preserve">rocedura została opublikowana na stronie internetowej BLGD pod adresem </w:t>
      </w:r>
      <w:hyperlink r:id="rId8" w:history="1">
        <w:r w:rsidR="00EE343B" w:rsidRPr="003A5336">
          <w:rPr>
            <w:rStyle w:val="Hipercze"/>
            <w:rFonts w:cs="Times New Roman"/>
          </w:rPr>
          <w:t>www.blgd.eu</w:t>
        </w:r>
      </w:hyperlink>
      <w:r w:rsidR="00EE343B" w:rsidRPr="003A5336">
        <w:rPr>
          <w:rFonts w:cs="Times New Roman"/>
        </w:rPr>
        <w:t xml:space="preserve"> oraz jest dostępna do publicznej wiadomości w biurze BLGD.</w:t>
      </w:r>
    </w:p>
    <w:p w14:paraId="61B2B702" w14:textId="77777777" w:rsidR="00E41ADE" w:rsidRPr="003A5336" w:rsidRDefault="00E41ADE" w:rsidP="006E7982">
      <w:pPr>
        <w:tabs>
          <w:tab w:val="left" w:pos="851"/>
        </w:tabs>
        <w:spacing w:before="120" w:after="0" w:line="360" w:lineRule="auto"/>
        <w:jc w:val="both"/>
        <w:rPr>
          <w:rFonts w:eastAsia="Calibri" w:cs="Times New Roman"/>
        </w:rPr>
      </w:pPr>
    </w:p>
    <w:sectPr w:rsidR="00E41ADE" w:rsidRPr="003A5336" w:rsidSect="00F51883">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0277" w14:textId="77777777" w:rsidR="00107DB1" w:rsidRDefault="00107DB1" w:rsidP="005168A8">
      <w:pPr>
        <w:spacing w:after="0" w:line="240" w:lineRule="auto"/>
      </w:pPr>
      <w:r>
        <w:separator/>
      </w:r>
    </w:p>
  </w:endnote>
  <w:endnote w:type="continuationSeparator" w:id="0">
    <w:p w14:paraId="02B57274" w14:textId="77777777" w:rsidR="00107DB1" w:rsidRDefault="00107DB1" w:rsidP="0051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55754913"/>
      <w:docPartObj>
        <w:docPartGallery w:val="Page Numbers (Bottom of Page)"/>
        <w:docPartUnique/>
      </w:docPartObj>
    </w:sdtPr>
    <w:sdtEndPr>
      <w:rPr>
        <w:rFonts w:asciiTheme="minorHAnsi" w:hAnsiTheme="minorHAnsi"/>
        <w:sz w:val="22"/>
        <w:szCs w:val="22"/>
      </w:rPr>
    </w:sdtEndPr>
    <w:sdtContent>
      <w:p w14:paraId="04EDF6BF" w14:textId="634EDB94" w:rsidR="005168A8" w:rsidRPr="003A5336" w:rsidRDefault="005168A8">
        <w:pPr>
          <w:pStyle w:val="Stopka"/>
          <w:jc w:val="right"/>
          <w:rPr>
            <w:rFonts w:eastAsiaTheme="majorEastAsia" w:cstheme="majorBidi"/>
          </w:rPr>
        </w:pPr>
        <w:r w:rsidRPr="003A5336">
          <w:rPr>
            <w:rFonts w:eastAsiaTheme="majorEastAsia" w:cstheme="majorBidi"/>
          </w:rPr>
          <w:t xml:space="preserve">str. </w:t>
        </w:r>
        <w:r w:rsidRPr="003A5336">
          <w:rPr>
            <w:rFonts w:eastAsiaTheme="minorEastAsia" w:cs="Times New Roman"/>
          </w:rPr>
          <w:fldChar w:fldCharType="begin"/>
        </w:r>
        <w:r w:rsidRPr="003A5336">
          <w:instrText>PAGE    \* MERGEFORMAT</w:instrText>
        </w:r>
        <w:r w:rsidRPr="003A5336">
          <w:rPr>
            <w:rFonts w:eastAsiaTheme="minorEastAsia" w:cs="Times New Roman"/>
          </w:rPr>
          <w:fldChar w:fldCharType="separate"/>
        </w:r>
        <w:r w:rsidR="00070662" w:rsidRPr="00070662">
          <w:rPr>
            <w:rFonts w:eastAsiaTheme="majorEastAsia" w:cstheme="majorBidi"/>
            <w:noProof/>
          </w:rPr>
          <w:t>10</w:t>
        </w:r>
        <w:r w:rsidRPr="003A5336">
          <w:rPr>
            <w:rFonts w:eastAsiaTheme="majorEastAsia" w:cstheme="majorBidi"/>
          </w:rPr>
          <w:fldChar w:fldCharType="end"/>
        </w:r>
      </w:p>
    </w:sdtContent>
  </w:sdt>
  <w:p w14:paraId="5E591D33" w14:textId="77777777" w:rsidR="005168A8" w:rsidRDefault="005168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79AF" w14:textId="77777777" w:rsidR="00107DB1" w:rsidRDefault="00107DB1" w:rsidP="005168A8">
      <w:pPr>
        <w:spacing w:after="0" w:line="240" w:lineRule="auto"/>
      </w:pPr>
      <w:r>
        <w:separator/>
      </w:r>
    </w:p>
  </w:footnote>
  <w:footnote w:type="continuationSeparator" w:id="0">
    <w:p w14:paraId="732F93E6" w14:textId="77777777" w:rsidR="00107DB1" w:rsidRDefault="00107DB1" w:rsidP="00516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E65"/>
    <w:multiLevelType w:val="hybridMultilevel"/>
    <w:tmpl w:val="156882E2"/>
    <w:lvl w:ilvl="0" w:tplc="25C45E1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F0F"/>
    <w:multiLevelType w:val="hybridMultilevel"/>
    <w:tmpl w:val="C00E8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E63AC"/>
    <w:multiLevelType w:val="hybridMultilevel"/>
    <w:tmpl w:val="269CB522"/>
    <w:lvl w:ilvl="0" w:tplc="6E644F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5B36B8"/>
    <w:multiLevelType w:val="hybridMultilevel"/>
    <w:tmpl w:val="DF846E86"/>
    <w:lvl w:ilvl="0" w:tplc="DECCF8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B4E"/>
    <w:multiLevelType w:val="hybridMultilevel"/>
    <w:tmpl w:val="4B682950"/>
    <w:lvl w:ilvl="0" w:tplc="A14EC6E2">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C5E00"/>
    <w:multiLevelType w:val="hybridMultilevel"/>
    <w:tmpl w:val="EFB6B5F2"/>
    <w:lvl w:ilvl="0" w:tplc="6C686C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0459D"/>
    <w:multiLevelType w:val="hybridMultilevel"/>
    <w:tmpl w:val="15E6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4EFB"/>
    <w:multiLevelType w:val="hybridMultilevel"/>
    <w:tmpl w:val="DBB8C04A"/>
    <w:lvl w:ilvl="0" w:tplc="FCE69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474F61"/>
    <w:multiLevelType w:val="hybridMultilevel"/>
    <w:tmpl w:val="D048D4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0996"/>
    <w:multiLevelType w:val="hybridMultilevel"/>
    <w:tmpl w:val="D1B6CF3A"/>
    <w:lvl w:ilvl="0" w:tplc="00FE7D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23B40"/>
    <w:multiLevelType w:val="hybridMultilevel"/>
    <w:tmpl w:val="77AED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350C"/>
    <w:multiLevelType w:val="hybridMultilevel"/>
    <w:tmpl w:val="D2E2C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1032"/>
    <w:multiLevelType w:val="hybridMultilevel"/>
    <w:tmpl w:val="FA5C2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B5076"/>
    <w:multiLevelType w:val="hybridMultilevel"/>
    <w:tmpl w:val="8B14F6C6"/>
    <w:lvl w:ilvl="0" w:tplc="4030E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75175B"/>
    <w:multiLevelType w:val="hybridMultilevel"/>
    <w:tmpl w:val="7D662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76552"/>
    <w:multiLevelType w:val="hybridMultilevel"/>
    <w:tmpl w:val="A0B4A118"/>
    <w:lvl w:ilvl="0" w:tplc="D9C634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73B0C"/>
    <w:multiLevelType w:val="hybridMultilevel"/>
    <w:tmpl w:val="713A51AA"/>
    <w:lvl w:ilvl="0" w:tplc="E9DC3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CB4B9B"/>
    <w:multiLevelType w:val="hybridMultilevel"/>
    <w:tmpl w:val="8FFEAF6A"/>
    <w:lvl w:ilvl="0" w:tplc="E33408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D5B80"/>
    <w:multiLevelType w:val="hybridMultilevel"/>
    <w:tmpl w:val="40C055B0"/>
    <w:lvl w:ilvl="0" w:tplc="96D61E86">
      <w:start w:val="1"/>
      <w:numFmt w:val="lowerLetter"/>
      <w:lvlText w:val="%1."/>
      <w:lvlJc w:val="left"/>
      <w:pPr>
        <w:ind w:left="644"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F775A"/>
    <w:multiLevelType w:val="hybridMultilevel"/>
    <w:tmpl w:val="186C5A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D2259F2"/>
    <w:multiLevelType w:val="hybridMultilevel"/>
    <w:tmpl w:val="DEE6D4B2"/>
    <w:lvl w:ilvl="0" w:tplc="F69C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A6D03"/>
    <w:multiLevelType w:val="hybridMultilevel"/>
    <w:tmpl w:val="C0143460"/>
    <w:lvl w:ilvl="0" w:tplc="E36409E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B3558"/>
    <w:multiLevelType w:val="hybridMultilevel"/>
    <w:tmpl w:val="4906F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C550F"/>
    <w:multiLevelType w:val="hybridMultilevel"/>
    <w:tmpl w:val="181C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1693"/>
    <w:multiLevelType w:val="hybridMultilevel"/>
    <w:tmpl w:val="8528DA7A"/>
    <w:lvl w:ilvl="0" w:tplc="70107E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3510E5F"/>
    <w:multiLevelType w:val="hybridMultilevel"/>
    <w:tmpl w:val="8984F95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552369DB"/>
    <w:multiLevelType w:val="hybridMultilevel"/>
    <w:tmpl w:val="44669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92FA8"/>
    <w:multiLevelType w:val="hybridMultilevel"/>
    <w:tmpl w:val="35E2665E"/>
    <w:lvl w:ilvl="0" w:tplc="432671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02456F"/>
    <w:multiLevelType w:val="hybridMultilevel"/>
    <w:tmpl w:val="F9A86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B562BFB"/>
    <w:multiLevelType w:val="hybridMultilevel"/>
    <w:tmpl w:val="C930E6B4"/>
    <w:lvl w:ilvl="0" w:tplc="5796A7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C0D90"/>
    <w:multiLevelType w:val="hybridMultilevel"/>
    <w:tmpl w:val="FEA23FD4"/>
    <w:lvl w:ilvl="0" w:tplc="A5B23E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47B59"/>
    <w:multiLevelType w:val="hybridMultilevel"/>
    <w:tmpl w:val="D682C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FB694A"/>
    <w:multiLevelType w:val="hybridMultilevel"/>
    <w:tmpl w:val="2C3085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7A60F81"/>
    <w:multiLevelType w:val="hybridMultilevel"/>
    <w:tmpl w:val="DD88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71134"/>
    <w:multiLevelType w:val="hybridMultilevel"/>
    <w:tmpl w:val="3F6C9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1126"/>
    <w:multiLevelType w:val="hybridMultilevel"/>
    <w:tmpl w:val="A1E43400"/>
    <w:lvl w:ilvl="0" w:tplc="62AA6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F769F3"/>
    <w:multiLevelType w:val="hybridMultilevel"/>
    <w:tmpl w:val="CFB63318"/>
    <w:lvl w:ilvl="0" w:tplc="6EAEA91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634A2D"/>
    <w:multiLevelType w:val="hybridMultilevel"/>
    <w:tmpl w:val="E098C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141F3"/>
    <w:multiLevelType w:val="hybridMultilevel"/>
    <w:tmpl w:val="87900F6E"/>
    <w:lvl w:ilvl="0" w:tplc="CFF68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71E0B02"/>
    <w:multiLevelType w:val="hybridMultilevel"/>
    <w:tmpl w:val="B4D845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5F5CEF"/>
    <w:multiLevelType w:val="hybridMultilevel"/>
    <w:tmpl w:val="FAB6C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E0C02"/>
    <w:multiLevelType w:val="hybridMultilevel"/>
    <w:tmpl w:val="B61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19"/>
  </w:num>
  <w:num w:numId="4">
    <w:abstractNumId w:val="4"/>
  </w:num>
  <w:num w:numId="5">
    <w:abstractNumId w:val="33"/>
  </w:num>
  <w:num w:numId="6">
    <w:abstractNumId w:val="34"/>
  </w:num>
  <w:num w:numId="7">
    <w:abstractNumId w:val="14"/>
  </w:num>
  <w:num w:numId="8">
    <w:abstractNumId w:val="18"/>
  </w:num>
  <w:num w:numId="9">
    <w:abstractNumId w:val="9"/>
  </w:num>
  <w:num w:numId="10">
    <w:abstractNumId w:val="30"/>
  </w:num>
  <w:num w:numId="11">
    <w:abstractNumId w:val="22"/>
  </w:num>
  <w:num w:numId="12">
    <w:abstractNumId w:val="26"/>
  </w:num>
  <w:num w:numId="13">
    <w:abstractNumId w:val="20"/>
  </w:num>
  <w:num w:numId="14">
    <w:abstractNumId w:val="11"/>
  </w:num>
  <w:num w:numId="15">
    <w:abstractNumId w:val="41"/>
  </w:num>
  <w:num w:numId="16">
    <w:abstractNumId w:val="29"/>
  </w:num>
  <w:num w:numId="17">
    <w:abstractNumId w:val="15"/>
  </w:num>
  <w:num w:numId="18">
    <w:abstractNumId w:val="10"/>
  </w:num>
  <w:num w:numId="19">
    <w:abstractNumId w:val="5"/>
  </w:num>
  <w:num w:numId="20">
    <w:abstractNumId w:val="23"/>
  </w:num>
  <w:num w:numId="21">
    <w:abstractNumId w:val="37"/>
  </w:num>
  <w:num w:numId="22">
    <w:abstractNumId w:val="39"/>
  </w:num>
  <w:num w:numId="23">
    <w:abstractNumId w:val="24"/>
  </w:num>
  <w:num w:numId="24">
    <w:abstractNumId w:val="27"/>
  </w:num>
  <w:num w:numId="25">
    <w:abstractNumId w:val="16"/>
  </w:num>
  <w:num w:numId="26">
    <w:abstractNumId w:val="8"/>
  </w:num>
  <w:num w:numId="27">
    <w:abstractNumId w:val="13"/>
  </w:num>
  <w:num w:numId="28">
    <w:abstractNumId w:val="7"/>
  </w:num>
  <w:num w:numId="29">
    <w:abstractNumId w:val="35"/>
  </w:num>
  <w:num w:numId="30">
    <w:abstractNumId w:val="6"/>
  </w:num>
  <w:num w:numId="31">
    <w:abstractNumId w:val="40"/>
  </w:num>
  <w:num w:numId="32">
    <w:abstractNumId w:val="3"/>
  </w:num>
  <w:num w:numId="33">
    <w:abstractNumId w:val="17"/>
  </w:num>
  <w:num w:numId="34">
    <w:abstractNumId w:val="21"/>
  </w:num>
  <w:num w:numId="35">
    <w:abstractNumId w:val="0"/>
  </w:num>
  <w:num w:numId="36">
    <w:abstractNumId w:val="1"/>
  </w:num>
  <w:num w:numId="37">
    <w:abstractNumId w:val="2"/>
  </w:num>
  <w:num w:numId="38">
    <w:abstractNumId w:val="36"/>
  </w:num>
  <w:num w:numId="39">
    <w:abstractNumId w:val="25"/>
  </w:num>
  <w:num w:numId="40">
    <w:abstractNumId w:val="32"/>
  </w:num>
  <w:num w:numId="41">
    <w:abstractNumId w:val="31"/>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5"/>
    <w:rsid w:val="00020776"/>
    <w:rsid w:val="00067D3E"/>
    <w:rsid w:val="00070662"/>
    <w:rsid w:val="0007543F"/>
    <w:rsid w:val="00077A65"/>
    <w:rsid w:val="000C3FA7"/>
    <w:rsid w:val="000C7832"/>
    <w:rsid w:val="00100AE7"/>
    <w:rsid w:val="00107DB1"/>
    <w:rsid w:val="0014136C"/>
    <w:rsid w:val="00154FCD"/>
    <w:rsid w:val="0016467B"/>
    <w:rsid w:val="001A6A52"/>
    <w:rsid w:val="001C0D85"/>
    <w:rsid w:val="001D3FA0"/>
    <w:rsid w:val="001F54DD"/>
    <w:rsid w:val="00222B74"/>
    <w:rsid w:val="002F07E1"/>
    <w:rsid w:val="00315509"/>
    <w:rsid w:val="00374AEB"/>
    <w:rsid w:val="00383050"/>
    <w:rsid w:val="003A4184"/>
    <w:rsid w:val="003A5336"/>
    <w:rsid w:val="003C2B2E"/>
    <w:rsid w:val="003F7C9E"/>
    <w:rsid w:val="00401601"/>
    <w:rsid w:val="00422CB6"/>
    <w:rsid w:val="004317EB"/>
    <w:rsid w:val="00450ABF"/>
    <w:rsid w:val="0045442D"/>
    <w:rsid w:val="00466194"/>
    <w:rsid w:val="00483F74"/>
    <w:rsid w:val="00485B5D"/>
    <w:rsid w:val="005168A8"/>
    <w:rsid w:val="00517CFC"/>
    <w:rsid w:val="005263D6"/>
    <w:rsid w:val="00534BD1"/>
    <w:rsid w:val="00537DBD"/>
    <w:rsid w:val="00542F30"/>
    <w:rsid w:val="00554009"/>
    <w:rsid w:val="0055718B"/>
    <w:rsid w:val="005628F2"/>
    <w:rsid w:val="00566A67"/>
    <w:rsid w:val="005819E1"/>
    <w:rsid w:val="005834B2"/>
    <w:rsid w:val="005B0F48"/>
    <w:rsid w:val="005E2CB8"/>
    <w:rsid w:val="005E7AB9"/>
    <w:rsid w:val="005F2387"/>
    <w:rsid w:val="005F42EF"/>
    <w:rsid w:val="0060359A"/>
    <w:rsid w:val="00622568"/>
    <w:rsid w:val="006307D5"/>
    <w:rsid w:val="00634D02"/>
    <w:rsid w:val="00635576"/>
    <w:rsid w:val="006547CA"/>
    <w:rsid w:val="0069037D"/>
    <w:rsid w:val="006A29B1"/>
    <w:rsid w:val="006B7047"/>
    <w:rsid w:val="006E7982"/>
    <w:rsid w:val="006F5623"/>
    <w:rsid w:val="00717955"/>
    <w:rsid w:val="00722B83"/>
    <w:rsid w:val="007308CB"/>
    <w:rsid w:val="00772605"/>
    <w:rsid w:val="007A44C3"/>
    <w:rsid w:val="007C46C4"/>
    <w:rsid w:val="007E4465"/>
    <w:rsid w:val="007F48C7"/>
    <w:rsid w:val="00805EBB"/>
    <w:rsid w:val="00807E61"/>
    <w:rsid w:val="00817AB0"/>
    <w:rsid w:val="008425F6"/>
    <w:rsid w:val="00843728"/>
    <w:rsid w:val="00862E4C"/>
    <w:rsid w:val="008A2477"/>
    <w:rsid w:val="008B529D"/>
    <w:rsid w:val="008C1647"/>
    <w:rsid w:val="008F2625"/>
    <w:rsid w:val="008F7CDD"/>
    <w:rsid w:val="0094688C"/>
    <w:rsid w:val="00966E89"/>
    <w:rsid w:val="00980111"/>
    <w:rsid w:val="009A3FF3"/>
    <w:rsid w:val="009D1203"/>
    <w:rsid w:val="009D3B1B"/>
    <w:rsid w:val="009D4425"/>
    <w:rsid w:val="009E3A36"/>
    <w:rsid w:val="00A562F6"/>
    <w:rsid w:val="00A659BE"/>
    <w:rsid w:val="00AF0BC6"/>
    <w:rsid w:val="00B34394"/>
    <w:rsid w:val="00B73A53"/>
    <w:rsid w:val="00B811E0"/>
    <w:rsid w:val="00B94EBD"/>
    <w:rsid w:val="00BB15D7"/>
    <w:rsid w:val="00BC5CC0"/>
    <w:rsid w:val="00C32A15"/>
    <w:rsid w:val="00C369A4"/>
    <w:rsid w:val="00C455DF"/>
    <w:rsid w:val="00C56520"/>
    <w:rsid w:val="00C913FF"/>
    <w:rsid w:val="00D246F7"/>
    <w:rsid w:val="00D262D4"/>
    <w:rsid w:val="00D279AE"/>
    <w:rsid w:val="00D71625"/>
    <w:rsid w:val="00D84DE5"/>
    <w:rsid w:val="00DA1B26"/>
    <w:rsid w:val="00DC00C0"/>
    <w:rsid w:val="00DC7FC9"/>
    <w:rsid w:val="00DD79ED"/>
    <w:rsid w:val="00DF0698"/>
    <w:rsid w:val="00DF1E04"/>
    <w:rsid w:val="00DF6267"/>
    <w:rsid w:val="00E41ADE"/>
    <w:rsid w:val="00E45DD6"/>
    <w:rsid w:val="00E82344"/>
    <w:rsid w:val="00EE343B"/>
    <w:rsid w:val="00EF132A"/>
    <w:rsid w:val="00F04173"/>
    <w:rsid w:val="00F075EA"/>
    <w:rsid w:val="00F118C8"/>
    <w:rsid w:val="00F328BC"/>
    <w:rsid w:val="00F32A10"/>
    <w:rsid w:val="00F51883"/>
    <w:rsid w:val="00F81BEA"/>
    <w:rsid w:val="00F966CF"/>
    <w:rsid w:val="00FB48BF"/>
    <w:rsid w:val="00FB5F6E"/>
    <w:rsid w:val="00FD6E36"/>
    <w:rsid w:val="00FF4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30039"/>
  <w15:docId w15:val="{5CE442CE-622E-4C82-83C7-5EB0229C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07E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26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5628F2"/>
    <w:pPr>
      <w:ind w:left="720"/>
      <w:contextualSpacing/>
    </w:pPr>
  </w:style>
  <w:style w:type="character" w:styleId="Odwoaniedokomentarza">
    <w:name w:val="annotation reference"/>
    <w:basedOn w:val="Domylnaczcionkaakapitu"/>
    <w:uiPriority w:val="99"/>
    <w:semiHidden/>
    <w:unhideWhenUsed/>
    <w:rsid w:val="00A562F6"/>
    <w:rPr>
      <w:sz w:val="16"/>
      <w:szCs w:val="16"/>
    </w:rPr>
  </w:style>
  <w:style w:type="paragraph" w:styleId="Tekstkomentarza">
    <w:name w:val="annotation text"/>
    <w:basedOn w:val="Normalny"/>
    <w:link w:val="TekstkomentarzaZnak"/>
    <w:uiPriority w:val="99"/>
    <w:semiHidden/>
    <w:unhideWhenUsed/>
    <w:rsid w:val="00A562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2F6"/>
    <w:rPr>
      <w:sz w:val="20"/>
      <w:szCs w:val="20"/>
    </w:rPr>
  </w:style>
  <w:style w:type="paragraph" w:styleId="Tematkomentarza">
    <w:name w:val="annotation subject"/>
    <w:basedOn w:val="Tekstkomentarza"/>
    <w:next w:val="Tekstkomentarza"/>
    <w:link w:val="TematkomentarzaZnak"/>
    <w:uiPriority w:val="99"/>
    <w:semiHidden/>
    <w:unhideWhenUsed/>
    <w:rsid w:val="00A562F6"/>
    <w:rPr>
      <w:b/>
      <w:bCs/>
    </w:rPr>
  </w:style>
  <w:style w:type="character" w:customStyle="1" w:styleId="TematkomentarzaZnak">
    <w:name w:val="Temat komentarza Znak"/>
    <w:basedOn w:val="TekstkomentarzaZnak"/>
    <w:link w:val="Tematkomentarza"/>
    <w:uiPriority w:val="99"/>
    <w:semiHidden/>
    <w:rsid w:val="00A562F6"/>
    <w:rPr>
      <w:b/>
      <w:bCs/>
      <w:sz w:val="20"/>
      <w:szCs w:val="20"/>
    </w:rPr>
  </w:style>
  <w:style w:type="paragraph" w:styleId="Tekstdymka">
    <w:name w:val="Balloon Text"/>
    <w:basedOn w:val="Normalny"/>
    <w:link w:val="TekstdymkaZnak"/>
    <w:uiPriority w:val="99"/>
    <w:semiHidden/>
    <w:unhideWhenUsed/>
    <w:rsid w:val="00A56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2F6"/>
    <w:rPr>
      <w:rFonts w:ascii="Tahoma" w:hAnsi="Tahoma" w:cs="Tahoma"/>
      <w:sz w:val="16"/>
      <w:szCs w:val="16"/>
    </w:rPr>
  </w:style>
  <w:style w:type="paragraph" w:customStyle="1" w:styleId="CZWSPPKTczwsplnapunktw">
    <w:name w:val="CZ_WSP_PKT – część wspólna punktów"/>
    <w:basedOn w:val="Normalny"/>
    <w:next w:val="Normalny"/>
    <w:uiPriority w:val="16"/>
    <w:qFormat/>
    <w:rsid w:val="00E41ADE"/>
    <w:pPr>
      <w:spacing w:after="0" w:line="360" w:lineRule="auto"/>
      <w:jc w:val="both"/>
    </w:pPr>
    <w:rPr>
      <w:rFonts w:ascii="Times" w:eastAsia="Times New Roman" w:hAnsi="Times" w:cs="Arial"/>
      <w:bCs/>
      <w:sz w:val="24"/>
      <w:szCs w:val="20"/>
      <w:lang w:eastAsia="pl-PL"/>
    </w:rPr>
  </w:style>
  <w:style w:type="character" w:styleId="Hipercze">
    <w:name w:val="Hyperlink"/>
    <w:basedOn w:val="Domylnaczcionkaakapitu"/>
    <w:uiPriority w:val="99"/>
    <w:unhideWhenUsed/>
    <w:rsid w:val="00EE343B"/>
    <w:rPr>
      <w:color w:val="0000FF" w:themeColor="hyperlink"/>
      <w:u w:val="single"/>
    </w:rPr>
  </w:style>
  <w:style w:type="paragraph" w:styleId="Nagwek">
    <w:name w:val="header"/>
    <w:basedOn w:val="Normalny"/>
    <w:link w:val="NagwekZnak"/>
    <w:uiPriority w:val="99"/>
    <w:unhideWhenUsed/>
    <w:rsid w:val="005168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8A8"/>
  </w:style>
  <w:style w:type="paragraph" w:styleId="Stopka">
    <w:name w:val="footer"/>
    <w:basedOn w:val="Normalny"/>
    <w:link w:val="StopkaZnak"/>
    <w:uiPriority w:val="99"/>
    <w:unhideWhenUsed/>
    <w:rsid w:val="00516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5035">
      <w:bodyDiv w:val="1"/>
      <w:marLeft w:val="0"/>
      <w:marRight w:val="0"/>
      <w:marTop w:val="0"/>
      <w:marBottom w:val="0"/>
      <w:divBdr>
        <w:top w:val="none" w:sz="0" w:space="0" w:color="auto"/>
        <w:left w:val="none" w:sz="0" w:space="0" w:color="auto"/>
        <w:bottom w:val="none" w:sz="0" w:space="0" w:color="auto"/>
        <w:right w:val="none" w:sz="0" w:space="0" w:color="auto"/>
      </w:divBdr>
      <w:divsChild>
        <w:div w:id="794181537">
          <w:marLeft w:val="0"/>
          <w:marRight w:val="0"/>
          <w:marTop w:val="0"/>
          <w:marBottom w:val="0"/>
          <w:divBdr>
            <w:top w:val="none" w:sz="0" w:space="0" w:color="auto"/>
            <w:left w:val="none" w:sz="0" w:space="0" w:color="auto"/>
            <w:bottom w:val="none" w:sz="0" w:space="0" w:color="auto"/>
            <w:right w:val="none" w:sz="0" w:space="0" w:color="auto"/>
          </w:divBdr>
        </w:div>
        <w:div w:id="634484496">
          <w:marLeft w:val="0"/>
          <w:marRight w:val="0"/>
          <w:marTop w:val="0"/>
          <w:marBottom w:val="0"/>
          <w:divBdr>
            <w:top w:val="none" w:sz="0" w:space="0" w:color="auto"/>
            <w:left w:val="none" w:sz="0" w:space="0" w:color="auto"/>
            <w:bottom w:val="none" w:sz="0" w:space="0" w:color="auto"/>
            <w:right w:val="none" w:sz="0" w:space="0" w:color="auto"/>
          </w:divBdr>
        </w:div>
        <w:div w:id="1136216486">
          <w:marLeft w:val="0"/>
          <w:marRight w:val="0"/>
          <w:marTop w:val="0"/>
          <w:marBottom w:val="0"/>
          <w:divBdr>
            <w:top w:val="none" w:sz="0" w:space="0" w:color="auto"/>
            <w:left w:val="none" w:sz="0" w:space="0" w:color="auto"/>
            <w:bottom w:val="none" w:sz="0" w:space="0" w:color="auto"/>
            <w:right w:val="none" w:sz="0" w:space="0" w:color="auto"/>
          </w:divBdr>
        </w:div>
        <w:div w:id="355547033">
          <w:marLeft w:val="0"/>
          <w:marRight w:val="0"/>
          <w:marTop w:val="0"/>
          <w:marBottom w:val="0"/>
          <w:divBdr>
            <w:top w:val="none" w:sz="0" w:space="0" w:color="auto"/>
            <w:left w:val="none" w:sz="0" w:space="0" w:color="auto"/>
            <w:bottom w:val="none" w:sz="0" w:space="0" w:color="auto"/>
            <w:right w:val="none" w:sz="0" w:space="0" w:color="auto"/>
          </w:divBdr>
        </w:div>
        <w:div w:id="1996378169">
          <w:marLeft w:val="0"/>
          <w:marRight w:val="0"/>
          <w:marTop w:val="0"/>
          <w:marBottom w:val="0"/>
          <w:divBdr>
            <w:top w:val="none" w:sz="0" w:space="0" w:color="auto"/>
            <w:left w:val="none" w:sz="0" w:space="0" w:color="auto"/>
            <w:bottom w:val="none" w:sz="0" w:space="0" w:color="auto"/>
            <w:right w:val="none" w:sz="0" w:space="0" w:color="auto"/>
          </w:divBdr>
        </w:div>
        <w:div w:id="1300183090">
          <w:marLeft w:val="0"/>
          <w:marRight w:val="0"/>
          <w:marTop w:val="0"/>
          <w:marBottom w:val="0"/>
          <w:divBdr>
            <w:top w:val="none" w:sz="0" w:space="0" w:color="auto"/>
            <w:left w:val="none" w:sz="0" w:space="0" w:color="auto"/>
            <w:bottom w:val="none" w:sz="0" w:space="0" w:color="auto"/>
            <w:right w:val="none" w:sz="0" w:space="0" w:color="auto"/>
          </w:divBdr>
        </w:div>
        <w:div w:id="1886020295">
          <w:marLeft w:val="0"/>
          <w:marRight w:val="0"/>
          <w:marTop w:val="0"/>
          <w:marBottom w:val="0"/>
          <w:divBdr>
            <w:top w:val="none" w:sz="0" w:space="0" w:color="auto"/>
            <w:left w:val="none" w:sz="0" w:space="0" w:color="auto"/>
            <w:bottom w:val="none" w:sz="0" w:space="0" w:color="auto"/>
            <w:right w:val="none" w:sz="0" w:space="0" w:color="auto"/>
          </w:divBdr>
        </w:div>
        <w:div w:id="314652690">
          <w:marLeft w:val="0"/>
          <w:marRight w:val="0"/>
          <w:marTop w:val="0"/>
          <w:marBottom w:val="0"/>
          <w:divBdr>
            <w:top w:val="none" w:sz="0" w:space="0" w:color="auto"/>
            <w:left w:val="none" w:sz="0" w:space="0" w:color="auto"/>
            <w:bottom w:val="none" w:sz="0" w:space="0" w:color="auto"/>
            <w:right w:val="none" w:sz="0" w:space="0" w:color="auto"/>
          </w:divBdr>
        </w:div>
        <w:div w:id="778721059">
          <w:marLeft w:val="0"/>
          <w:marRight w:val="0"/>
          <w:marTop w:val="0"/>
          <w:marBottom w:val="0"/>
          <w:divBdr>
            <w:top w:val="none" w:sz="0" w:space="0" w:color="auto"/>
            <w:left w:val="none" w:sz="0" w:space="0" w:color="auto"/>
            <w:bottom w:val="none" w:sz="0" w:space="0" w:color="auto"/>
            <w:right w:val="none" w:sz="0" w:space="0" w:color="auto"/>
          </w:divBdr>
        </w:div>
        <w:div w:id="1790852928">
          <w:marLeft w:val="0"/>
          <w:marRight w:val="0"/>
          <w:marTop w:val="0"/>
          <w:marBottom w:val="0"/>
          <w:divBdr>
            <w:top w:val="none" w:sz="0" w:space="0" w:color="auto"/>
            <w:left w:val="none" w:sz="0" w:space="0" w:color="auto"/>
            <w:bottom w:val="none" w:sz="0" w:space="0" w:color="auto"/>
            <w:right w:val="none" w:sz="0" w:space="0" w:color="auto"/>
          </w:divBdr>
        </w:div>
        <w:div w:id="463084108">
          <w:marLeft w:val="0"/>
          <w:marRight w:val="0"/>
          <w:marTop w:val="0"/>
          <w:marBottom w:val="0"/>
          <w:divBdr>
            <w:top w:val="none" w:sz="0" w:space="0" w:color="auto"/>
            <w:left w:val="none" w:sz="0" w:space="0" w:color="auto"/>
            <w:bottom w:val="none" w:sz="0" w:space="0" w:color="auto"/>
            <w:right w:val="none" w:sz="0" w:space="0" w:color="auto"/>
          </w:divBdr>
        </w:div>
        <w:div w:id="1606382496">
          <w:marLeft w:val="0"/>
          <w:marRight w:val="0"/>
          <w:marTop w:val="0"/>
          <w:marBottom w:val="0"/>
          <w:divBdr>
            <w:top w:val="none" w:sz="0" w:space="0" w:color="auto"/>
            <w:left w:val="none" w:sz="0" w:space="0" w:color="auto"/>
            <w:bottom w:val="none" w:sz="0" w:space="0" w:color="auto"/>
            <w:right w:val="none" w:sz="0" w:space="0" w:color="auto"/>
          </w:divBdr>
        </w:div>
        <w:div w:id="2019185841">
          <w:marLeft w:val="0"/>
          <w:marRight w:val="0"/>
          <w:marTop w:val="0"/>
          <w:marBottom w:val="0"/>
          <w:divBdr>
            <w:top w:val="none" w:sz="0" w:space="0" w:color="auto"/>
            <w:left w:val="none" w:sz="0" w:space="0" w:color="auto"/>
            <w:bottom w:val="none" w:sz="0" w:space="0" w:color="auto"/>
            <w:right w:val="none" w:sz="0" w:space="0" w:color="auto"/>
          </w:divBdr>
        </w:div>
        <w:div w:id="688877256">
          <w:marLeft w:val="0"/>
          <w:marRight w:val="0"/>
          <w:marTop w:val="0"/>
          <w:marBottom w:val="0"/>
          <w:divBdr>
            <w:top w:val="none" w:sz="0" w:space="0" w:color="auto"/>
            <w:left w:val="none" w:sz="0" w:space="0" w:color="auto"/>
            <w:bottom w:val="none" w:sz="0" w:space="0" w:color="auto"/>
            <w:right w:val="none" w:sz="0" w:space="0" w:color="auto"/>
          </w:divBdr>
        </w:div>
        <w:div w:id="334042670">
          <w:marLeft w:val="0"/>
          <w:marRight w:val="0"/>
          <w:marTop w:val="0"/>
          <w:marBottom w:val="0"/>
          <w:divBdr>
            <w:top w:val="none" w:sz="0" w:space="0" w:color="auto"/>
            <w:left w:val="none" w:sz="0" w:space="0" w:color="auto"/>
            <w:bottom w:val="none" w:sz="0" w:space="0" w:color="auto"/>
            <w:right w:val="none" w:sz="0" w:space="0" w:color="auto"/>
          </w:divBdr>
        </w:div>
        <w:div w:id="2075738610">
          <w:marLeft w:val="0"/>
          <w:marRight w:val="0"/>
          <w:marTop w:val="0"/>
          <w:marBottom w:val="0"/>
          <w:divBdr>
            <w:top w:val="none" w:sz="0" w:space="0" w:color="auto"/>
            <w:left w:val="none" w:sz="0" w:space="0" w:color="auto"/>
            <w:bottom w:val="none" w:sz="0" w:space="0" w:color="auto"/>
            <w:right w:val="none" w:sz="0" w:space="0" w:color="auto"/>
          </w:divBdr>
        </w:div>
        <w:div w:id="181364130">
          <w:marLeft w:val="0"/>
          <w:marRight w:val="0"/>
          <w:marTop w:val="0"/>
          <w:marBottom w:val="0"/>
          <w:divBdr>
            <w:top w:val="none" w:sz="0" w:space="0" w:color="auto"/>
            <w:left w:val="none" w:sz="0" w:space="0" w:color="auto"/>
            <w:bottom w:val="none" w:sz="0" w:space="0" w:color="auto"/>
            <w:right w:val="none" w:sz="0" w:space="0" w:color="auto"/>
          </w:divBdr>
        </w:div>
        <w:div w:id="631636624">
          <w:marLeft w:val="0"/>
          <w:marRight w:val="0"/>
          <w:marTop w:val="0"/>
          <w:marBottom w:val="0"/>
          <w:divBdr>
            <w:top w:val="none" w:sz="0" w:space="0" w:color="auto"/>
            <w:left w:val="none" w:sz="0" w:space="0" w:color="auto"/>
            <w:bottom w:val="none" w:sz="0" w:space="0" w:color="auto"/>
            <w:right w:val="none" w:sz="0" w:space="0" w:color="auto"/>
          </w:divBdr>
        </w:div>
        <w:div w:id="1485967188">
          <w:marLeft w:val="0"/>
          <w:marRight w:val="0"/>
          <w:marTop w:val="0"/>
          <w:marBottom w:val="0"/>
          <w:divBdr>
            <w:top w:val="none" w:sz="0" w:space="0" w:color="auto"/>
            <w:left w:val="none" w:sz="0" w:space="0" w:color="auto"/>
            <w:bottom w:val="none" w:sz="0" w:space="0" w:color="auto"/>
            <w:right w:val="none" w:sz="0" w:space="0" w:color="auto"/>
          </w:divBdr>
        </w:div>
        <w:div w:id="93088525">
          <w:marLeft w:val="0"/>
          <w:marRight w:val="0"/>
          <w:marTop w:val="0"/>
          <w:marBottom w:val="0"/>
          <w:divBdr>
            <w:top w:val="none" w:sz="0" w:space="0" w:color="auto"/>
            <w:left w:val="none" w:sz="0" w:space="0" w:color="auto"/>
            <w:bottom w:val="none" w:sz="0" w:space="0" w:color="auto"/>
            <w:right w:val="none" w:sz="0" w:space="0" w:color="auto"/>
          </w:divBdr>
        </w:div>
        <w:div w:id="115292465">
          <w:marLeft w:val="0"/>
          <w:marRight w:val="0"/>
          <w:marTop w:val="0"/>
          <w:marBottom w:val="0"/>
          <w:divBdr>
            <w:top w:val="none" w:sz="0" w:space="0" w:color="auto"/>
            <w:left w:val="none" w:sz="0" w:space="0" w:color="auto"/>
            <w:bottom w:val="none" w:sz="0" w:space="0" w:color="auto"/>
            <w:right w:val="none" w:sz="0" w:space="0" w:color="auto"/>
          </w:divBdr>
        </w:div>
        <w:div w:id="592933390">
          <w:marLeft w:val="0"/>
          <w:marRight w:val="0"/>
          <w:marTop w:val="0"/>
          <w:marBottom w:val="0"/>
          <w:divBdr>
            <w:top w:val="none" w:sz="0" w:space="0" w:color="auto"/>
            <w:left w:val="none" w:sz="0" w:space="0" w:color="auto"/>
            <w:bottom w:val="none" w:sz="0" w:space="0" w:color="auto"/>
            <w:right w:val="none" w:sz="0" w:space="0" w:color="auto"/>
          </w:divBdr>
        </w:div>
        <w:div w:id="991256023">
          <w:marLeft w:val="0"/>
          <w:marRight w:val="0"/>
          <w:marTop w:val="0"/>
          <w:marBottom w:val="0"/>
          <w:divBdr>
            <w:top w:val="none" w:sz="0" w:space="0" w:color="auto"/>
            <w:left w:val="none" w:sz="0" w:space="0" w:color="auto"/>
            <w:bottom w:val="none" w:sz="0" w:space="0" w:color="auto"/>
            <w:right w:val="none" w:sz="0" w:space="0" w:color="auto"/>
          </w:divBdr>
        </w:div>
        <w:div w:id="656300389">
          <w:marLeft w:val="0"/>
          <w:marRight w:val="0"/>
          <w:marTop w:val="0"/>
          <w:marBottom w:val="0"/>
          <w:divBdr>
            <w:top w:val="none" w:sz="0" w:space="0" w:color="auto"/>
            <w:left w:val="none" w:sz="0" w:space="0" w:color="auto"/>
            <w:bottom w:val="none" w:sz="0" w:space="0" w:color="auto"/>
            <w:right w:val="none" w:sz="0" w:space="0" w:color="auto"/>
          </w:divBdr>
        </w:div>
        <w:div w:id="748889197">
          <w:marLeft w:val="0"/>
          <w:marRight w:val="0"/>
          <w:marTop w:val="0"/>
          <w:marBottom w:val="0"/>
          <w:divBdr>
            <w:top w:val="none" w:sz="0" w:space="0" w:color="auto"/>
            <w:left w:val="none" w:sz="0" w:space="0" w:color="auto"/>
            <w:bottom w:val="none" w:sz="0" w:space="0" w:color="auto"/>
            <w:right w:val="none" w:sz="0" w:space="0" w:color="auto"/>
          </w:divBdr>
        </w:div>
        <w:div w:id="1850872909">
          <w:marLeft w:val="0"/>
          <w:marRight w:val="0"/>
          <w:marTop w:val="0"/>
          <w:marBottom w:val="0"/>
          <w:divBdr>
            <w:top w:val="none" w:sz="0" w:space="0" w:color="auto"/>
            <w:left w:val="none" w:sz="0" w:space="0" w:color="auto"/>
            <w:bottom w:val="none" w:sz="0" w:space="0" w:color="auto"/>
            <w:right w:val="none" w:sz="0" w:space="0" w:color="auto"/>
          </w:divBdr>
        </w:div>
        <w:div w:id="1402825974">
          <w:marLeft w:val="0"/>
          <w:marRight w:val="0"/>
          <w:marTop w:val="0"/>
          <w:marBottom w:val="0"/>
          <w:divBdr>
            <w:top w:val="none" w:sz="0" w:space="0" w:color="auto"/>
            <w:left w:val="none" w:sz="0" w:space="0" w:color="auto"/>
            <w:bottom w:val="none" w:sz="0" w:space="0" w:color="auto"/>
            <w:right w:val="none" w:sz="0" w:space="0" w:color="auto"/>
          </w:divBdr>
        </w:div>
        <w:div w:id="115553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gd.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E5961-8612-42A6-9E41-4DF84616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3154</Words>
  <Characters>18930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BLGD</dc:creator>
  <cp:lastModifiedBy>BLGD-Agata</cp:lastModifiedBy>
  <cp:revision>32</cp:revision>
  <cp:lastPrinted>2015-12-29T10:29:00Z</cp:lastPrinted>
  <dcterms:created xsi:type="dcterms:W3CDTF">2016-09-30T08:04:00Z</dcterms:created>
  <dcterms:modified xsi:type="dcterms:W3CDTF">2016-09-30T10:38:00Z</dcterms:modified>
</cp:coreProperties>
</file>