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19A5" w14:textId="77777777" w:rsidR="00A17173" w:rsidRDefault="00A17173" w:rsidP="00A17173">
      <w:pPr>
        <w:jc w:val="both"/>
        <w:outlineLvl w:val="0"/>
        <w:rPr>
          <w:rFonts w:ascii="Times New Roman" w:hAnsi="Times New Roman" w:cs="Times New Roman"/>
          <w:b/>
          <w:bCs/>
          <w:color w:val="000000" w:themeColor="text1"/>
          <w:sz w:val="28"/>
          <w:szCs w:val="28"/>
        </w:rPr>
      </w:pPr>
      <w:bookmarkStart w:id="0" w:name="_Toc111101330"/>
    </w:p>
    <w:p w14:paraId="115A15C0" w14:textId="77777777" w:rsidR="00A17173" w:rsidRDefault="00A17173" w:rsidP="00A17173">
      <w:pPr>
        <w:jc w:val="both"/>
        <w:outlineLvl w:val="0"/>
        <w:rPr>
          <w:rFonts w:ascii="Times New Roman" w:hAnsi="Times New Roman" w:cs="Times New Roman"/>
          <w:b/>
          <w:bCs/>
          <w:color w:val="000000" w:themeColor="text1"/>
          <w:sz w:val="28"/>
          <w:szCs w:val="28"/>
        </w:rPr>
      </w:pPr>
    </w:p>
    <w:p w14:paraId="354FF6C5" w14:textId="77777777" w:rsidR="00C13D77" w:rsidRPr="00B66957" w:rsidRDefault="00C13D77" w:rsidP="00C13D77">
      <w:pPr>
        <w:spacing w:line="276" w:lineRule="auto"/>
        <w:jc w:val="center"/>
        <w:rPr>
          <w:rFonts w:ascii="Times New Roman" w:eastAsia="Times New Roman" w:hAnsi="Times New Roman" w:cs="Times New Roman"/>
          <w:b/>
          <w:bCs/>
          <w:iCs/>
          <w:color w:val="404040" w:themeColor="text1" w:themeTint="BF"/>
          <w:lang w:eastAsia="pl-PL"/>
        </w:rPr>
      </w:pPr>
      <w:bookmarkStart w:id="1" w:name="_Hlk115783950"/>
      <w:r w:rsidRPr="006959D8">
        <w:rPr>
          <w:rFonts w:ascii="Times New Roman" w:eastAsia="Times New Roman" w:hAnsi="Times New Roman" w:cs="Times New Roman"/>
          <w:b/>
          <w:bCs/>
          <w:iCs/>
          <w:color w:val="404040" w:themeColor="text1" w:themeTint="BF"/>
          <w:sz w:val="28"/>
          <w:szCs w:val="28"/>
          <w:lang w:eastAsia="pl-PL"/>
        </w:rPr>
        <w:t>Stowarzyszenie</w:t>
      </w:r>
    </w:p>
    <w:p w14:paraId="2F8018CC" w14:textId="509FFF13" w:rsidR="00C13D77" w:rsidRDefault="00C13D77" w:rsidP="006959D8">
      <w:pPr>
        <w:spacing w:line="276" w:lineRule="auto"/>
        <w:jc w:val="center"/>
        <w:rPr>
          <w:rFonts w:ascii="Times New Roman" w:eastAsia="Times New Roman" w:hAnsi="Times New Roman" w:cs="Times New Roman"/>
          <w:b/>
          <w:bCs/>
          <w:iCs/>
          <w:color w:val="404040" w:themeColor="text1" w:themeTint="BF"/>
          <w:sz w:val="28"/>
          <w:szCs w:val="28"/>
          <w:lang w:eastAsia="pl-PL"/>
        </w:rPr>
      </w:pPr>
      <w:r w:rsidRPr="006959D8">
        <w:rPr>
          <w:rFonts w:ascii="Times New Roman" w:eastAsia="Times New Roman" w:hAnsi="Times New Roman" w:cs="Times New Roman"/>
          <w:b/>
          <w:bCs/>
          <w:iCs/>
          <w:color w:val="404040" w:themeColor="text1" w:themeTint="BF"/>
          <w:sz w:val="28"/>
          <w:szCs w:val="28"/>
          <w:lang w:eastAsia="pl-PL"/>
        </w:rPr>
        <w:t>Bialskopodlaska Lokalna Grupa Działania</w:t>
      </w:r>
    </w:p>
    <w:p w14:paraId="4DC13CB3" w14:textId="77777777" w:rsidR="00CE2EDC" w:rsidRDefault="00CE2EDC" w:rsidP="006959D8">
      <w:pPr>
        <w:spacing w:line="276" w:lineRule="auto"/>
        <w:jc w:val="center"/>
        <w:rPr>
          <w:rFonts w:ascii="Times New Roman" w:eastAsia="Times New Roman" w:hAnsi="Times New Roman" w:cs="Times New Roman"/>
          <w:b/>
          <w:bCs/>
          <w:iCs/>
          <w:color w:val="404040" w:themeColor="text1" w:themeTint="BF"/>
          <w:sz w:val="28"/>
          <w:szCs w:val="28"/>
          <w:lang w:eastAsia="pl-PL"/>
        </w:rPr>
      </w:pPr>
    </w:p>
    <w:p w14:paraId="15F8F89F" w14:textId="77777777" w:rsidR="00CE2EDC" w:rsidRDefault="00CE2EDC" w:rsidP="006959D8">
      <w:pPr>
        <w:spacing w:line="276" w:lineRule="auto"/>
        <w:jc w:val="center"/>
        <w:rPr>
          <w:rFonts w:ascii="Times New Roman" w:eastAsia="Times New Roman" w:hAnsi="Times New Roman" w:cs="Times New Roman"/>
          <w:b/>
          <w:bCs/>
          <w:iCs/>
          <w:color w:val="404040" w:themeColor="text1" w:themeTint="BF"/>
          <w:sz w:val="28"/>
          <w:szCs w:val="28"/>
          <w:lang w:eastAsia="pl-PL"/>
        </w:rPr>
      </w:pPr>
    </w:p>
    <w:p w14:paraId="25391417" w14:textId="77777777" w:rsidR="00CE2EDC" w:rsidRPr="006959D8" w:rsidRDefault="00CE2EDC" w:rsidP="006959D8">
      <w:pPr>
        <w:spacing w:line="276" w:lineRule="auto"/>
        <w:jc w:val="center"/>
        <w:rPr>
          <w:rFonts w:ascii="Times New Roman" w:eastAsia="Times New Roman" w:hAnsi="Times New Roman" w:cs="Times New Roman"/>
          <w:b/>
          <w:bCs/>
          <w:iCs/>
          <w:color w:val="404040" w:themeColor="text1" w:themeTint="BF"/>
          <w:sz w:val="28"/>
          <w:szCs w:val="28"/>
          <w:lang w:eastAsia="pl-PL"/>
        </w:rPr>
      </w:pPr>
    </w:p>
    <w:bookmarkEnd w:id="1"/>
    <w:p w14:paraId="16E85B8B" w14:textId="712319E9" w:rsidR="00A17173" w:rsidRDefault="00C13D77" w:rsidP="00C20037">
      <w:pPr>
        <w:jc w:val="center"/>
        <w:rPr>
          <w:rFonts w:ascii="Times New Roman" w:hAnsi="Times New Roman" w:cs="Times New Roman"/>
          <w:b/>
          <w:bCs/>
          <w:color w:val="000000" w:themeColor="text1"/>
          <w:sz w:val="28"/>
          <w:szCs w:val="28"/>
        </w:rPr>
      </w:pPr>
      <w:r>
        <w:rPr>
          <w:noProof/>
        </w:rPr>
        <w:drawing>
          <wp:inline distT="0" distB="0" distL="0" distR="0" wp14:anchorId="7BE42501" wp14:editId="5E71E408">
            <wp:extent cx="2235200" cy="2334602"/>
            <wp:effectExtent l="0" t="0" r="0" b="8890"/>
            <wp:docPr id="16" name="Obraz 16" descr="Może być zdjęciem przedstawiającym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że być zdjęciem przedstawiającym tek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384" cy="2349417"/>
                    </a:xfrm>
                    <a:prstGeom prst="rect">
                      <a:avLst/>
                    </a:prstGeom>
                    <a:noFill/>
                    <a:ln>
                      <a:noFill/>
                    </a:ln>
                  </pic:spPr>
                </pic:pic>
              </a:graphicData>
            </a:graphic>
          </wp:inline>
        </w:drawing>
      </w:r>
    </w:p>
    <w:p w14:paraId="284C3109" w14:textId="77777777" w:rsidR="00D014DB" w:rsidRDefault="00D014DB" w:rsidP="00A17173">
      <w:pPr>
        <w:jc w:val="both"/>
        <w:outlineLvl w:val="0"/>
        <w:rPr>
          <w:rFonts w:ascii="Times New Roman" w:hAnsi="Times New Roman" w:cs="Times New Roman"/>
          <w:b/>
          <w:bCs/>
          <w:color w:val="000000" w:themeColor="text1"/>
          <w:sz w:val="28"/>
          <w:szCs w:val="28"/>
        </w:rPr>
      </w:pPr>
    </w:p>
    <w:p w14:paraId="29F27B73" w14:textId="77777777" w:rsidR="00DB2574" w:rsidRPr="00CE2EDC" w:rsidRDefault="00DB2574" w:rsidP="00DB2574">
      <w:pPr>
        <w:jc w:val="center"/>
        <w:rPr>
          <w:rFonts w:ascii="Times New Roman" w:hAnsi="Times New Roman" w:cs="Times New Roman"/>
          <w:b/>
          <w:bCs/>
          <w:i/>
          <w:iCs/>
          <w:sz w:val="72"/>
          <w:szCs w:val="72"/>
        </w:rPr>
      </w:pPr>
      <w:r w:rsidRPr="00CE2EDC">
        <w:rPr>
          <w:rFonts w:ascii="Times New Roman" w:hAnsi="Times New Roman" w:cs="Times New Roman"/>
          <w:b/>
          <w:bCs/>
          <w:i/>
          <w:iCs/>
          <w:sz w:val="72"/>
          <w:szCs w:val="72"/>
        </w:rPr>
        <w:t xml:space="preserve">Lokalna Strategia Rozwoju </w:t>
      </w:r>
    </w:p>
    <w:p w14:paraId="5676AF30" w14:textId="6CFCE0FC" w:rsidR="00DB2574" w:rsidRPr="00CE2EDC" w:rsidRDefault="00DB2574" w:rsidP="00C20037">
      <w:pPr>
        <w:jc w:val="center"/>
        <w:rPr>
          <w:rFonts w:ascii="Times New Roman" w:hAnsi="Times New Roman" w:cs="Times New Roman"/>
          <w:b/>
          <w:bCs/>
          <w:color w:val="000000" w:themeColor="text1"/>
          <w:sz w:val="72"/>
          <w:szCs w:val="72"/>
        </w:rPr>
      </w:pPr>
      <w:r w:rsidRPr="00CE2EDC">
        <w:rPr>
          <w:rFonts w:ascii="Times New Roman" w:hAnsi="Times New Roman" w:cs="Times New Roman"/>
          <w:b/>
          <w:bCs/>
          <w:i/>
          <w:iCs/>
          <w:sz w:val="72"/>
          <w:szCs w:val="72"/>
        </w:rPr>
        <w:t>2023</w:t>
      </w:r>
      <w:r w:rsidR="0092619F" w:rsidRPr="00CE2EDC">
        <w:rPr>
          <w:rFonts w:ascii="Times New Roman" w:hAnsi="Times New Roman" w:cs="Times New Roman"/>
          <w:b/>
          <w:bCs/>
          <w:i/>
          <w:iCs/>
          <w:sz w:val="72"/>
          <w:szCs w:val="72"/>
        </w:rPr>
        <w:t>–</w:t>
      </w:r>
      <w:r w:rsidRPr="00CE2EDC">
        <w:rPr>
          <w:rFonts w:ascii="Times New Roman" w:hAnsi="Times New Roman" w:cs="Times New Roman"/>
          <w:b/>
          <w:bCs/>
          <w:i/>
          <w:iCs/>
          <w:sz w:val="72"/>
          <w:szCs w:val="72"/>
        </w:rPr>
        <w:t>202</w:t>
      </w:r>
      <w:r w:rsidR="00CE2EDC" w:rsidRPr="00CE2EDC">
        <w:rPr>
          <w:rFonts w:ascii="Times New Roman" w:hAnsi="Times New Roman" w:cs="Times New Roman"/>
          <w:b/>
          <w:bCs/>
          <w:i/>
          <w:iCs/>
          <w:sz w:val="72"/>
          <w:szCs w:val="72"/>
        </w:rPr>
        <w:t>9</w:t>
      </w:r>
    </w:p>
    <w:p w14:paraId="7796F7C5" w14:textId="6FA8E4C5" w:rsidR="00A17173" w:rsidRPr="00D014DB" w:rsidRDefault="00A17173" w:rsidP="00A17173">
      <w:pPr>
        <w:jc w:val="center"/>
        <w:rPr>
          <w:rFonts w:ascii="Times New Roman" w:hAnsi="Times New Roman" w:cs="Times New Roman"/>
          <w:b/>
          <w:bCs/>
          <w:i/>
          <w:iCs/>
          <w:sz w:val="32"/>
          <w:szCs w:val="32"/>
        </w:rPr>
      </w:pPr>
    </w:p>
    <w:p w14:paraId="1B65651C" w14:textId="7F2F47D1" w:rsidR="00D014DB" w:rsidRDefault="00D014DB" w:rsidP="00A17173">
      <w:pPr>
        <w:jc w:val="center"/>
        <w:rPr>
          <w:rFonts w:ascii="Times New Roman" w:hAnsi="Times New Roman" w:cs="Times New Roman"/>
          <w:b/>
          <w:bCs/>
          <w:i/>
          <w:iCs/>
          <w:sz w:val="32"/>
          <w:szCs w:val="32"/>
        </w:rPr>
      </w:pPr>
    </w:p>
    <w:p w14:paraId="0FAAD55C" w14:textId="77777777" w:rsidR="008F0826" w:rsidRDefault="008F0826" w:rsidP="00A17173">
      <w:pPr>
        <w:jc w:val="center"/>
        <w:rPr>
          <w:rFonts w:ascii="Times New Roman" w:hAnsi="Times New Roman" w:cs="Times New Roman"/>
          <w:b/>
          <w:bCs/>
          <w:i/>
          <w:iCs/>
          <w:sz w:val="32"/>
          <w:szCs w:val="32"/>
        </w:rPr>
      </w:pPr>
    </w:p>
    <w:p w14:paraId="53F4F9A5" w14:textId="77777777" w:rsidR="00CE2EDC" w:rsidRDefault="00CE2EDC" w:rsidP="00A17173">
      <w:pPr>
        <w:jc w:val="center"/>
        <w:rPr>
          <w:rFonts w:ascii="Times New Roman" w:hAnsi="Times New Roman" w:cs="Times New Roman"/>
          <w:b/>
          <w:bCs/>
          <w:i/>
          <w:iCs/>
          <w:sz w:val="32"/>
          <w:szCs w:val="32"/>
        </w:rPr>
      </w:pPr>
    </w:p>
    <w:p w14:paraId="4E8709D4" w14:textId="77777777" w:rsidR="00CE2EDC" w:rsidRDefault="00CE2EDC" w:rsidP="00A17173">
      <w:pPr>
        <w:jc w:val="center"/>
        <w:rPr>
          <w:rFonts w:ascii="Times New Roman" w:hAnsi="Times New Roman" w:cs="Times New Roman"/>
          <w:b/>
          <w:bCs/>
          <w:i/>
          <w:iCs/>
          <w:sz w:val="32"/>
          <w:szCs w:val="32"/>
        </w:rPr>
      </w:pPr>
    </w:p>
    <w:p w14:paraId="13F98831" w14:textId="0A06690C" w:rsidR="00D014DB" w:rsidRDefault="009E333B" w:rsidP="00012335">
      <w:pPr>
        <w:jc w:val="center"/>
        <w:rPr>
          <w:rFonts w:ascii="Times New Roman" w:hAnsi="Times New Roman" w:cs="Times New Roman"/>
          <w:b/>
          <w:bCs/>
          <w:sz w:val="24"/>
          <w:szCs w:val="24"/>
        </w:rPr>
      </w:pPr>
      <w:r>
        <w:rPr>
          <w:rFonts w:ascii="Times New Roman" w:hAnsi="Times New Roman" w:cs="Times New Roman"/>
          <w:b/>
          <w:bCs/>
          <w:sz w:val="24"/>
          <w:szCs w:val="24"/>
        </w:rPr>
        <w:t>Biała Podlaska</w:t>
      </w:r>
      <w:r w:rsidR="00012335" w:rsidRPr="00012335">
        <w:rPr>
          <w:rFonts w:ascii="Times New Roman" w:hAnsi="Times New Roman" w:cs="Times New Roman"/>
          <w:b/>
          <w:bCs/>
          <w:sz w:val="24"/>
          <w:szCs w:val="24"/>
        </w:rPr>
        <w:t xml:space="preserve">, </w:t>
      </w:r>
      <w:r w:rsidR="0092619F">
        <w:rPr>
          <w:rFonts w:ascii="Times New Roman" w:hAnsi="Times New Roman" w:cs="Times New Roman"/>
          <w:b/>
          <w:bCs/>
          <w:sz w:val="24"/>
          <w:szCs w:val="24"/>
        </w:rPr>
        <w:t>m</w:t>
      </w:r>
      <w:r w:rsidR="00A17173" w:rsidRPr="00012335">
        <w:rPr>
          <w:rFonts w:ascii="Times New Roman" w:hAnsi="Times New Roman" w:cs="Times New Roman"/>
          <w:b/>
          <w:bCs/>
          <w:sz w:val="24"/>
          <w:szCs w:val="24"/>
        </w:rPr>
        <w:t>aj 2023</w:t>
      </w:r>
      <w:r w:rsidR="0092619F">
        <w:rPr>
          <w:rFonts w:ascii="Times New Roman" w:hAnsi="Times New Roman" w:cs="Times New Roman"/>
          <w:b/>
          <w:bCs/>
          <w:sz w:val="24"/>
          <w:szCs w:val="24"/>
        </w:rPr>
        <w:t xml:space="preserve"> r.</w:t>
      </w:r>
    </w:p>
    <w:p w14:paraId="7A27C668" w14:textId="77777777" w:rsidR="008F0826" w:rsidRDefault="008F0826" w:rsidP="00012335">
      <w:pPr>
        <w:jc w:val="center"/>
        <w:rPr>
          <w:rFonts w:ascii="Times New Roman" w:hAnsi="Times New Roman" w:cs="Times New Roman"/>
          <w:b/>
          <w:bCs/>
          <w:sz w:val="24"/>
          <w:szCs w:val="24"/>
        </w:rPr>
      </w:pPr>
    </w:p>
    <w:p w14:paraId="4F0308AF" w14:textId="548047D3" w:rsidR="008F0826" w:rsidRDefault="008F0826" w:rsidP="00012335">
      <w:pPr>
        <w:jc w:val="center"/>
        <w:rPr>
          <w:rFonts w:ascii="Times New Roman" w:hAnsi="Times New Roman" w:cs="Times New Roman"/>
          <w:b/>
          <w:bCs/>
          <w:sz w:val="24"/>
          <w:szCs w:val="24"/>
        </w:rPr>
      </w:pPr>
    </w:p>
    <w:p w14:paraId="0283ED88" w14:textId="378EA76F" w:rsidR="008F0826" w:rsidRDefault="008F0826" w:rsidP="00012335">
      <w:pPr>
        <w:jc w:val="center"/>
        <w:rPr>
          <w:rFonts w:ascii="Times New Roman" w:hAnsi="Times New Roman" w:cs="Times New Roman"/>
          <w:b/>
          <w:bCs/>
          <w:sz w:val="24"/>
          <w:szCs w:val="24"/>
        </w:rPr>
      </w:pPr>
    </w:p>
    <w:sdt>
      <w:sdtPr>
        <w:rPr>
          <w:rFonts w:asciiTheme="minorHAnsi" w:eastAsiaTheme="minorHAnsi" w:hAnsiTheme="minorHAnsi" w:cstheme="minorBidi"/>
          <w:color w:val="auto"/>
          <w:sz w:val="20"/>
          <w:szCs w:val="20"/>
          <w:lang w:eastAsia="en-US"/>
        </w:rPr>
        <w:id w:val="-1470128493"/>
        <w:docPartObj>
          <w:docPartGallery w:val="Table of Contents"/>
          <w:docPartUnique/>
        </w:docPartObj>
      </w:sdtPr>
      <w:sdtEndPr>
        <w:rPr>
          <w:b/>
          <w:bCs/>
          <w:sz w:val="22"/>
          <w:szCs w:val="22"/>
        </w:rPr>
      </w:sdtEndPr>
      <w:sdtContent>
        <w:p w14:paraId="6DD05B89" w14:textId="77777777" w:rsidR="00C20037" w:rsidRDefault="00A17173" w:rsidP="00A17173">
          <w:pPr>
            <w:pStyle w:val="Nagwekspisutreci"/>
            <w:rPr>
              <w:noProof/>
            </w:rPr>
          </w:pPr>
          <w:r w:rsidRPr="004F33A0">
            <w:rPr>
              <w:rFonts w:ascii="Times New Roman" w:hAnsi="Times New Roman" w:cs="Times New Roman"/>
              <w:b/>
              <w:bCs/>
              <w:color w:val="auto"/>
              <w:sz w:val="28"/>
              <w:szCs w:val="28"/>
            </w:rPr>
            <w:t>Spis treści</w:t>
          </w:r>
          <w:r w:rsidRPr="00DA3668">
            <w:rPr>
              <w:rStyle w:val="Hipercze"/>
              <w:noProof/>
            </w:rPr>
            <w:fldChar w:fldCharType="begin"/>
          </w:r>
          <w:r w:rsidRPr="00DA3668">
            <w:rPr>
              <w:rStyle w:val="Hipercze"/>
              <w:rFonts w:ascii="Times New Roman" w:hAnsi="Times New Roman" w:cs="Times New Roman"/>
              <w:noProof/>
              <w:sz w:val="22"/>
              <w:szCs w:val="22"/>
            </w:rPr>
            <w:instrText xml:space="preserve"> TOC \o "1-3" \h \z \u </w:instrText>
          </w:r>
          <w:r w:rsidRPr="00DA3668">
            <w:rPr>
              <w:rStyle w:val="Hipercze"/>
              <w:noProof/>
            </w:rPr>
            <w:fldChar w:fldCharType="separate"/>
          </w:r>
        </w:p>
        <w:p w14:paraId="6D5487E9" w14:textId="27E2606C" w:rsidR="00C20037" w:rsidRDefault="00000000">
          <w:pPr>
            <w:pStyle w:val="Spistreci1"/>
            <w:rPr>
              <w:rFonts w:asciiTheme="minorHAnsi" w:eastAsiaTheme="minorEastAsia" w:hAnsiTheme="minorHAnsi" w:cstheme="minorBidi"/>
              <w:kern w:val="2"/>
              <w:lang w:eastAsia="pl-PL"/>
              <w14:ligatures w14:val="standardContextual"/>
            </w:rPr>
          </w:pPr>
          <w:hyperlink w:anchor="_Toc135896884" w:history="1">
            <w:r w:rsidR="00C20037" w:rsidRPr="000D0B14">
              <w:rPr>
                <w:rStyle w:val="Hipercze"/>
              </w:rPr>
              <w:t>I.</w:t>
            </w:r>
            <w:r w:rsidR="00C20037">
              <w:rPr>
                <w:rFonts w:asciiTheme="minorHAnsi" w:eastAsiaTheme="minorEastAsia" w:hAnsiTheme="minorHAnsi" w:cstheme="minorBidi"/>
                <w:kern w:val="2"/>
                <w:lang w:eastAsia="pl-PL"/>
                <w14:ligatures w14:val="standardContextual"/>
              </w:rPr>
              <w:tab/>
            </w:r>
            <w:r w:rsidR="00C20037" w:rsidRPr="000D0B14">
              <w:rPr>
                <w:rStyle w:val="Hipercze"/>
              </w:rPr>
              <w:t>CHARAKTERYSTYKA PARTNERSTWA LOKALNEGO</w:t>
            </w:r>
            <w:r w:rsidR="00C20037">
              <w:rPr>
                <w:webHidden/>
              </w:rPr>
              <w:tab/>
            </w:r>
            <w:r w:rsidR="00C20037">
              <w:rPr>
                <w:webHidden/>
              </w:rPr>
              <w:fldChar w:fldCharType="begin"/>
            </w:r>
            <w:r w:rsidR="00C20037">
              <w:rPr>
                <w:webHidden/>
              </w:rPr>
              <w:instrText xml:space="preserve"> PAGEREF _Toc135896884 \h </w:instrText>
            </w:r>
            <w:r w:rsidR="00C20037">
              <w:rPr>
                <w:webHidden/>
              </w:rPr>
            </w:r>
            <w:r w:rsidR="00C20037">
              <w:rPr>
                <w:webHidden/>
              </w:rPr>
              <w:fldChar w:fldCharType="separate"/>
            </w:r>
            <w:r w:rsidR="00C20037">
              <w:rPr>
                <w:webHidden/>
              </w:rPr>
              <w:t>3</w:t>
            </w:r>
            <w:r w:rsidR="00C20037">
              <w:rPr>
                <w:webHidden/>
              </w:rPr>
              <w:fldChar w:fldCharType="end"/>
            </w:r>
          </w:hyperlink>
        </w:p>
        <w:p w14:paraId="5EEEDA46" w14:textId="4ADDD751" w:rsidR="00C20037" w:rsidRDefault="00000000">
          <w:pPr>
            <w:pStyle w:val="Spistreci2"/>
            <w:rPr>
              <w:rFonts w:asciiTheme="minorHAnsi" w:eastAsiaTheme="minorEastAsia" w:hAnsiTheme="minorHAnsi" w:cstheme="minorBidi"/>
              <w:kern w:val="2"/>
              <w:lang w:eastAsia="pl-PL"/>
              <w14:ligatures w14:val="standardContextual"/>
            </w:rPr>
          </w:pPr>
          <w:hyperlink w:anchor="_Toc135896885" w:history="1">
            <w:r w:rsidR="00C20037" w:rsidRPr="000D0B14">
              <w:rPr>
                <w:rStyle w:val="Hipercze"/>
              </w:rPr>
              <w:t>1.</w:t>
            </w:r>
            <w:r w:rsidR="00C20037">
              <w:rPr>
                <w:rFonts w:asciiTheme="minorHAnsi" w:eastAsiaTheme="minorEastAsia" w:hAnsiTheme="minorHAnsi" w:cstheme="minorBidi"/>
                <w:kern w:val="2"/>
                <w:lang w:eastAsia="pl-PL"/>
                <w14:ligatures w14:val="standardContextual"/>
              </w:rPr>
              <w:tab/>
            </w:r>
            <w:r w:rsidR="00C20037" w:rsidRPr="000D0B14">
              <w:rPr>
                <w:rStyle w:val="Hipercze"/>
              </w:rPr>
              <w:t>Forma prawna i nazwa stowarzyszenia</w:t>
            </w:r>
            <w:r w:rsidR="00C20037">
              <w:rPr>
                <w:webHidden/>
              </w:rPr>
              <w:tab/>
            </w:r>
            <w:r w:rsidR="00C20037">
              <w:rPr>
                <w:webHidden/>
              </w:rPr>
              <w:fldChar w:fldCharType="begin"/>
            </w:r>
            <w:r w:rsidR="00C20037">
              <w:rPr>
                <w:webHidden/>
              </w:rPr>
              <w:instrText xml:space="preserve"> PAGEREF _Toc135896885 \h </w:instrText>
            </w:r>
            <w:r w:rsidR="00C20037">
              <w:rPr>
                <w:webHidden/>
              </w:rPr>
            </w:r>
            <w:r w:rsidR="00C20037">
              <w:rPr>
                <w:webHidden/>
              </w:rPr>
              <w:fldChar w:fldCharType="separate"/>
            </w:r>
            <w:r w:rsidR="00C20037">
              <w:rPr>
                <w:webHidden/>
              </w:rPr>
              <w:t>3</w:t>
            </w:r>
            <w:r w:rsidR="00C20037">
              <w:rPr>
                <w:webHidden/>
              </w:rPr>
              <w:fldChar w:fldCharType="end"/>
            </w:r>
          </w:hyperlink>
        </w:p>
        <w:p w14:paraId="0C38872D" w14:textId="523392E1" w:rsidR="00C20037" w:rsidRDefault="00000000">
          <w:pPr>
            <w:pStyle w:val="Spistreci2"/>
            <w:rPr>
              <w:rFonts w:asciiTheme="minorHAnsi" w:eastAsiaTheme="minorEastAsia" w:hAnsiTheme="minorHAnsi" w:cstheme="minorBidi"/>
              <w:kern w:val="2"/>
              <w:lang w:eastAsia="pl-PL"/>
              <w14:ligatures w14:val="standardContextual"/>
            </w:rPr>
          </w:pPr>
          <w:hyperlink w:anchor="_Toc135896886" w:history="1">
            <w:r w:rsidR="00C20037" w:rsidRPr="000D0B14">
              <w:rPr>
                <w:rStyle w:val="Hipercze"/>
              </w:rPr>
              <w:t>2.</w:t>
            </w:r>
            <w:r w:rsidR="00C20037">
              <w:rPr>
                <w:rFonts w:asciiTheme="minorHAnsi" w:eastAsiaTheme="minorEastAsia" w:hAnsiTheme="minorHAnsi" w:cstheme="minorBidi"/>
                <w:kern w:val="2"/>
                <w:lang w:eastAsia="pl-PL"/>
                <w14:ligatures w14:val="standardContextual"/>
              </w:rPr>
              <w:tab/>
            </w:r>
            <w:r w:rsidR="00C20037" w:rsidRPr="000D0B14">
              <w:rPr>
                <w:rStyle w:val="Hipercze"/>
              </w:rPr>
              <w:t>Opis procesu tworzenia partnerstwa i doświadczenie</w:t>
            </w:r>
            <w:r w:rsidR="00C20037">
              <w:rPr>
                <w:webHidden/>
              </w:rPr>
              <w:tab/>
            </w:r>
            <w:r w:rsidR="00C20037">
              <w:rPr>
                <w:webHidden/>
              </w:rPr>
              <w:fldChar w:fldCharType="begin"/>
            </w:r>
            <w:r w:rsidR="00C20037">
              <w:rPr>
                <w:webHidden/>
              </w:rPr>
              <w:instrText xml:space="preserve"> PAGEREF _Toc135896886 \h </w:instrText>
            </w:r>
            <w:r w:rsidR="00C20037">
              <w:rPr>
                <w:webHidden/>
              </w:rPr>
            </w:r>
            <w:r w:rsidR="00C20037">
              <w:rPr>
                <w:webHidden/>
              </w:rPr>
              <w:fldChar w:fldCharType="separate"/>
            </w:r>
            <w:r w:rsidR="00C20037">
              <w:rPr>
                <w:webHidden/>
              </w:rPr>
              <w:t>3</w:t>
            </w:r>
            <w:r w:rsidR="00C20037">
              <w:rPr>
                <w:webHidden/>
              </w:rPr>
              <w:fldChar w:fldCharType="end"/>
            </w:r>
          </w:hyperlink>
        </w:p>
        <w:p w14:paraId="6FA6715B" w14:textId="6E91EA14" w:rsidR="00C20037" w:rsidRDefault="00000000">
          <w:pPr>
            <w:pStyle w:val="Spistreci2"/>
            <w:rPr>
              <w:rFonts w:asciiTheme="minorHAnsi" w:eastAsiaTheme="minorEastAsia" w:hAnsiTheme="minorHAnsi" w:cstheme="minorBidi"/>
              <w:kern w:val="2"/>
              <w:lang w:eastAsia="pl-PL"/>
              <w14:ligatures w14:val="standardContextual"/>
            </w:rPr>
          </w:pPr>
          <w:hyperlink w:anchor="_Toc135896887" w:history="1">
            <w:r w:rsidR="00C20037" w:rsidRPr="000D0B14">
              <w:rPr>
                <w:rStyle w:val="Hipercze"/>
              </w:rPr>
              <w:t>3.</w:t>
            </w:r>
            <w:r w:rsidR="00C20037">
              <w:rPr>
                <w:rFonts w:asciiTheme="minorHAnsi" w:eastAsiaTheme="minorEastAsia" w:hAnsiTheme="minorHAnsi" w:cstheme="minorBidi"/>
                <w:kern w:val="2"/>
                <w:lang w:eastAsia="pl-PL"/>
                <w14:ligatures w14:val="standardContextual"/>
              </w:rPr>
              <w:tab/>
            </w:r>
            <w:r w:rsidR="00C20037" w:rsidRPr="000D0B14">
              <w:rPr>
                <w:rStyle w:val="Hipercze"/>
              </w:rPr>
              <w:t>Opis struktury LGD</w:t>
            </w:r>
            <w:r w:rsidR="00C20037">
              <w:rPr>
                <w:webHidden/>
              </w:rPr>
              <w:tab/>
            </w:r>
            <w:r w:rsidR="00C20037">
              <w:rPr>
                <w:webHidden/>
              </w:rPr>
              <w:fldChar w:fldCharType="begin"/>
            </w:r>
            <w:r w:rsidR="00C20037">
              <w:rPr>
                <w:webHidden/>
              </w:rPr>
              <w:instrText xml:space="preserve"> PAGEREF _Toc135896887 \h </w:instrText>
            </w:r>
            <w:r w:rsidR="00C20037">
              <w:rPr>
                <w:webHidden/>
              </w:rPr>
            </w:r>
            <w:r w:rsidR="00C20037">
              <w:rPr>
                <w:webHidden/>
              </w:rPr>
              <w:fldChar w:fldCharType="separate"/>
            </w:r>
            <w:r w:rsidR="00C20037">
              <w:rPr>
                <w:webHidden/>
              </w:rPr>
              <w:t>4</w:t>
            </w:r>
            <w:r w:rsidR="00C20037">
              <w:rPr>
                <w:webHidden/>
              </w:rPr>
              <w:fldChar w:fldCharType="end"/>
            </w:r>
          </w:hyperlink>
        </w:p>
        <w:p w14:paraId="5F57B01C" w14:textId="2A0D6AE2" w:rsidR="00C20037" w:rsidRDefault="00000000">
          <w:pPr>
            <w:pStyle w:val="Spistreci2"/>
            <w:rPr>
              <w:rFonts w:asciiTheme="minorHAnsi" w:eastAsiaTheme="minorEastAsia" w:hAnsiTheme="minorHAnsi" w:cstheme="minorBidi"/>
              <w:kern w:val="2"/>
              <w:lang w:eastAsia="pl-PL"/>
              <w14:ligatures w14:val="standardContextual"/>
            </w:rPr>
          </w:pPr>
          <w:hyperlink w:anchor="_Toc135896888" w:history="1">
            <w:r w:rsidR="00C20037" w:rsidRPr="000D0B14">
              <w:rPr>
                <w:rStyle w:val="Hipercze"/>
              </w:rPr>
              <w:t>4.</w:t>
            </w:r>
            <w:r w:rsidR="00C20037">
              <w:rPr>
                <w:rFonts w:asciiTheme="minorHAnsi" w:eastAsiaTheme="minorEastAsia" w:hAnsiTheme="minorHAnsi" w:cstheme="minorBidi"/>
                <w:kern w:val="2"/>
                <w:lang w:eastAsia="pl-PL"/>
                <w14:ligatures w14:val="standardContextual"/>
              </w:rPr>
              <w:tab/>
            </w:r>
            <w:r w:rsidR="00C20037" w:rsidRPr="000D0B14">
              <w:rPr>
                <w:rStyle w:val="Hipercze"/>
              </w:rPr>
              <w:t>Opis składu organu decyzyjnego</w:t>
            </w:r>
            <w:r w:rsidR="00C20037">
              <w:rPr>
                <w:webHidden/>
              </w:rPr>
              <w:tab/>
            </w:r>
            <w:r w:rsidR="00C20037">
              <w:rPr>
                <w:webHidden/>
              </w:rPr>
              <w:fldChar w:fldCharType="begin"/>
            </w:r>
            <w:r w:rsidR="00C20037">
              <w:rPr>
                <w:webHidden/>
              </w:rPr>
              <w:instrText xml:space="preserve"> PAGEREF _Toc135896888 \h </w:instrText>
            </w:r>
            <w:r w:rsidR="00C20037">
              <w:rPr>
                <w:webHidden/>
              </w:rPr>
            </w:r>
            <w:r w:rsidR="00C20037">
              <w:rPr>
                <w:webHidden/>
              </w:rPr>
              <w:fldChar w:fldCharType="separate"/>
            </w:r>
            <w:r w:rsidR="00C20037">
              <w:rPr>
                <w:webHidden/>
              </w:rPr>
              <w:t>6</w:t>
            </w:r>
            <w:r w:rsidR="00C20037">
              <w:rPr>
                <w:webHidden/>
              </w:rPr>
              <w:fldChar w:fldCharType="end"/>
            </w:r>
          </w:hyperlink>
        </w:p>
        <w:p w14:paraId="420C0C58" w14:textId="508836FE" w:rsidR="00C20037" w:rsidRDefault="00000000">
          <w:pPr>
            <w:pStyle w:val="Spistreci2"/>
            <w:rPr>
              <w:rFonts w:asciiTheme="minorHAnsi" w:eastAsiaTheme="minorEastAsia" w:hAnsiTheme="minorHAnsi" w:cstheme="minorBidi"/>
              <w:kern w:val="2"/>
              <w:lang w:eastAsia="pl-PL"/>
              <w14:ligatures w14:val="standardContextual"/>
            </w:rPr>
          </w:pPr>
          <w:hyperlink w:anchor="_Toc135896889" w:history="1">
            <w:r w:rsidR="00C20037" w:rsidRPr="000D0B14">
              <w:rPr>
                <w:rStyle w:val="Hipercze"/>
              </w:rPr>
              <w:t>5.</w:t>
            </w:r>
            <w:r w:rsidR="00C20037">
              <w:rPr>
                <w:rFonts w:asciiTheme="minorHAnsi" w:eastAsiaTheme="minorEastAsia" w:hAnsiTheme="minorHAnsi" w:cstheme="minorBidi"/>
                <w:kern w:val="2"/>
                <w:lang w:eastAsia="pl-PL"/>
                <w14:ligatures w14:val="standardContextual"/>
              </w:rPr>
              <w:tab/>
            </w:r>
            <w:r w:rsidR="00C20037" w:rsidRPr="000D0B14">
              <w:rPr>
                <w:rStyle w:val="Hipercze"/>
              </w:rPr>
              <w:t>Charakterystyka rozwiązań stosowanych w procesie decyzyjnym</w:t>
            </w:r>
            <w:r w:rsidR="00C20037">
              <w:rPr>
                <w:webHidden/>
              </w:rPr>
              <w:tab/>
            </w:r>
            <w:r w:rsidR="00C20037">
              <w:rPr>
                <w:webHidden/>
              </w:rPr>
              <w:fldChar w:fldCharType="begin"/>
            </w:r>
            <w:r w:rsidR="00C20037">
              <w:rPr>
                <w:webHidden/>
              </w:rPr>
              <w:instrText xml:space="preserve"> PAGEREF _Toc135896889 \h </w:instrText>
            </w:r>
            <w:r w:rsidR="00C20037">
              <w:rPr>
                <w:webHidden/>
              </w:rPr>
            </w:r>
            <w:r w:rsidR="00C20037">
              <w:rPr>
                <w:webHidden/>
              </w:rPr>
              <w:fldChar w:fldCharType="separate"/>
            </w:r>
            <w:r w:rsidR="00C20037">
              <w:rPr>
                <w:webHidden/>
              </w:rPr>
              <w:t>6</w:t>
            </w:r>
            <w:r w:rsidR="00C20037">
              <w:rPr>
                <w:webHidden/>
              </w:rPr>
              <w:fldChar w:fldCharType="end"/>
            </w:r>
          </w:hyperlink>
        </w:p>
        <w:p w14:paraId="63427491" w14:textId="0EAA4A23" w:rsidR="00C20037" w:rsidRDefault="00000000">
          <w:pPr>
            <w:pStyle w:val="Spistreci2"/>
            <w:rPr>
              <w:rFonts w:asciiTheme="minorHAnsi" w:eastAsiaTheme="minorEastAsia" w:hAnsiTheme="minorHAnsi" w:cstheme="minorBidi"/>
              <w:kern w:val="2"/>
              <w:lang w:eastAsia="pl-PL"/>
              <w14:ligatures w14:val="standardContextual"/>
            </w:rPr>
          </w:pPr>
          <w:hyperlink w:anchor="_Toc135896890" w:history="1">
            <w:r w:rsidR="00C20037" w:rsidRPr="000D0B14">
              <w:rPr>
                <w:rStyle w:val="Hipercze"/>
              </w:rPr>
              <w:t>6.</w:t>
            </w:r>
            <w:r w:rsidR="00C20037">
              <w:rPr>
                <w:rFonts w:asciiTheme="minorHAnsi" w:eastAsiaTheme="minorEastAsia" w:hAnsiTheme="minorHAnsi" w:cstheme="minorBidi"/>
                <w:kern w:val="2"/>
                <w:lang w:eastAsia="pl-PL"/>
                <w14:ligatures w14:val="standardContextual"/>
              </w:rPr>
              <w:tab/>
            </w:r>
            <w:r w:rsidR="00C20037" w:rsidRPr="000D0B14">
              <w:rPr>
                <w:rStyle w:val="Hipercze"/>
              </w:rPr>
              <w:t>Dokumenty regulujące funkcjonowanie LGD</w:t>
            </w:r>
            <w:r w:rsidR="00C20037">
              <w:rPr>
                <w:webHidden/>
              </w:rPr>
              <w:tab/>
            </w:r>
            <w:r w:rsidR="00C20037">
              <w:rPr>
                <w:webHidden/>
              </w:rPr>
              <w:fldChar w:fldCharType="begin"/>
            </w:r>
            <w:r w:rsidR="00C20037">
              <w:rPr>
                <w:webHidden/>
              </w:rPr>
              <w:instrText xml:space="preserve"> PAGEREF _Toc135896890 \h </w:instrText>
            </w:r>
            <w:r w:rsidR="00C20037">
              <w:rPr>
                <w:webHidden/>
              </w:rPr>
            </w:r>
            <w:r w:rsidR="00C20037">
              <w:rPr>
                <w:webHidden/>
              </w:rPr>
              <w:fldChar w:fldCharType="separate"/>
            </w:r>
            <w:r w:rsidR="00C20037">
              <w:rPr>
                <w:webHidden/>
              </w:rPr>
              <w:t>6</w:t>
            </w:r>
            <w:r w:rsidR="00C20037">
              <w:rPr>
                <w:webHidden/>
              </w:rPr>
              <w:fldChar w:fldCharType="end"/>
            </w:r>
          </w:hyperlink>
        </w:p>
        <w:p w14:paraId="077ECE66" w14:textId="37A0BABA" w:rsidR="00C20037" w:rsidRDefault="00000000">
          <w:pPr>
            <w:pStyle w:val="Spistreci1"/>
            <w:rPr>
              <w:rFonts w:asciiTheme="minorHAnsi" w:eastAsiaTheme="minorEastAsia" w:hAnsiTheme="minorHAnsi" w:cstheme="minorBidi"/>
              <w:kern w:val="2"/>
              <w:lang w:eastAsia="pl-PL"/>
              <w14:ligatures w14:val="standardContextual"/>
            </w:rPr>
          </w:pPr>
          <w:hyperlink w:anchor="_Toc135896891" w:history="1">
            <w:r w:rsidR="00C20037" w:rsidRPr="000D0B14">
              <w:rPr>
                <w:rStyle w:val="Hipercze"/>
              </w:rPr>
              <w:t>II.</w:t>
            </w:r>
            <w:r w:rsidR="00C20037">
              <w:rPr>
                <w:rFonts w:asciiTheme="minorHAnsi" w:eastAsiaTheme="minorEastAsia" w:hAnsiTheme="minorHAnsi" w:cstheme="minorBidi"/>
                <w:kern w:val="2"/>
                <w:lang w:eastAsia="pl-PL"/>
                <w14:ligatures w14:val="standardContextual"/>
              </w:rPr>
              <w:tab/>
            </w:r>
            <w:r w:rsidR="00C20037" w:rsidRPr="000D0B14">
              <w:rPr>
                <w:rStyle w:val="Hipercze"/>
              </w:rPr>
              <w:t>CHARAKTERYSTYKA OBSZARU I LUDNOŚCI OBJĘTEJ WDRAŻANIEM LSR</w:t>
            </w:r>
            <w:r w:rsidR="00C20037">
              <w:rPr>
                <w:webHidden/>
              </w:rPr>
              <w:tab/>
            </w:r>
            <w:r w:rsidR="00C20037">
              <w:rPr>
                <w:webHidden/>
              </w:rPr>
              <w:fldChar w:fldCharType="begin"/>
            </w:r>
            <w:r w:rsidR="00C20037">
              <w:rPr>
                <w:webHidden/>
              </w:rPr>
              <w:instrText xml:space="preserve"> PAGEREF _Toc135896891 \h </w:instrText>
            </w:r>
            <w:r w:rsidR="00C20037">
              <w:rPr>
                <w:webHidden/>
              </w:rPr>
            </w:r>
            <w:r w:rsidR="00C20037">
              <w:rPr>
                <w:webHidden/>
              </w:rPr>
              <w:fldChar w:fldCharType="separate"/>
            </w:r>
            <w:r w:rsidR="00C20037">
              <w:rPr>
                <w:webHidden/>
              </w:rPr>
              <w:t>8</w:t>
            </w:r>
            <w:r w:rsidR="00C20037">
              <w:rPr>
                <w:webHidden/>
              </w:rPr>
              <w:fldChar w:fldCharType="end"/>
            </w:r>
          </w:hyperlink>
        </w:p>
        <w:p w14:paraId="26C0CBDD" w14:textId="490B6222" w:rsidR="00C20037" w:rsidRPr="00CD3B9D" w:rsidRDefault="00000000">
          <w:pPr>
            <w:pStyle w:val="Spistreci2"/>
            <w:rPr>
              <w:rFonts w:asciiTheme="minorHAnsi" w:eastAsiaTheme="minorEastAsia" w:hAnsiTheme="minorHAnsi" w:cstheme="minorBidi"/>
              <w:kern w:val="2"/>
              <w:lang w:eastAsia="pl-PL"/>
              <w14:ligatures w14:val="standardContextual"/>
            </w:rPr>
          </w:pPr>
          <w:hyperlink w:anchor="_Toc135896892" w:history="1">
            <w:r w:rsidR="00C20037" w:rsidRPr="00CD3B9D">
              <w:rPr>
                <w:rStyle w:val="Hipercze"/>
              </w:rPr>
              <w:t>1.</w:t>
            </w:r>
            <w:r w:rsidR="00C20037" w:rsidRPr="00CD3B9D">
              <w:rPr>
                <w:rFonts w:asciiTheme="minorHAnsi" w:eastAsiaTheme="minorEastAsia" w:hAnsiTheme="minorHAnsi" w:cstheme="minorBidi"/>
                <w:kern w:val="2"/>
                <w:lang w:eastAsia="pl-PL"/>
                <w14:ligatures w14:val="standardContextual"/>
              </w:rPr>
              <w:tab/>
            </w:r>
            <w:r w:rsidR="00C20037" w:rsidRPr="00CD3B9D">
              <w:rPr>
                <w:rStyle w:val="Hipercze"/>
              </w:rPr>
              <w:t>Opis obszaru</w:t>
            </w:r>
            <w:r w:rsidR="00C20037" w:rsidRPr="00CD3B9D">
              <w:rPr>
                <w:webHidden/>
              </w:rPr>
              <w:tab/>
            </w:r>
            <w:r w:rsidR="00C20037" w:rsidRPr="00CD3B9D">
              <w:rPr>
                <w:webHidden/>
              </w:rPr>
              <w:fldChar w:fldCharType="begin"/>
            </w:r>
            <w:r w:rsidR="00C20037" w:rsidRPr="00CD3B9D">
              <w:rPr>
                <w:webHidden/>
              </w:rPr>
              <w:instrText xml:space="preserve"> PAGEREF _Toc135896892 \h </w:instrText>
            </w:r>
            <w:r w:rsidR="00C20037" w:rsidRPr="00CD3B9D">
              <w:rPr>
                <w:webHidden/>
              </w:rPr>
            </w:r>
            <w:r w:rsidR="00C20037" w:rsidRPr="00CD3B9D">
              <w:rPr>
                <w:webHidden/>
              </w:rPr>
              <w:fldChar w:fldCharType="separate"/>
            </w:r>
            <w:r w:rsidR="00C20037" w:rsidRPr="00CD3B9D">
              <w:rPr>
                <w:webHidden/>
              </w:rPr>
              <w:t>8</w:t>
            </w:r>
            <w:r w:rsidR="00C20037" w:rsidRPr="00CD3B9D">
              <w:rPr>
                <w:webHidden/>
              </w:rPr>
              <w:fldChar w:fldCharType="end"/>
            </w:r>
          </w:hyperlink>
        </w:p>
        <w:p w14:paraId="4D59A896" w14:textId="0DBB8D74" w:rsidR="00C20037" w:rsidRPr="00CD3B9D" w:rsidRDefault="00000000">
          <w:pPr>
            <w:pStyle w:val="Spistreci2"/>
            <w:rPr>
              <w:rFonts w:asciiTheme="minorHAnsi" w:eastAsiaTheme="minorEastAsia" w:hAnsiTheme="minorHAnsi" w:cstheme="minorBidi"/>
              <w:kern w:val="2"/>
              <w:lang w:eastAsia="pl-PL"/>
              <w14:ligatures w14:val="standardContextual"/>
            </w:rPr>
          </w:pPr>
          <w:hyperlink w:anchor="_Toc135896893" w:history="1">
            <w:r w:rsidR="00C20037" w:rsidRPr="00CD3B9D">
              <w:rPr>
                <w:rStyle w:val="Hipercze"/>
              </w:rPr>
              <w:t>2.</w:t>
            </w:r>
            <w:r w:rsidR="00C20037" w:rsidRPr="00CD3B9D">
              <w:rPr>
                <w:rFonts w:asciiTheme="minorHAnsi" w:eastAsiaTheme="minorEastAsia" w:hAnsiTheme="minorHAnsi" w:cstheme="minorBidi"/>
                <w:kern w:val="2"/>
                <w:lang w:eastAsia="pl-PL"/>
                <w14:ligatures w14:val="standardContextual"/>
              </w:rPr>
              <w:tab/>
            </w:r>
            <w:r w:rsidR="00C20037" w:rsidRPr="00CD3B9D">
              <w:rPr>
                <w:rStyle w:val="Hipercze"/>
              </w:rPr>
              <w:t>Wyróżniki, potencjał i spójność obszaru</w:t>
            </w:r>
            <w:r w:rsidR="00C20037" w:rsidRPr="00CD3B9D">
              <w:rPr>
                <w:webHidden/>
              </w:rPr>
              <w:tab/>
            </w:r>
            <w:r w:rsidR="00C20037" w:rsidRPr="00CD3B9D">
              <w:rPr>
                <w:webHidden/>
              </w:rPr>
              <w:fldChar w:fldCharType="begin"/>
            </w:r>
            <w:r w:rsidR="00C20037" w:rsidRPr="00CD3B9D">
              <w:rPr>
                <w:webHidden/>
              </w:rPr>
              <w:instrText xml:space="preserve"> PAGEREF _Toc135896893 \h </w:instrText>
            </w:r>
            <w:r w:rsidR="00C20037" w:rsidRPr="00CD3B9D">
              <w:rPr>
                <w:webHidden/>
              </w:rPr>
            </w:r>
            <w:r w:rsidR="00C20037" w:rsidRPr="00CD3B9D">
              <w:rPr>
                <w:webHidden/>
              </w:rPr>
              <w:fldChar w:fldCharType="separate"/>
            </w:r>
            <w:r w:rsidR="00C20037" w:rsidRPr="00CD3B9D">
              <w:rPr>
                <w:webHidden/>
              </w:rPr>
              <w:t>9</w:t>
            </w:r>
            <w:r w:rsidR="00C20037" w:rsidRPr="00CD3B9D">
              <w:rPr>
                <w:webHidden/>
              </w:rPr>
              <w:fldChar w:fldCharType="end"/>
            </w:r>
          </w:hyperlink>
        </w:p>
        <w:p w14:paraId="03A57164" w14:textId="756A6F64" w:rsidR="00C20037" w:rsidRPr="00CD3B9D" w:rsidRDefault="00000000">
          <w:pPr>
            <w:pStyle w:val="Spistreci1"/>
            <w:rPr>
              <w:rFonts w:asciiTheme="minorHAnsi" w:eastAsiaTheme="minorEastAsia" w:hAnsiTheme="minorHAnsi" w:cstheme="minorBidi"/>
              <w:kern w:val="2"/>
              <w:lang w:eastAsia="pl-PL"/>
              <w14:ligatures w14:val="standardContextual"/>
            </w:rPr>
          </w:pPr>
          <w:hyperlink w:anchor="_Toc135896894" w:history="1">
            <w:r w:rsidR="00C20037" w:rsidRPr="00CD3B9D">
              <w:rPr>
                <w:rStyle w:val="Hipercze"/>
              </w:rPr>
              <w:t>III.</w:t>
            </w:r>
            <w:r w:rsidR="00C20037" w:rsidRPr="00CD3B9D">
              <w:rPr>
                <w:rFonts w:asciiTheme="minorHAnsi" w:eastAsiaTheme="minorEastAsia" w:hAnsiTheme="minorHAnsi" w:cstheme="minorBidi"/>
                <w:kern w:val="2"/>
                <w:lang w:eastAsia="pl-PL"/>
                <w14:ligatures w14:val="standardContextual"/>
              </w:rPr>
              <w:tab/>
            </w:r>
            <w:r w:rsidR="00C20037" w:rsidRPr="00CD3B9D">
              <w:rPr>
                <w:rStyle w:val="Hipercze"/>
              </w:rPr>
              <w:t>PARTYCYPACYJNY CHARAKTER LSR</w:t>
            </w:r>
            <w:r w:rsidR="00C20037" w:rsidRPr="00CD3B9D">
              <w:rPr>
                <w:webHidden/>
              </w:rPr>
              <w:tab/>
            </w:r>
            <w:r w:rsidR="00C20037" w:rsidRPr="00CD3B9D">
              <w:rPr>
                <w:webHidden/>
              </w:rPr>
              <w:fldChar w:fldCharType="begin"/>
            </w:r>
            <w:r w:rsidR="00C20037" w:rsidRPr="00CD3B9D">
              <w:rPr>
                <w:webHidden/>
              </w:rPr>
              <w:instrText xml:space="preserve"> PAGEREF _Toc135896894 \h </w:instrText>
            </w:r>
            <w:r w:rsidR="00C20037" w:rsidRPr="00CD3B9D">
              <w:rPr>
                <w:webHidden/>
              </w:rPr>
            </w:r>
            <w:r w:rsidR="00C20037" w:rsidRPr="00CD3B9D">
              <w:rPr>
                <w:webHidden/>
              </w:rPr>
              <w:fldChar w:fldCharType="separate"/>
            </w:r>
            <w:r w:rsidR="00C20037" w:rsidRPr="00CD3B9D">
              <w:rPr>
                <w:webHidden/>
              </w:rPr>
              <w:t>11</w:t>
            </w:r>
            <w:r w:rsidR="00C20037" w:rsidRPr="00CD3B9D">
              <w:rPr>
                <w:webHidden/>
              </w:rPr>
              <w:fldChar w:fldCharType="end"/>
            </w:r>
          </w:hyperlink>
        </w:p>
        <w:p w14:paraId="7CFBB635" w14:textId="15BEBC90" w:rsidR="00C20037" w:rsidRPr="00C20037" w:rsidRDefault="00000000">
          <w:pPr>
            <w:pStyle w:val="Spistreci2"/>
            <w:rPr>
              <w:rFonts w:asciiTheme="minorHAnsi" w:eastAsiaTheme="minorEastAsia" w:hAnsiTheme="minorHAnsi" w:cstheme="minorBidi"/>
              <w:kern w:val="2"/>
              <w:lang w:eastAsia="pl-PL"/>
              <w14:ligatures w14:val="standardContextual"/>
            </w:rPr>
          </w:pPr>
          <w:hyperlink w:anchor="_Toc135896895" w:history="1">
            <w:r w:rsidR="00C20037" w:rsidRPr="00CD3B9D">
              <w:rPr>
                <w:rStyle w:val="Hipercze"/>
              </w:rPr>
              <w:t>1.</w:t>
            </w:r>
            <w:r w:rsidR="00C20037" w:rsidRPr="00CD3B9D">
              <w:rPr>
                <w:rFonts w:asciiTheme="minorHAnsi" w:eastAsiaTheme="minorEastAsia" w:hAnsiTheme="minorHAnsi" w:cstheme="minorBidi"/>
                <w:kern w:val="2"/>
                <w:lang w:eastAsia="pl-PL"/>
                <w14:ligatures w14:val="standardContextual"/>
              </w:rPr>
              <w:tab/>
            </w:r>
            <w:r w:rsidR="00C20037" w:rsidRPr="00CD3B9D">
              <w:rPr>
                <w:rStyle w:val="Hipercze"/>
              </w:rPr>
              <w:t>Etap opracowania LSR</w:t>
            </w:r>
            <w:r w:rsidR="00C20037" w:rsidRPr="00CD3B9D">
              <w:rPr>
                <w:webHidden/>
              </w:rPr>
              <w:tab/>
            </w:r>
            <w:r w:rsidR="00C20037" w:rsidRPr="00CD3B9D">
              <w:rPr>
                <w:webHidden/>
              </w:rPr>
              <w:fldChar w:fldCharType="begin"/>
            </w:r>
            <w:r w:rsidR="00C20037" w:rsidRPr="00CD3B9D">
              <w:rPr>
                <w:webHidden/>
              </w:rPr>
              <w:instrText xml:space="preserve"> PAGEREF _Toc135896895 \h </w:instrText>
            </w:r>
            <w:r w:rsidR="00C20037" w:rsidRPr="00CD3B9D">
              <w:rPr>
                <w:webHidden/>
              </w:rPr>
            </w:r>
            <w:r w:rsidR="00C20037" w:rsidRPr="00CD3B9D">
              <w:rPr>
                <w:webHidden/>
              </w:rPr>
              <w:fldChar w:fldCharType="separate"/>
            </w:r>
            <w:r w:rsidR="00C20037" w:rsidRPr="00CD3B9D">
              <w:rPr>
                <w:webHidden/>
              </w:rPr>
              <w:t>11</w:t>
            </w:r>
            <w:r w:rsidR="00C20037" w:rsidRPr="00CD3B9D">
              <w:rPr>
                <w:webHidden/>
              </w:rPr>
              <w:fldChar w:fldCharType="end"/>
            </w:r>
          </w:hyperlink>
        </w:p>
        <w:p w14:paraId="5F8A07E3" w14:textId="59B76253" w:rsidR="00C20037" w:rsidRPr="00C20037" w:rsidRDefault="00000000">
          <w:pPr>
            <w:pStyle w:val="Spistreci2"/>
            <w:rPr>
              <w:rFonts w:asciiTheme="minorHAnsi" w:eastAsiaTheme="minorEastAsia" w:hAnsiTheme="minorHAnsi" w:cstheme="minorBidi"/>
              <w:kern w:val="2"/>
              <w:lang w:eastAsia="pl-PL"/>
              <w14:ligatures w14:val="standardContextual"/>
            </w:rPr>
          </w:pPr>
          <w:hyperlink w:anchor="_Toc135896896" w:history="1">
            <w:r w:rsidR="00C20037" w:rsidRPr="00C20037">
              <w:rPr>
                <w:rStyle w:val="Hipercze"/>
              </w:rPr>
              <w:t>2.</w:t>
            </w:r>
            <w:r w:rsidR="00C20037" w:rsidRPr="00C20037">
              <w:rPr>
                <w:rFonts w:asciiTheme="minorHAnsi" w:eastAsiaTheme="minorEastAsia" w:hAnsiTheme="minorHAnsi" w:cstheme="minorBidi"/>
                <w:kern w:val="2"/>
                <w:lang w:eastAsia="pl-PL"/>
                <w14:ligatures w14:val="standardContextual"/>
              </w:rPr>
              <w:tab/>
            </w:r>
            <w:r w:rsidR="00C20037" w:rsidRPr="00C20037">
              <w:rPr>
                <w:rStyle w:val="Hipercze"/>
              </w:rPr>
              <w:t>Etap wdrażania LSR</w:t>
            </w:r>
            <w:r w:rsidR="00C20037" w:rsidRPr="00C20037">
              <w:rPr>
                <w:webHidden/>
              </w:rPr>
              <w:tab/>
            </w:r>
            <w:r w:rsidR="00C20037" w:rsidRPr="00C20037">
              <w:rPr>
                <w:webHidden/>
              </w:rPr>
              <w:fldChar w:fldCharType="begin"/>
            </w:r>
            <w:r w:rsidR="00C20037" w:rsidRPr="00C20037">
              <w:rPr>
                <w:webHidden/>
              </w:rPr>
              <w:instrText xml:space="preserve"> PAGEREF _Toc135896896 \h </w:instrText>
            </w:r>
            <w:r w:rsidR="00C20037" w:rsidRPr="00C20037">
              <w:rPr>
                <w:webHidden/>
              </w:rPr>
            </w:r>
            <w:r w:rsidR="00C20037" w:rsidRPr="00C20037">
              <w:rPr>
                <w:webHidden/>
              </w:rPr>
              <w:fldChar w:fldCharType="separate"/>
            </w:r>
            <w:r w:rsidR="00C20037" w:rsidRPr="00C20037">
              <w:rPr>
                <w:webHidden/>
              </w:rPr>
              <w:t>14</w:t>
            </w:r>
            <w:r w:rsidR="00C20037" w:rsidRPr="00C20037">
              <w:rPr>
                <w:webHidden/>
              </w:rPr>
              <w:fldChar w:fldCharType="end"/>
            </w:r>
          </w:hyperlink>
        </w:p>
        <w:p w14:paraId="4D5D7A63" w14:textId="74CC818E" w:rsidR="00C20037" w:rsidRDefault="00000000">
          <w:pPr>
            <w:pStyle w:val="Spistreci1"/>
            <w:rPr>
              <w:rFonts w:asciiTheme="minorHAnsi" w:eastAsiaTheme="minorEastAsia" w:hAnsiTheme="minorHAnsi" w:cstheme="minorBidi"/>
              <w:kern w:val="2"/>
              <w:lang w:eastAsia="pl-PL"/>
              <w14:ligatures w14:val="standardContextual"/>
            </w:rPr>
          </w:pPr>
          <w:hyperlink w:anchor="_Toc135896897" w:history="1">
            <w:r w:rsidR="00C20037" w:rsidRPr="000D0B14">
              <w:rPr>
                <w:rStyle w:val="Hipercze"/>
              </w:rPr>
              <w:t>IV.</w:t>
            </w:r>
            <w:r w:rsidR="00C20037">
              <w:rPr>
                <w:rFonts w:asciiTheme="minorHAnsi" w:eastAsiaTheme="minorEastAsia" w:hAnsiTheme="minorHAnsi" w:cstheme="minorBidi"/>
                <w:kern w:val="2"/>
                <w:lang w:eastAsia="pl-PL"/>
                <w14:ligatures w14:val="standardContextual"/>
              </w:rPr>
              <w:tab/>
            </w:r>
            <w:r w:rsidR="00C20037" w:rsidRPr="000D0B14">
              <w:rPr>
                <w:rStyle w:val="Hipercze"/>
              </w:rPr>
              <w:t>ANALIZA POTRZEB I POTENCJAŁU</w:t>
            </w:r>
            <w:r w:rsidR="00C20037">
              <w:rPr>
                <w:webHidden/>
              </w:rPr>
              <w:tab/>
            </w:r>
            <w:r w:rsidR="00C20037">
              <w:rPr>
                <w:webHidden/>
              </w:rPr>
              <w:fldChar w:fldCharType="begin"/>
            </w:r>
            <w:r w:rsidR="00C20037">
              <w:rPr>
                <w:webHidden/>
              </w:rPr>
              <w:instrText xml:space="preserve"> PAGEREF _Toc135896897 \h </w:instrText>
            </w:r>
            <w:r w:rsidR="00C20037">
              <w:rPr>
                <w:webHidden/>
              </w:rPr>
            </w:r>
            <w:r w:rsidR="00C20037">
              <w:rPr>
                <w:webHidden/>
              </w:rPr>
              <w:fldChar w:fldCharType="separate"/>
            </w:r>
            <w:r w:rsidR="00C20037">
              <w:rPr>
                <w:webHidden/>
              </w:rPr>
              <w:t>16</w:t>
            </w:r>
            <w:r w:rsidR="00C20037">
              <w:rPr>
                <w:webHidden/>
              </w:rPr>
              <w:fldChar w:fldCharType="end"/>
            </w:r>
          </w:hyperlink>
        </w:p>
        <w:p w14:paraId="162D0986" w14:textId="17B1791C" w:rsidR="00C20037" w:rsidRDefault="00000000">
          <w:pPr>
            <w:pStyle w:val="Spistreci2"/>
            <w:rPr>
              <w:rFonts w:asciiTheme="minorHAnsi" w:eastAsiaTheme="minorEastAsia" w:hAnsiTheme="minorHAnsi" w:cstheme="minorBidi"/>
              <w:kern w:val="2"/>
              <w:lang w:eastAsia="pl-PL"/>
              <w14:ligatures w14:val="standardContextual"/>
            </w:rPr>
          </w:pPr>
          <w:hyperlink w:anchor="_Toc135896898" w:history="1">
            <w:r w:rsidR="00C20037" w:rsidRPr="000D0B14">
              <w:rPr>
                <w:rStyle w:val="Hipercze"/>
              </w:rPr>
              <w:t>1.</w:t>
            </w:r>
            <w:r w:rsidR="00C20037">
              <w:rPr>
                <w:rFonts w:asciiTheme="minorHAnsi" w:eastAsiaTheme="minorEastAsia" w:hAnsiTheme="minorHAnsi" w:cstheme="minorBidi"/>
                <w:kern w:val="2"/>
                <w:lang w:eastAsia="pl-PL"/>
                <w14:ligatures w14:val="standardContextual"/>
              </w:rPr>
              <w:tab/>
            </w:r>
            <w:r w:rsidR="00C20037" w:rsidRPr="000D0B14">
              <w:rPr>
                <w:rStyle w:val="Hipercze"/>
              </w:rPr>
              <w:t>Potrzeby rozwojowe i potencjały obszaru</w:t>
            </w:r>
            <w:r w:rsidR="00C20037">
              <w:rPr>
                <w:webHidden/>
              </w:rPr>
              <w:tab/>
            </w:r>
            <w:r w:rsidR="00C20037">
              <w:rPr>
                <w:webHidden/>
              </w:rPr>
              <w:fldChar w:fldCharType="begin"/>
            </w:r>
            <w:r w:rsidR="00C20037">
              <w:rPr>
                <w:webHidden/>
              </w:rPr>
              <w:instrText xml:space="preserve"> PAGEREF _Toc135896898 \h </w:instrText>
            </w:r>
            <w:r w:rsidR="00C20037">
              <w:rPr>
                <w:webHidden/>
              </w:rPr>
            </w:r>
            <w:r w:rsidR="00C20037">
              <w:rPr>
                <w:webHidden/>
              </w:rPr>
              <w:fldChar w:fldCharType="separate"/>
            </w:r>
            <w:r w:rsidR="00C20037">
              <w:rPr>
                <w:webHidden/>
              </w:rPr>
              <w:t>16</w:t>
            </w:r>
            <w:r w:rsidR="00C20037">
              <w:rPr>
                <w:webHidden/>
              </w:rPr>
              <w:fldChar w:fldCharType="end"/>
            </w:r>
          </w:hyperlink>
        </w:p>
        <w:p w14:paraId="58D32030" w14:textId="0C315C27" w:rsidR="00C20037" w:rsidRDefault="00000000">
          <w:pPr>
            <w:pStyle w:val="Spistreci2"/>
            <w:rPr>
              <w:rFonts w:asciiTheme="minorHAnsi" w:eastAsiaTheme="minorEastAsia" w:hAnsiTheme="minorHAnsi" w:cstheme="minorBidi"/>
              <w:kern w:val="2"/>
              <w:lang w:eastAsia="pl-PL"/>
              <w14:ligatures w14:val="standardContextual"/>
            </w:rPr>
          </w:pPr>
          <w:hyperlink w:anchor="_Toc135896899" w:history="1">
            <w:r w:rsidR="00C20037" w:rsidRPr="000D0B14">
              <w:rPr>
                <w:rStyle w:val="Hipercze"/>
              </w:rPr>
              <w:t>2.</w:t>
            </w:r>
            <w:r w:rsidR="00C20037">
              <w:rPr>
                <w:rFonts w:asciiTheme="minorHAnsi" w:eastAsiaTheme="minorEastAsia" w:hAnsiTheme="minorHAnsi" w:cstheme="minorBidi"/>
                <w:kern w:val="2"/>
                <w:lang w:eastAsia="pl-PL"/>
                <w14:ligatures w14:val="standardContextual"/>
              </w:rPr>
              <w:tab/>
            </w:r>
            <w:r w:rsidR="00C20037" w:rsidRPr="000D0B14">
              <w:rPr>
                <w:rStyle w:val="Hipercze"/>
              </w:rPr>
              <w:t>Analiza SWOT</w:t>
            </w:r>
            <w:r w:rsidR="00C20037">
              <w:rPr>
                <w:webHidden/>
              </w:rPr>
              <w:tab/>
            </w:r>
            <w:r w:rsidR="00C20037">
              <w:rPr>
                <w:webHidden/>
              </w:rPr>
              <w:fldChar w:fldCharType="begin"/>
            </w:r>
            <w:r w:rsidR="00C20037">
              <w:rPr>
                <w:webHidden/>
              </w:rPr>
              <w:instrText xml:space="preserve"> PAGEREF _Toc135896899 \h </w:instrText>
            </w:r>
            <w:r w:rsidR="00C20037">
              <w:rPr>
                <w:webHidden/>
              </w:rPr>
            </w:r>
            <w:r w:rsidR="00C20037">
              <w:rPr>
                <w:webHidden/>
              </w:rPr>
              <w:fldChar w:fldCharType="separate"/>
            </w:r>
            <w:r w:rsidR="00C20037">
              <w:rPr>
                <w:webHidden/>
              </w:rPr>
              <w:t>36</w:t>
            </w:r>
            <w:r w:rsidR="00C20037">
              <w:rPr>
                <w:webHidden/>
              </w:rPr>
              <w:fldChar w:fldCharType="end"/>
            </w:r>
          </w:hyperlink>
        </w:p>
        <w:p w14:paraId="3686A85B" w14:textId="5C4E9A10" w:rsidR="00C20037" w:rsidRDefault="00000000">
          <w:pPr>
            <w:pStyle w:val="Spistreci2"/>
            <w:rPr>
              <w:rFonts w:asciiTheme="minorHAnsi" w:eastAsiaTheme="minorEastAsia" w:hAnsiTheme="minorHAnsi" w:cstheme="minorBidi"/>
              <w:kern w:val="2"/>
              <w:lang w:eastAsia="pl-PL"/>
              <w14:ligatures w14:val="standardContextual"/>
            </w:rPr>
          </w:pPr>
          <w:hyperlink w:anchor="_Toc135896900" w:history="1">
            <w:r w:rsidR="00C20037" w:rsidRPr="000D0B14">
              <w:rPr>
                <w:rStyle w:val="Hipercze"/>
              </w:rPr>
              <w:t>3.</w:t>
            </w:r>
            <w:r w:rsidR="00C20037">
              <w:rPr>
                <w:rFonts w:asciiTheme="minorHAnsi" w:eastAsiaTheme="minorEastAsia" w:hAnsiTheme="minorHAnsi" w:cstheme="minorBidi"/>
                <w:kern w:val="2"/>
                <w:lang w:eastAsia="pl-PL"/>
                <w14:ligatures w14:val="standardContextual"/>
              </w:rPr>
              <w:tab/>
            </w:r>
            <w:r w:rsidR="00C20037" w:rsidRPr="000D0B14">
              <w:rPr>
                <w:rStyle w:val="Hipercze"/>
              </w:rPr>
              <w:t>Wnioski z diagnozy</w:t>
            </w:r>
            <w:r w:rsidR="00C20037">
              <w:rPr>
                <w:webHidden/>
              </w:rPr>
              <w:tab/>
            </w:r>
            <w:r w:rsidR="00C20037">
              <w:rPr>
                <w:webHidden/>
              </w:rPr>
              <w:fldChar w:fldCharType="begin"/>
            </w:r>
            <w:r w:rsidR="00C20037">
              <w:rPr>
                <w:webHidden/>
              </w:rPr>
              <w:instrText xml:space="preserve"> PAGEREF _Toc135896900 \h </w:instrText>
            </w:r>
            <w:r w:rsidR="00C20037">
              <w:rPr>
                <w:webHidden/>
              </w:rPr>
            </w:r>
            <w:r w:rsidR="00C20037">
              <w:rPr>
                <w:webHidden/>
              </w:rPr>
              <w:fldChar w:fldCharType="separate"/>
            </w:r>
            <w:r w:rsidR="00C20037">
              <w:rPr>
                <w:webHidden/>
              </w:rPr>
              <w:t>38</w:t>
            </w:r>
            <w:r w:rsidR="00C20037">
              <w:rPr>
                <w:webHidden/>
              </w:rPr>
              <w:fldChar w:fldCharType="end"/>
            </w:r>
          </w:hyperlink>
        </w:p>
        <w:p w14:paraId="66F57982" w14:textId="34CE792A" w:rsidR="00C20037" w:rsidRDefault="00000000">
          <w:pPr>
            <w:pStyle w:val="Spistreci2"/>
            <w:rPr>
              <w:rFonts w:asciiTheme="minorHAnsi" w:eastAsiaTheme="minorEastAsia" w:hAnsiTheme="minorHAnsi" w:cstheme="minorBidi"/>
              <w:kern w:val="2"/>
              <w:lang w:eastAsia="pl-PL"/>
              <w14:ligatures w14:val="standardContextual"/>
            </w:rPr>
          </w:pPr>
          <w:hyperlink w:anchor="_Toc135896901" w:history="1">
            <w:r w:rsidR="00C20037" w:rsidRPr="000D0B14">
              <w:rPr>
                <w:rStyle w:val="Hipercze"/>
              </w:rPr>
              <w:t>4.</w:t>
            </w:r>
            <w:r w:rsidR="00C20037">
              <w:rPr>
                <w:rFonts w:asciiTheme="minorHAnsi" w:eastAsiaTheme="minorEastAsia" w:hAnsiTheme="minorHAnsi" w:cstheme="minorBidi"/>
                <w:kern w:val="2"/>
                <w:lang w:eastAsia="pl-PL"/>
                <w14:ligatures w14:val="standardContextual"/>
              </w:rPr>
              <w:tab/>
            </w:r>
            <w:r w:rsidR="00C20037" w:rsidRPr="000D0B14">
              <w:rPr>
                <w:rStyle w:val="Hipercze"/>
              </w:rPr>
              <w:t>Grupy docelowe</w:t>
            </w:r>
            <w:r w:rsidR="00C20037">
              <w:rPr>
                <w:webHidden/>
              </w:rPr>
              <w:tab/>
            </w:r>
            <w:r w:rsidR="00C20037">
              <w:rPr>
                <w:webHidden/>
              </w:rPr>
              <w:fldChar w:fldCharType="begin"/>
            </w:r>
            <w:r w:rsidR="00C20037">
              <w:rPr>
                <w:webHidden/>
              </w:rPr>
              <w:instrText xml:space="preserve"> PAGEREF _Toc135896901 \h </w:instrText>
            </w:r>
            <w:r w:rsidR="00C20037">
              <w:rPr>
                <w:webHidden/>
              </w:rPr>
            </w:r>
            <w:r w:rsidR="00C20037">
              <w:rPr>
                <w:webHidden/>
              </w:rPr>
              <w:fldChar w:fldCharType="separate"/>
            </w:r>
            <w:r w:rsidR="00C20037">
              <w:rPr>
                <w:webHidden/>
              </w:rPr>
              <w:t>41</w:t>
            </w:r>
            <w:r w:rsidR="00C20037">
              <w:rPr>
                <w:webHidden/>
              </w:rPr>
              <w:fldChar w:fldCharType="end"/>
            </w:r>
          </w:hyperlink>
        </w:p>
        <w:p w14:paraId="724350E2" w14:textId="6B2D444D" w:rsidR="00C20037" w:rsidRDefault="00000000">
          <w:pPr>
            <w:pStyle w:val="Spistreci1"/>
            <w:rPr>
              <w:rFonts w:asciiTheme="minorHAnsi" w:eastAsiaTheme="minorEastAsia" w:hAnsiTheme="minorHAnsi" w:cstheme="minorBidi"/>
              <w:kern w:val="2"/>
              <w:lang w:eastAsia="pl-PL"/>
              <w14:ligatures w14:val="standardContextual"/>
            </w:rPr>
          </w:pPr>
          <w:hyperlink w:anchor="_Toc135896902" w:history="1">
            <w:r w:rsidR="00C20037" w:rsidRPr="000D0B14">
              <w:rPr>
                <w:rStyle w:val="Hipercze"/>
              </w:rPr>
              <w:t>V.</w:t>
            </w:r>
            <w:r w:rsidR="00C20037">
              <w:rPr>
                <w:rFonts w:asciiTheme="minorHAnsi" w:eastAsiaTheme="minorEastAsia" w:hAnsiTheme="minorHAnsi" w:cstheme="minorBidi"/>
                <w:kern w:val="2"/>
                <w:lang w:eastAsia="pl-PL"/>
                <w14:ligatures w14:val="standardContextual"/>
              </w:rPr>
              <w:tab/>
            </w:r>
            <w:r w:rsidR="00C20037" w:rsidRPr="000D0B14">
              <w:rPr>
                <w:rStyle w:val="Hipercze"/>
              </w:rPr>
              <w:t>SPÓJNOŚĆ, KOMPLEMENTARNOŚĆ I SYNERGIA</w:t>
            </w:r>
            <w:r w:rsidR="00C20037">
              <w:rPr>
                <w:webHidden/>
              </w:rPr>
              <w:tab/>
            </w:r>
            <w:r w:rsidR="00C20037">
              <w:rPr>
                <w:webHidden/>
              </w:rPr>
              <w:fldChar w:fldCharType="begin"/>
            </w:r>
            <w:r w:rsidR="00C20037">
              <w:rPr>
                <w:webHidden/>
              </w:rPr>
              <w:instrText xml:space="preserve"> PAGEREF _Toc135896902 \h </w:instrText>
            </w:r>
            <w:r w:rsidR="00C20037">
              <w:rPr>
                <w:webHidden/>
              </w:rPr>
            </w:r>
            <w:r w:rsidR="00C20037">
              <w:rPr>
                <w:webHidden/>
              </w:rPr>
              <w:fldChar w:fldCharType="separate"/>
            </w:r>
            <w:r w:rsidR="00C20037">
              <w:rPr>
                <w:webHidden/>
              </w:rPr>
              <w:t>42</w:t>
            </w:r>
            <w:r w:rsidR="00C20037">
              <w:rPr>
                <w:webHidden/>
              </w:rPr>
              <w:fldChar w:fldCharType="end"/>
            </w:r>
          </w:hyperlink>
        </w:p>
        <w:p w14:paraId="1B82D415" w14:textId="4E21A367" w:rsidR="00C20037" w:rsidRDefault="00000000">
          <w:pPr>
            <w:pStyle w:val="Spistreci1"/>
            <w:rPr>
              <w:rFonts w:asciiTheme="minorHAnsi" w:eastAsiaTheme="minorEastAsia" w:hAnsiTheme="minorHAnsi" w:cstheme="minorBidi"/>
              <w:kern w:val="2"/>
              <w:lang w:eastAsia="pl-PL"/>
              <w14:ligatures w14:val="standardContextual"/>
            </w:rPr>
          </w:pPr>
          <w:hyperlink w:anchor="_Toc135896903" w:history="1">
            <w:r w:rsidR="00C20037" w:rsidRPr="000D0B14">
              <w:rPr>
                <w:rStyle w:val="Hipercze"/>
              </w:rPr>
              <w:t>VI.</w:t>
            </w:r>
            <w:r w:rsidR="00C20037">
              <w:rPr>
                <w:rFonts w:asciiTheme="minorHAnsi" w:eastAsiaTheme="minorEastAsia" w:hAnsiTheme="minorHAnsi" w:cstheme="minorBidi"/>
                <w:kern w:val="2"/>
                <w:lang w:eastAsia="pl-PL"/>
                <w14:ligatures w14:val="standardContextual"/>
              </w:rPr>
              <w:tab/>
            </w:r>
            <w:r w:rsidR="00C20037" w:rsidRPr="000D0B14">
              <w:rPr>
                <w:rStyle w:val="Hipercze"/>
              </w:rPr>
              <w:t>CELE I WSKAŹNIKI</w:t>
            </w:r>
            <w:r w:rsidR="00C20037">
              <w:rPr>
                <w:webHidden/>
              </w:rPr>
              <w:tab/>
            </w:r>
            <w:r w:rsidR="00C20037">
              <w:rPr>
                <w:webHidden/>
              </w:rPr>
              <w:fldChar w:fldCharType="begin"/>
            </w:r>
            <w:r w:rsidR="00C20037">
              <w:rPr>
                <w:webHidden/>
              </w:rPr>
              <w:instrText xml:space="preserve"> PAGEREF _Toc135896903 \h </w:instrText>
            </w:r>
            <w:r w:rsidR="00C20037">
              <w:rPr>
                <w:webHidden/>
              </w:rPr>
            </w:r>
            <w:r w:rsidR="00C20037">
              <w:rPr>
                <w:webHidden/>
              </w:rPr>
              <w:fldChar w:fldCharType="separate"/>
            </w:r>
            <w:r w:rsidR="00C20037">
              <w:rPr>
                <w:webHidden/>
              </w:rPr>
              <w:t>50</w:t>
            </w:r>
            <w:r w:rsidR="00C20037">
              <w:rPr>
                <w:webHidden/>
              </w:rPr>
              <w:fldChar w:fldCharType="end"/>
            </w:r>
          </w:hyperlink>
        </w:p>
        <w:p w14:paraId="050EE55A" w14:textId="1F076965" w:rsidR="00C20037" w:rsidRDefault="00000000">
          <w:pPr>
            <w:pStyle w:val="Spistreci1"/>
            <w:rPr>
              <w:rFonts w:asciiTheme="minorHAnsi" w:eastAsiaTheme="minorEastAsia" w:hAnsiTheme="minorHAnsi" w:cstheme="minorBidi"/>
              <w:kern w:val="2"/>
              <w:lang w:eastAsia="pl-PL"/>
              <w14:ligatures w14:val="standardContextual"/>
            </w:rPr>
          </w:pPr>
          <w:hyperlink w:anchor="_Toc135896904" w:history="1">
            <w:r w:rsidR="00C20037" w:rsidRPr="000D0B14">
              <w:rPr>
                <w:rStyle w:val="Hipercze"/>
              </w:rPr>
              <w:t>VII.</w:t>
            </w:r>
            <w:r w:rsidR="00C20037">
              <w:rPr>
                <w:rFonts w:asciiTheme="minorHAnsi" w:eastAsiaTheme="minorEastAsia" w:hAnsiTheme="minorHAnsi" w:cstheme="minorBidi"/>
                <w:kern w:val="2"/>
                <w:lang w:eastAsia="pl-PL"/>
                <w14:ligatures w14:val="standardContextual"/>
              </w:rPr>
              <w:tab/>
            </w:r>
            <w:r w:rsidR="00C20037" w:rsidRPr="000D0B14">
              <w:rPr>
                <w:rStyle w:val="Hipercze"/>
              </w:rPr>
              <w:t xml:space="preserve">SPOSÓB WYBORU I OCENY OPERACJI ORAZ SPOSÓB USTANAWIANIA KRYTERIÓW </w:t>
            </w:r>
            <w:r w:rsidR="00C20037">
              <w:rPr>
                <w:rStyle w:val="Hipercze"/>
              </w:rPr>
              <w:br/>
            </w:r>
            <w:r w:rsidR="00C20037" w:rsidRPr="000D0B14">
              <w:rPr>
                <w:rStyle w:val="Hipercze"/>
              </w:rPr>
              <w:t>WYBORU</w:t>
            </w:r>
            <w:r w:rsidR="00C20037">
              <w:rPr>
                <w:webHidden/>
              </w:rPr>
              <w:tab/>
            </w:r>
            <w:r w:rsidR="00C20037">
              <w:rPr>
                <w:webHidden/>
              </w:rPr>
              <w:fldChar w:fldCharType="begin"/>
            </w:r>
            <w:r w:rsidR="00C20037">
              <w:rPr>
                <w:webHidden/>
              </w:rPr>
              <w:instrText xml:space="preserve"> PAGEREF _Toc135896904 \h </w:instrText>
            </w:r>
            <w:r w:rsidR="00C20037">
              <w:rPr>
                <w:webHidden/>
              </w:rPr>
            </w:r>
            <w:r w:rsidR="00C20037">
              <w:rPr>
                <w:webHidden/>
              </w:rPr>
              <w:fldChar w:fldCharType="separate"/>
            </w:r>
            <w:r w:rsidR="00C20037">
              <w:rPr>
                <w:webHidden/>
              </w:rPr>
              <w:t>56</w:t>
            </w:r>
            <w:r w:rsidR="00C20037">
              <w:rPr>
                <w:webHidden/>
              </w:rPr>
              <w:fldChar w:fldCharType="end"/>
            </w:r>
          </w:hyperlink>
        </w:p>
        <w:p w14:paraId="27815842" w14:textId="7AB8CB73" w:rsidR="00C20037" w:rsidRDefault="00000000">
          <w:pPr>
            <w:pStyle w:val="Spistreci1"/>
            <w:rPr>
              <w:rFonts w:asciiTheme="minorHAnsi" w:eastAsiaTheme="minorEastAsia" w:hAnsiTheme="minorHAnsi" w:cstheme="minorBidi"/>
              <w:kern w:val="2"/>
              <w:lang w:eastAsia="pl-PL"/>
              <w14:ligatures w14:val="standardContextual"/>
            </w:rPr>
          </w:pPr>
          <w:hyperlink w:anchor="_Toc135896905" w:history="1">
            <w:r w:rsidR="00C20037" w:rsidRPr="000D0B14">
              <w:rPr>
                <w:rStyle w:val="Hipercze"/>
              </w:rPr>
              <w:t>VIII.</w:t>
            </w:r>
            <w:r w:rsidR="00C20037">
              <w:rPr>
                <w:rFonts w:asciiTheme="minorHAnsi" w:eastAsiaTheme="minorEastAsia" w:hAnsiTheme="minorHAnsi" w:cstheme="minorBidi"/>
                <w:kern w:val="2"/>
                <w:lang w:eastAsia="pl-PL"/>
                <w14:ligatures w14:val="standardContextual"/>
              </w:rPr>
              <w:tab/>
            </w:r>
            <w:r w:rsidR="00C20037" w:rsidRPr="000D0B14">
              <w:rPr>
                <w:rStyle w:val="Hipercze"/>
              </w:rPr>
              <w:t>PLAN DZIAŁANIA</w:t>
            </w:r>
            <w:r w:rsidR="00C20037">
              <w:rPr>
                <w:webHidden/>
              </w:rPr>
              <w:tab/>
            </w:r>
            <w:r w:rsidR="00C20037">
              <w:rPr>
                <w:webHidden/>
              </w:rPr>
              <w:fldChar w:fldCharType="begin"/>
            </w:r>
            <w:r w:rsidR="00C20037">
              <w:rPr>
                <w:webHidden/>
              </w:rPr>
              <w:instrText xml:space="preserve"> PAGEREF _Toc135896905 \h </w:instrText>
            </w:r>
            <w:r w:rsidR="00C20037">
              <w:rPr>
                <w:webHidden/>
              </w:rPr>
            </w:r>
            <w:r w:rsidR="00C20037">
              <w:rPr>
                <w:webHidden/>
              </w:rPr>
              <w:fldChar w:fldCharType="separate"/>
            </w:r>
            <w:r w:rsidR="00C20037">
              <w:rPr>
                <w:webHidden/>
              </w:rPr>
              <w:t>59</w:t>
            </w:r>
            <w:r w:rsidR="00C20037">
              <w:rPr>
                <w:webHidden/>
              </w:rPr>
              <w:fldChar w:fldCharType="end"/>
            </w:r>
          </w:hyperlink>
        </w:p>
        <w:p w14:paraId="2823960C" w14:textId="350A7703" w:rsidR="00C20037" w:rsidRDefault="00000000">
          <w:pPr>
            <w:pStyle w:val="Spistreci1"/>
            <w:rPr>
              <w:rFonts w:asciiTheme="minorHAnsi" w:eastAsiaTheme="minorEastAsia" w:hAnsiTheme="minorHAnsi" w:cstheme="minorBidi"/>
              <w:kern w:val="2"/>
              <w:lang w:eastAsia="pl-PL"/>
              <w14:ligatures w14:val="standardContextual"/>
            </w:rPr>
          </w:pPr>
          <w:hyperlink w:anchor="_Toc135896906" w:history="1">
            <w:r w:rsidR="00C20037" w:rsidRPr="000D0B14">
              <w:rPr>
                <w:rStyle w:val="Hipercze"/>
              </w:rPr>
              <w:t>IX.</w:t>
            </w:r>
            <w:r w:rsidR="00C20037">
              <w:rPr>
                <w:rFonts w:asciiTheme="minorHAnsi" w:eastAsiaTheme="minorEastAsia" w:hAnsiTheme="minorHAnsi" w:cstheme="minorBidi"/>
                <w:kern w:val="2"/>
                <w:lang w:eastAsia="pl-PL"/>
                <w14:ligatures w14:val="standardContextual"/>
              </w:rPr>
              <w:tab/>
            </w:r>
            <w:r w:rsidR="00C20037" w:rsidRPr="000D0B14">
              <w:rPr>
                <w:rStyle w:val="Hipercze"/>
              </w:rPr>
              <w:t>PLAN FINANSOWY LSR</w:t>
            </w:r>
            <w:r w:rsidR="00C20037">
              <w:rPr>
                <w:webHidden/>
              </w:rPr>
              <w:tab/>
            </w:r>
            <w:r w:rsidR="00C20037">
              <w:rPr>
                <w:webHidden/>
              </w:rPr>
              <w:fldChar w:fldCharType="begin"/>
            </w:r>
            <w:r w:rsidR="00C20037">
              <w:rPr>
                <w:webHidden/>
              </w:rPr>
              <w:instrText xml:space="preserve"> PAGEREF _Toc135896906 \h </w:instrText>
            </w:r>
            <w:r w:rsidR="00C20037">
              <w:rPr>
                <w:webHidden/>
              </w:rPr>
            </w:r>
            <w:r w:rsidR="00C20037">
              <w:rPr>
                <w:webHidden/>
              </w:rPr>
              <w:fldChar w:fldCharType="separate"/>
            </w:r>
            <w:r w:rsidR="00C20037">
              <w:rPr>
                <w:webHidden/>
              </w:rPr>
              <w:t>60</w:t>
            </w:r>
            <w:r w:rsidR="00C20037">
              <w:rPr>
                <w:webHidden/>
              </w:rPr>
              <w:fldChar w:fldCharType="end"/>
            </w:r>
          </w:hyperlink>
        </w:p>
        <w:p w14:paraId="78401B6E" w14:textId="55C0B4A4" w:rsidR="00C20037" w:rsidRDefault="00000000">
          <w:pPr>
            <w:pStyle w:val="Spistreci1"/>
            <w:rPr>
              <w:rFonts w:asciiTheme="minorHAnsi" w:eastAsiaTheme="minorEastAsia" w:hAnsiTheme="minorHAnsi" w:cstheme="minorBidi"/>
              <w:kern w:val="2"/>
              <w:lang w:eastAsia="pl-PL"/>
              <w14:ligatures w14:val="standardContextual"/>
            </w:rPr>
          </w:pPr>
          <w:hyperlink w:anchor="_Toc135896907" w:history="1">
            <w:r w:rsidR="00C20037" w:rsidRPr="000D0B14">
              <w:rPr>
                <w:rStyle w:val="Hipercze"/>
              </w:rPr>
              <w:t>X.</w:t>
            </w:r>
            <w:r w:rsidR="00C20037">
              <w:rPr>
                <w:rFonts w:asciiTheme="minorHAnsi" w:eastAsiaTheme="minorEastAsia" w:hAnsiTheme="minorHAnsi" w:cstheme="minorBidi"/>
                <w:kern w:val="2"/>
                <w:lang w:eastAsia="pl-PL"/>
                <w14:ligatures w14:val="standardContextual"/>
              </w:rPr>
              <w:tab/>
            </w:r>
            <w:r w:rsidR="00C20037" w:rsidRPr="000D0B14">
              <w:rPr>
                <w:rStyle w:val="Hipercze"/>
              </w:rPr>
              <w:t>MONITORING I EWALUACJA</w:t>
            </w:r>
            <w:r w:rsidR="00C20037">
              <w:rPr>
                <w:webHidden/>
              </w:rPr>
              <w:tab/>
            </w:r>
            <w:r w:rsidR="00C20037">
              <w:rPr>
                <w:webHidden/>
              </w:rPr>
              <w:fldChar w:fldCharType="begin"/>
            </w:r>
            <w:r w:rsidR="00C20037">
              <w:rPr>
                <w:webHidden/>
              </w:rPr>
              <w:instrText xml:space="preserve"> PAGEREF _Toc135896907 \h </w:instrText>
            </w:r>
            <w:r w:rsidR="00C20037">
              <w:rPr>
                <w:webHidden/>
              </w:rPr>
            </w:r>
            <w:r w:rsidR="00C20037">
              <w:rPr>
                <w:webHidden/>
              </w:rPr>
              <w:fldChar w:fldCharType="separate"/>
            </w:r>
            <w:r w:rsidR="00C20037">
              <w:rPr>
                <w:webHidden/>
              </w:rPr>
              <w:t>61</w:t>
            </w:r>
            <w:r w:rsidR="00C20037">
              <w:rPr>
                <w:webHidden/>
              </w:rPr>
              <w:fldChar w:fldCharType="end"/>
            </w:r>
          </w:hyperlink>
        </w:p>
        <w:p w14:paraId="4E693954" w14:textId="6DF1035E" w:rsidR="00C20037" w:rsidRPr="00C20037" w:rsidRDefault="00000000">
          <w:pPr>
            <w:pStyle w:val="Spistreci2"/>
            <w:rPr>
              <w:rFonts w:asciiTheme="minorHAnsi" w:eastAsiaTheme="minorEastAsia" w:hAnsiTheme="minorHAnsi" w:cstheme="minorBidi"/>
              <w:kern w:val="2"/>
              <w:lang w:eastAsia="pl-PL"/>
              <w14:ligatures w14:val="standardContextual"/>
            </w:rPr>
          </w:pPr>
          <w:hyperlink w:anchor="_Toc135896908" w:history="1">
            <w:r w:rsidR="00C20037" w:rsidRPr="00C20037">
              <w:rPr>
                <w:rStyle w:val="Hipercze"/>
              </w:rPr>
              <w:t>Spis rysunków</w:t>
            </w:r>
            <w:r w:rsidR="00C20037" w:rsidRPr="00C20037">
              <w:rPr>
                <w:webHidden/>
              </w:rPr>
              <w:tab/>
            </w:r>
            <w:r w:rsidR="00C20037" w:rsidRPr="00C20037">
              <w:rPr>
                <w:webHidden/>
              </w:rPr>
              <w:fldChar w:fldCharType="begin"/>
            </w:r>
            <w:r w:rsidR="00C20037" w:rsidRPr="00C20037">
              <w:rPr>
                <w:webHidden/>
              </w:rPr>
              <w:instrText xml:space="preserve"> PAGEREF _Toc135896908 \h </w:instrText>
            </w:r>
            <w:r w:rsidR="00C20037" w:rsidRPr="00C20037">
              <w:rPr>
                <w:webHidden/>
              </w:rPr>
            </w:r>
            <w:r w:rsidR="00C20037" w:rsidRPr="00C20037">
              <w:rPr>
                <w:webHidden/>
              </w:rPr>
              <w:fldChar w:fldCharType="separate"/>
            </w:r>
            <w:r w:rsidR="00C20037" w:rsidRPr="00C20037">
              <w:rPr>
                <w:webHidden/>
              </w:rPr>
              <w:t>63</w:t>
            </w:r>
            <w:r w:rsidR="00C20037" w:rsidRPr="00C20037">
              <w:rPr>
                <w:webHidden/>
              </w:rPr>
              <w:fldChar w:fldCharType="end"/>
            </w:r>
          </w:hyperlink>
        </w:p>
        <w:p w14:paraId="35C93AC9" w14:textId="62CA91C5" w:rsidR="00C20037" w:rsidRPr="00C20037" w:rsidRDefault="00000000">
          <w:pPr>
            <w:pStyle w:val="Spistreci2"/>
            <w:rPr>
              <w:rFonts w:asciiTheme="minorHAnsi" w:eastAsiaTheme="minorEastAsia" w:hAnsiTheme="minorHAnsi" w:cstheme="minorBidi"/>
              <w:kern w:val="2"/>
              <w:lang w:eastAsia="pl-PL"/>
              <w14:ligatures w14:val="standardContextual"/>
            </w:rPr>
          </w:pPr>
          <w:hyperlink w:anchor="_Toc135896909" w:history="1">
            <w:r w:rsidR="00C20037" w:rsidRPr="00C20037">
              <w:rPr>
                <w:rStyle w:val="Hipercze"/>
              </w:rPr>
              <w:t>Spis map</w:t>
            </w:r>
            <w:r w:rsidR="00C20037" w:rsidRPr="00C20037">
              <w:rPr>
                <w:webHidden/>
              </w:rPr>
              <w:tab/>
            </w:r>
            <w:r w:rsidR="00C20037" w:rsidRPr="00C20037">
              <w:rPr>
                <w:webHidden/>
              </w:rPr>
              <w:fldChar w:fldCharType="begin"/>
            </w:r>
            <w:r w:rsidR="00C20037" w:rsidRPr="00C20037">
              <w:rPr>
                <w:webHidden/>
              </w:rPr>
              <w:instrText xml:space="preserve"> PAGEREF _Toc135896909 \h </w:instrText>
            </w:r>
            <w:r w:rsidR="00C20037" w:rsidRPr="00C20037">
              <w:rPr>
                <w:webHidden/>
              </w:rPr>
            </w:r>
            <w:r w:rsidR="00C20037" w:rsidRPr="00C20037">
              <w:rPr>
                <w:webHidden/>
              </w:rPr>
              <w:fldChar w:fldCharType="separate"/>
            </w:r>
            <w:r w:rsidR="00C20037" w:rsidRPr="00C20037">
              <w:rPr>
                <w:webHidden/>
              </w:rPr>
              <w:t>63</w:t>
            </w:r>
            <w:r w:rsidR="00C20037" w:rsidRPr="00C20037">
              <w:rPr>
                <w:webHidden/>
              </w:rPr>
              <w:fldChar w:fldCharType="end"/>
            </w:r>
          </w:hyperlink>
        </w:p>
        <w:p w14:paraId="03E100BF" w14:textId="165E9E29" w:rsidR="00C20037" w:rsidRPr="00C20037" w:rsidRDefault="00000000">
          <w:pPr>
            <w:pStyle w:val="Spistreci2"/>
            <w:rPr>
              <w:rFonts w:asciiTheme="minorHAnsi" w:eastAsiaTheme="minorEastAsia" w:hAnsiTheme="minorHAnsi" w:cstheme="minorBidi"/>
              <w:kern w:val="2"/>
              <w:lang w:eastAsia="pl-PL"/>
              <w14:ligatures w14:val="standardContextual"/>
            </w:rPr>
          </w:pPr>
          <w:hyperlink w:anchor="_Toc135896910" w:history="1">
            <w:r w:rsidR="00C20037" w:rsidRPr="00C20037">
              <w:rPr>
                <w:rStyle w:val="Hipercze"/>
              </w:rPr>
              <w:t>Spis wykresów</w:t>
            </w:r>
            <w:r w:rsidR="00C20037" w:rsidRPr="00C20037">
              <w:rPr>
                <w:webHidden/>
              </w:rPr>
              <w:tab/>
            </w:r>
            <w:r w:rsidR="00C20037" w:rsidRPr="00C20037">
              <w:rPr>
                <w:webHidden/>
              </w:rPr>
              <w:fldChar w:fldCharType="begin"/>
            </w:r>
            <w:r w:rsidR="00C20037" w:rsidRPr="00C20037">
              <w:rPr>
                <w:webHidden/>
              </w:rPr>
              <w:instrText xml:space="preserve"> PAGEREF _Toc135896910 \h </w:instrText>
            </w:r>
            <w:r w:rsidR="00C20037" w:rsidRPr="00C20037">
              <w:rPr>
                <w:webHidden/>
              </w:rPr>
            </w:r>
            <w:r w:rsidR="00C20037" w:rsidRPr="00C20037">
              <w:rPr>
                <w:webHidden/>
              </w:rPr>
              <w:fldChar w:fldCharType="separate"/>
            </w:r>
            <w:r w:rsidR="00C20037" w:rsidRPr="00C20037">
              <w:rPr>
                <w:webHidden/>
              </w:rPr>
              <w:t>63</w:t>
            </w:r>
            <w:r w:rsidR="00C20037" w:rsidRPr="00C20037">
              <w:rPr>
                <w:webHidden/>
              </w:rPr>
              <w:fldChar w:fldCharType="end"/>
            </w:r>
          </w:hyperlink>
        </w:p>
        <w:p w14:paraId="69E65D0D" w14:textId="42E9458B" w:rsidR="00C20037" w:rsidRPr="00C20037" w:rsidRDefault="00000000">
          <w:pPr>
            <w:pStyle w:val="Spistreci2"/>
            <w:rPr>
              <w:rFonts w:asciiTheme="minorHAnsi" w:eastAsiaTheme="minorEastAsia" w:hAnsiTheme="minorHAnsi" w:cstheme="minorBidi"/>
              <w:kern w:val="2"/>
              <w:lang w:eastAsia="pl-PL"/>
              <w14:ligatures w14:val="standardContextual"/>
            </w:rPr>
          </w:pPr>
          <w:hyperlink w:anchor="_Toc135896911" w:history="1">
            <w:r w:rsidR="00C20037" w:rsidRPr="00C20037">
              <w:rPr>
                <w:rStyle w:val="Hipercze"/>
              </w:rPr>
              <w:t>Spis tabel</w:t>
            </w:r>
            <w:r w:rsidR="00C20037" w:rsidRPr="00C20037">
              <w:rPr>
                <w:webHidden/>
              </w:rPr>
              <w:tab/>
            </w:r>
            <w:r w:rsidR="00C20037" w:rsidRPr="00C20037">
              <w:rPr>
                <w:webHidden/>
              </w:rPr>
              <w:fldChar w:fldCharType="begin"/>
            </w:r>
            <w:r w:rsidR="00C20037" w:rsidRPr="00C20037">
              <w:rPr>
                <w:webHidden/>
              </w:rPr>
              <w:instrText xml:space="preserve"> PAGEREF _Toc135896911 \h </w:instrText>
            </w:r>
            <w:r w:rsidR="00C20037" w:rsidRPr="00C20037">
              <w:rPr>
                <w:webHidden/>
              </w:rPr>
            </w:r>
            <w:r w:rsidR="00C20037" w:rsidRPr="00C20037">
              <w:rPr>
                <w:webHidden/>
              </w:rPr>
              <w:fldChar w:fldCharType="separate"/>
            </w:r>
            <w:r w:rsidR="00C20037" w:rsidRPr="00C20037">
              <w:rPr>
                <w:webHidden/>
              </w:rPr>
              <w:t>63</w:t>
            </w:r>
            <w:r w:rsidR="00C20037" w:rsidRPr="00C20037">
              <w:rPr>
                <w:webHidden/>
              </w:rPr>
              <w:fldChar w:fldCharType="end"/>
            </w:r>
          </w:hyperlink>
        </w:p>
        <w:p w14:paraId="458CA85E" w14:textId="53DD39BE" w:rsidR="00C20037" w:rsidRPr="00C20037" w:rsidRDefault="00000000">
          <w:pPr>
            <w:pStyle w:val="Spistreci2"/>
            <w:rPr>
              <w:rFonts w:asciiTheme="minorHAnsi" w:eastAsiaTheme="minorEastAsia" w:hAnsiTheme="minorHAnsi" w:cstheme="minorBidi"/>
              <w:kern w:val="2"/>
              <w:lang w:eastAsia="pl-PL"/>
              <w14:ligatures w14:val="standardContextual"/>
            </w:rPr>
          </w:pPr>
          <w:hyperlink w:anchor="_Toc135896912" w:history="1">
            <w:r w:rsidR="00C20037" w:rsidRPr="00C20037">
              <w:rPr>
                <w:rStyle w:val="Hipercze"/>
              </w:rPr>
              <w:t>Wykaz wykorzystanej literatury</w:t>
            </w:r>
            <w:r w:rsidR="00C20037" w:rsidRPr="00C20037">
              <w:rPr>
                <w:webHidden/>
              </w:rPr>
              <w:tab/>
            </w:r>
            <w:r w:rsidR="00C20037" w:rsidRPr="00C20037">
              <w:rPr>
                <w:webHidden/>
              </w:rPr>
              <w:fldChar w:fldCharType="begin"/>
            </w:r>
            <w:r w:rsidR="00C20037" w:rsidRPr="00C20037">
              <w:rPr>
                <w:webHidden/>
              </w:rPr>
              <w:instrText xml:space="preserve"> PAGEREF _Toc135896912 \h </w:instrText>
            </w:r>
            <w:r w:rsidR="00C20037" w:rsidRPr="00C20037">
              <w:rPr>
                <w:webHidden/>
              </w:rPr>
            </w:r>
            <w:r w:rsidR="00C20037" w:rsidRPr="00C20037">
              <w:rPr>
                <w:webHidden/>
              </w:rPr>
              <w:fldChar w:fldCharType="separate"/>
            </w:r>
            <w:r w:rsidR="00C20037" w:rsidRPr="00C20037">
              <w:rPr>
                <w:webHidden/>
              </w:rPr>
              <w:t>64</w:t>
            </w:r>
            <w:r w:rsidR="00C20037" w:rsidRPr="00C20037">
              <w:rPr>
                <w:webHidden/>
              </w:rPr>
              <w:fldChar w:fldCharType="end"/>
            </w:r>
          </w:hyperlink>
        </w:p>
        <w:p w14:paraId="40240686" w14:textId="41D38B13" w:rsidR="00C20037" w:rsidRPr="00C20037" w:rsidRDefault="00000000">
          <w:pPr>
            <w:pStyle w:val="Spistreci2"/>
            <w:rPr>
              <w:rFonts w:asciiTheme="minorHAnsi" w:eastAsiaTheme="minorEastAsia" w:hAnsiTheme="minorHAnsi" w:cstheme="minorBidi"/>
              <w:kern w:val="2"/>
              <w:lang w:eastAsia="pl-PL"/>
              <w14:ligatures w14:val="standardContextual"/>
            </w:rPr>
          </w:pPr>
          <w:hyperlink w:anchor="_Toc135896913" w:history="1">
            <w:r w:rsidR="00C20037" w:rsidRPr="00C20037">
              <w:rPr>
                <w:rStyle w:val="Hipercze"/>
              </w:rPr>
              <w:t>Załączniki do LSR</w:t>
            </w:r>
            <w:r w:rsidR="00C20037" w:rsidRPr="00C20037">
              <w:rPr>
                <w:webHidden/>
              </w:rPr>
              <w:tab/>
            </w:r>
            <w:r w:rsidR="00C20037" w:rsidRPr="00C20037">
              <w:rPr>
                <w:webHidden/>
              </w:rPr>
              <w:fldChar w:fldCharType="begin"/>
            </w:r>
            <w:r w:rsidR="00C20037" w:rsidRPr="00C20037">
              <w:rPr>
                <w:webHidden/>
              </w:rPr>
              <w:instrText xml:space="preserve"> PAGEREF _Toc135896913 \h </w:instrText>
            </w:r>
            <w:r w:rsidR="00C20037" w:rsidRPr="00C20037">
              <w:rPr>
                <w:webHidden/>
              </w:rPr>
            </w:r>
            <w:r w:rsidR="00C20037" w:rsidRPr="00C20037">
              <w:rPr>
                <w:webHidden/>
              </w:rPr>
              <w:fldChar w:fldCharType="separate"/>
            </w:r>
            <w:r w:rsidR="00C20037" w:rsidRPr="00C20037">
              <w:rPr>
                <w:webHidden/>
              </w:rPr>
              <w:t>64</w:t>
            </w:r>
            <w:r w:rsidR="00C20037" w:rsidRPr="00C20037">
              <w:rPr>
                <w:webHidden/>
              </w:rPr>
              <w:fldChar w:fldCharType="end"/>
            </w:r>
          </w:hyperlink>
        </w:p>
        <w:p w14:paraId="7E6C64B0" w14:textId="77777777" w:rsidR="00A17173" w:rsidRDefault="00A17173" w:rsidP="00A17173">
          <w:r w:rsidRPr="00DA3668">
            <w:rPr>
              <w:rFonts w:ascii="Times New Roman" w:hAnsi="Times New Roman" w:cs="Times New Roman"/>
              <w:b/>
              <w:bCs/>
            </w:rPr>
            <w:fldChar w:fldCharType="end"/>
          </w:r>
        </w:p>
      </w:sdtContent>
    </w:sdt>
    <w:p w14:paraId="1F5F9D4A" w14:textId="2737E36B" w:rsidR="00012335" w:rsidRDefault="00012335" w:rsidP="00A17173">
      <w:pPr>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58F5283A" w14:textId="77777777" w:rsidR="00A17173" w:rsidRPr="001D7BCF" w:rsidRDefault="00A17173" w:rsidP="0094673B">
      <w:pPr>
        <w:pStyle w:val="Gwne"/>
        <w:spacing w:after="120"/>
        <w:ind w:left="1077" w:hanging="510"/>
        <w:rPr>
          <w:sz w:val="22"/>
          <w:szCs w:val="22"/>
        </w:rPr>
      </w:pPr>
      <w:bookmarkStart w:id="2" w:name="_Toc135896884"/>
      <w:r w:rsidRPr="001D7BCF">
        <w:rPr>
          <w:sz w:val="22"/>
          <w:szCs w:val="22"/>
        </w:rPr>
        <w:lastRenderedPageBreak/>
        <w:t>CHARAKTERYSTYKA PARTNERSTWA LOKALNEGO</w:t>
      </w:r>
      <w:bookmarkEnd w:id="2"/>
    </w:p>
    <w:p w14:paraId="5015263D" w14:textId="77777777" w:rsidR="00A17173" w:rsidRPr="001D7BCF" w:rsidRDefault="00A17173" w:rsidP="0094673B">
      <w:pPr>
        <w:pStyle w:val="podnagowek"/>
        <w:spacing w:after="80"/>
        <w:ind w:left="782" w:hanging="357"/>
        <w:rPr>
          <w:sz w:val="22"/>
          <w:szCs w:val="22"/>
        </w:rPr>
      </w:pPr>
      <w:bookmarkStart w:id="3" w:name="_Toc135896885"/>
      <w:r w:rsidRPr="001D7BCF">
        <w:rPr>
          <w:sz w:val="22"/>
          <w:szCs w:val="22"/>
        </w:rPr>
        <w:t>Forma prawna i nazwa stowarzyszenia</w:t>
      </w:r>
      <w:bookmarkEnd w:id="3"/>
    </w:p>
    <w:p w14:paraId="5668E4F3" w14:textId="65C05260" w:rsidR="00A17173" w:rsidRPr="002423BD" w:rsidRDefault="00A17173" w:rsidP="0094673B">
      <w:pPr>
        <w:spacing w:after="80" w:line="276" w:lineRule="auto"/>
        <w:ind w:firstLine="709"/>
        <w:jc w:val="both"/>
        <w:rPr>
          <w:rFonts w:ascii="Times New Roman" w:hAnsi="Times New Roman" w:cs="Times New Roman"/>
        </w:rPr>
      </w:pPr>
      <w:r w:rsidRPr="006C3106">
        <w:rPr>
          <w:rFonts w:ascii="Times New Roman" w:hAnsi="Times New Roman" w:cs="Times New Roman"/>
          <w:color w:val="000000" w:themeColor="text1"/>
        </w:rPr>
        <w:t xml:space="preserve">Stowarzyszenie </w:t>
      </w:r>
      <w:r w:rsidR="00975DC8">
        <w:rPr>
          <w:rFonts w:ascii="Times New Roman" w:hAnsi="Times New Roman" w:cs="Times New Roman"/>
          <w:color w:val="000000" w:themeColor="text1"/>
        </w:rPr>
        <w:t xml:space="preserve">Bialskopodlaska </w:t>
      </w:r>
      <w:r w:rsidRPr="006C3106">
        <w:rPr>
          <w:rFonts w:ascii="Times New Roman" w:hAnsi="Times New Roman" w:cs="Times New Roman"/>
          <w:color w:val="000000" w:themeColor="text1"/>
        </w:rPr>
        <w:t>Lokalna Grupa Działania zarejestrowane jest jako Stowarzyszenie specjalne posiadające osobowość prawną</w:t>
      </w:r>
      <w:r>
        <w:rPr>
          <w:rFonts w:ascii="Times New Roman" w:hAnsi="Times New Roman" w:cs="Times New Roman"/>
        </w:rPr>
        <w:t xml:space="preserve">. </w:t>
      </w:r>
      <w:r w:rsidRPr="005B08ED">
        <w:rPr>
          <w:rFonts w:ascii="Times New Roman" w:hAnsi="Times New Roman" w:cs="Times New Roman"/>
        </w:rPr>
        <w:t>Formą prawną partnerstw</w:t>
      </w:r>
      <w:r>
        <w:rPr>
          <w:rFonts w:ascii="Times New Roman" w:hAnsi="Times New Roman" w:cs="Times New Roman"/>
        </w:rPr>
        <w:t xml:space="preserve">a jest </w:t>
      </w:r>
      <w:r w:rsidRPr="005B08ED">
        <w:rPr>
          <w:rFonts w:ascii="Times New Roman" w:hAnsi="Times New Roman" w:cs="Times New Roman"/>
        </w:rPr>
        <w:t>stowarzyszenie „specjalne”</w:t>
      </w:r>
      <w:r>
        <w:rPr>
          <w:rFonts w:ascii="Times New Roman" w:hAnsi="Times New Roman" w:cs="Times New Roman"/>
        </w:rPr>
        <w:t xml:space="preserve"> – jest to j</w:t>
      </w:r>
      <w:r w:rsidRPr="005B08ED">
        <w:rPr>
          <w:rFonts w:ascii="Times New Roman" w:hAnsi="Times New Roman" w:cs="Times New Roman"/>
        </w:rPr>
        <w:t>ednolita dla</w:t>
      </w:r>
      <w:r>
        <w:rPr>
          <w:rFonts w:ascii="Times New Roman" w:hAnsi="Times New Roman" w:cs="Times New Roman"/>
        </w:rPr>
        <w:t xml:space="preserve"> </w:t>
      </w:r>
      <w:r w:rsidRPr="005B08ED">
        <w:rPr>
          <w:rFonts w:ascii="Times New Roman" w:hAnsi="Times New Roman" w:cs="Times New Roman"/>
        </w:rPr>
        <w:t>wszystkich LGD forma organizacyjno-prawna</w:t>
      </w:r>
      <w:r>
        <w:rPr>
          <w:rFonts w:ascii="Times New Roman" w:hAnsi="Times New Roman" w:cs="Times New Roman"/>
        </w:rPr>
        <w:t xml:space="preserve">, charakteryzująca się tym, że w stowarzyszeniu oprócz osób fizycznych </w:t>
      </w:r>
      <w:r w:rsidRPr="005B08ED">
        <w:rPr>
          <w:rFonts w:ascii="Times New Roman" w:hAnsi="Times New Roman" w:cs="Times New Roman"/>
        </w:rPr>
        <w:t>członkami zwyczajnymi mogą być także osoby</w:t>
      </w:r>
      <w:r>
        <w:rPr>
          <w:rFonts w:ascii="Times New Roman" w:hAnsi="Times New Roman" w:cs="Times New Roman"/>
        </w:rPr>
        <w:t xml:space="preserve"> </w:t>
      </w:r>
      <w:r w:rsidRPr="005B08ED">
        <w:rPr>
          <w:rFonts w:ascii="Times New Roman" w:hAnsi="Times New Roman" w:cs="Times New Roman"/>
        </w:rPr>
        <w:t xml:space="preserve">prawne, w tym jednostki samorządu terytorialnego, </w:t>
      </w:r>
      <w:r>
        <w:rPr>
          <w:rFonts w:ascii="Times New Roman" w:hAnsi="Times New Roman" w:cs="Times New Roman"/>
        </w:rPr>
        <w:br/>
      </w:r>
      <w:r w:rsidRPr="005B08ED">
        <w:rPr>
          <w:rFonts w:ascii="Times New Roman" w:hAnsi="Times New Roman" w:cs="Times New Roman"/>
        </w:rPr>
        <w:t xml:space="preserve">z wyłączeniem województw, </w:t>
      </w:r>
      <w:r>
        <w:rPr>
          <w:rFonts w:ascii="Times New Roman" w:hAnsi="Times New Roman" w:cs="Times New Roman"/>
        </w:rPr>
        <w:t xml:space="preserve">a </w:t>
      </w:r>
      <w:r w:rsidRPr="005B08ED">
        <w:rPr>
          <w:rFonts w:ascii="Times New Roman" w:hAnsi="Times New Roman" w:cs="Times New Roman"/>
        </w:rPr>
        <w:t>nadzór nad</w:t>
      </w:r>
      <w:r>
        <w:rPr>
          <w:rFonts w:ascii="Times New Roman" w:hAnsi="Times New Roman" w:cs="Times New Roman"/>
        </w:rPr>
        <w:t xml:space="preserve"> </w:t>
      </w:r>
      <w:r w:rsidRPr="005B08ED">
        <w:rPr>
          <w:rFonts w:ascii="Times New Roman" w:hAnsi="Times New Roman" w:cs="Times New Roman"/>
        </w:rPr>
        <w:t>nim sprawuje marszałek województwa i może ono prowadzić działalność gospodarczą</w:t>
      </w:r>
      <w:r>
        <w:rPr>
          <w:rFonts w:ascii="Times New Roman" w:hAnsi="Times New Roman" w:cs="Times New Roman"/>
        </w:rPr>
        <w:t xml:space="preserve"> </w:t>
      </w:r>
      <w:r w:rsidRPr="005B08ED">
        <w:rPr>
          <w:rFonts w:ascii="Times New Roman" w:hAnsi="Times New Roman" w:cs="Times New Roman"/>
        </w:rPr>
        <w:t>służącą realizacji LSR. Poza tym w takim stowarzyszeniu, obok walnego zebrania członków,</w:t>
      </w:r>
      <w:r>
        <w:rPr>
          <w:rFonts w:ascii="Times New Roman" w:hAnsi="Times New Roman" w:cs="Times New Roman"/>
        </w:rPr>
        <w:t xml:space="preserve"> </w:t>
      </w:r>
      <w:r w:rsidRPr="005B08ED">
        <w:rPr>
          <w:rFonts w:ascii="Times New Roman" w:hAnsi="Times New Roman" w:cs="Times New Roman"/>
        </w:rPr>
        <w:t>zarządu oraz organu kontroli wewnętrznej, funkcjonuje dodatkowy organ jakim jest rada,</w:t>
      </w:r>
      <w:r>
        <w:rPr>
          <w:rFonts w:ascii="Times New Roman" w:hAnsi="Times New Roman" w:cs="Times New Roman"/>
        </w:rPr>
        <w:t xml:space="preserve"> </w:t>
      </w:r>
      <w:r w:rsidRPr="005B08ED">
        <w:rPr>
          <w:rFonts w:ascii="Times New Roman" w:hAnsi="Times New Roman" w:cs="Times New Roman"/>
        </w:rPr>
        <w:t>która podejmuje decyzje w sprawie wyboru operacji realizowanych w ramach LSR (chyba że</w:t>
      </w:r>
      <w:r>
        <w:rPr>
          <w:rFonts w:ascii="Times New Roman" w:hAnsi="Times New Roman" w:cs="Times New Roman"/>
        </w:rPr>
        <w:t xml:space="preserve"> </w:t>
      </w:r>
      <w:r w:rsidRPr="005B08ED">
        <w:rPr>
          <w:rFonts w:ascii="Times New Roman" w:hAnsi="Times New Roman" w:cs="Times New Roman"/>
        </w:rPr>
        <w:t>w statucie LGD przewidziano, że zadania te należą do właściwości zarządu).</w:t>
      </w:r>
    </w:p>
    <w:p w14:paraId="1124229C" w14:textId="0AB96E70" w:rsidR="00A17173" w:rsidRPr="00975DC8" w:rsidRDefault="00A17173" w:rsidP="0094673B">
      <w:pPr>
        <w:pStyle w:val="podnagowek"/>
        <w:spacing w:after="80"/>
        <w:ind w:left="782" w:hanging="357"/>
      </w:pPr>
      <w:bookmarkStart w:id="4" w:name="_Toc135896886"/>
      <w:r w:rsidRPr="00686682">
        <w:rPr>
          <w:sz w:val="22"/>
          <w:szCs w:val="22"/>
        </w:rPr>
        <w:t>Opis procesu tworzenia partnerstwa</w:t>
      </w:r>
      <w:r w:rsidR="002F2F97">
        <w:rPr>
          <w:sz w:val="22"/>
          <w:szCs w:val="22"/>
        </w:rPr>
        <w:t xml:space="preserve"> i doświadczenie</w:t>
      </w:r>
      <w:bookmarkEnd w:id="4"/>
    </w:p>
    <w:p w14:paraId="0BA0474B" w14:textId="2E96B944" w:rsidR="00975DC8" w:rsidRDefault="00975DC8" w:rsidP="00975DC8">
      <w:pPr>
        <w:spacing w:after="0" w:line="276" w:lineRule="auto"/>
        <w:ind w:firstLine="709"/>
        <w:jc w:val="both"/>
        <w:rPr>
          <w:rFonts w:ascii="Times New Roman" w:hAnsi="Times New Roman" w:cs="Times New Roman"/>
          <w:color w:val="000000" w:themeColor="text1"/>
        </w:rPr>
      </w:pPr>
      <w:r w:rsidRPr="00975DC8">
        <w:rPr>
          <w:rFonts w:ascii="Times New Roman" w:hAnsi="Times New Roman" w:cs="Times New Roman"/>
          <w:color w:val="000000" w:themeColor="text1"/>
        </w:rPr>
        <w:t>B</w:t>
      </w:r>
      <w:r>
        <w:rPr>
          <w:rFonts w:ascii="Times New Roman" w:hAnsi="Times New Roman" w:cs="Times New Roman"/>
          <w:color w:val="000000" w:themeColor="text1"/>
        </w:rPr>
        <w:t xml:space="preserve">ialskopodlaska </w:t>
      </w:r>
      <w:r w:rsidRPr="00975DC8">
        <w:rPr>
          <w:rFonts w:ascii="Times New Roman" w:hAnsi="Times New Roman" w:cs="Times New Roman"/>
          <w:color w:val="000000" w:themeColor="text1"/>
        </w:rPr>
        <w:t>L</w:t>
      </w:r>
      <w:r>
        <w:rPr>
          <w:rFonts w:ascii="Times New Roman" w:hAnsi="Times New Roman" w:cs="Times New Roman"/>
          <w:color w:val="000000" w:themeColor="text1"/>
        </w:rPr>
        <w:t xml:space="preserve">okalna </w:t>
      </w:r>
      <w:r w:rsidRPr="00975DC8">
        <w:rPr>
          <w:rFonts w:ascii="Times New Roman" w:hAnsi="Times New Roman" w:cs="Times New Roman"/>
          <w:color w:val="000000" w:themeColor="text1"/>
        </w:rPr>
        <w:t>G</w:t>
      </w:r>
      <w:r>
        <w:rPr>
          <w:rFonts w:ascii="Times New Roman" w:hAnsi="Times New Roman" w:cs="Times New Roman"/>
          <w:color w:val="000000" w:themeColor="text1"/>
        </w:rPr>
        <w:t xml:space="preserve">rupa </w:t>
      </w:r>
      <w:r w:rsidRPr="00975DC8">
        <w:rPr>
          <w:rFonts w:ascii="Times New Roman" w:hAnsi="Times New Roman" w:cs="Times New Roman"/>
          <w:color w:val="000000" w:themeColor="text1"/>
        </w:rPr>
        <w:t>D</w:t>
      </w:r>
      <w:r>
        <w:rPr>
          <w:rFonts w:ascii="Times New Roman" w:hAnsi="Times New Roman" w:cs="Times New Roman"/>
          <w:color w:val="000000" w:themeColor="text1"/>
        </w:rPr>
        <w:t>ziałania</w:t>
      </w:r>
      <w:r w:rsidRPr="00975D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(BLGD) </w:t>
      </w:r>
      <w:r w:rsidRPr="00975DC8">
        <w:rPr>
          <w:rFonts w:ascii="Times New Roman" w:hAnsi="Times New Roman" w:cs="Times New Roman"/>
          <w:color w:val="000000" w:themeColor="text1"/>
        </w:rPr>
        <w:t>powstała z inicjatywy stowarzyszenia Integracyjne Centrum Edukacji i Kultury, które zainicjowało na terenie powiatu bialskiego przygotowani</w:t>
      </w:r>
      <w:r>
        <w:rPr>
          <w:rFonts w:ascii="Times New Roman" w:hAnsi="Times New Roman" w:cs="Times New Roman"/>
          <w:color w:val="000000" w:themeColor="text1"/>
        </w:rPr>
        <w:t>e</w:t>
      </w:r>
      <w:r w:rsidRPr="00975DC8">
        <w:rPr>
          <w:rFonts w:ascii="Times New Roman" w:hAnsi="Times New Roman" w:cs="Times New Roman"/>
          <w:color w:val="000000" w:themeColor="text1"/>
        </w:rPr>
        <w:t xml:space="preserve"> oraz wdrażani</w:t>
      </w:r>
      <w:r>
        <w:rPr>
          <w:rFonts w:ascii="Times New Roman" w:hAnsi="Times New Roman" w:cs="Times New Roman"/>
          <w:color w:val="000000" w:themeColor="text1"/>
        </w:rPr>
        <w:t>e</w:t>
      </w:r>
      <w:r w:rsidRPr="00975DC8">
        <w:rPr>
          <w:rFonts w:ascii="Times New Roman" w:hAnsi="Times New Roman" w:cs="Times New Roman"/>
          <w:color w:val="000000" w:themeColor="text1"/>
        </w:rPr>
        <w:t xml:space="preserve"> Schematu I </w:t>
      </w:r>
      <w:r w:rsidRPr="00D50D25">
        <w:rPr>
          <w:rFonts w:ascii="Times New Roman" w:hAnsi="Times New Roman" w:cs="Times New Roman"/>
          <w:i/>
          <w:iCs/>
          <w:color w:val="000000" w:themeColor="text1"/>
        </w:rPr>
        <w:t>Pilotażowy Program Leader+</w:t>
      </w:r>
      <w:r>
        <w:rPr>
          <w:rFonts w:ascii="Times New Roman" w:hAnsi="Times New Roman" w:cs="Times New Roman"/>
          <w:i/>
          <w:iCs/>
          <w:color w:val="000000" w:themeColor="text1"/>
        </w:rPr>
        <w:t xml:space="preserve">. </w:t>
      </w:r>
      <w:r w:rsidRPr="00975DC8">
        <w:rPr>
          <w:rFonts w:ascii="Times New Roman" w:hAnsi="Times New Roman" w:cs="Times New Roman"/>
          <w:color w:val="000000" w:themeColor="text1"/>
        </w:rPr>
        <w:t xml:space="preserve">Celem utworzenia BLGD były działania na rzecz rozwoju obszarów wiejskich oraz małych miast, a także aktywizacja mieszkańców obszaru objętego LSR. Do Krajowego Rejestru Sądowego Stowarzyszenie BLGD zostało wpisane w dniu 12.06.2006 r. pod numerem KRS 0000258796. </w:t>
      </w:r>
    </w:p>
    <w:p w14:paraId="0F600E84" w14:textId="1E2511E1" w:rsidR="00975DC8" w:rsidRPr="00975DC8" w:rsidRDefault="00C907C9" w:rsidP="00975DC8">
      <w:pPr>
        <w:spacing w:after="0" w:line="276" w:lineRule="auto"/>
        <w:ind w:firstLine="709"/>
        <w:jc w:val="both"/>
        <w:rPr>
          <w:rFonts w:ascii="Times New Roman" w:hAnsi="Times New Roman" w:cs="Times New Roman"/>
          <w:color w:val="000000" w:themeColor="text1"/>
        </w:rPr>
      </w:pPr>
      <w:r w:rsidRPr="004444FD">
        <w:rPr>
          <w:rFonts w:ascii="Times New Roman" w:hAnsi="Times New Roman" w:cs="Times New Roman"/>
          <w:color w:val="000000" w:themeColor="text1"/>
        </w:rPr>
        <w:t>Członkowie LGD posiadają niezbędne doświadczenie oraz</w:t>
      </w:r>
      <w:r>
        <w:rPr>
          <w:rFonts w:ascii="Times New Roman" w:hAnsi="Times New Roman" w:cs="Times New Roman"/>
          <w:color w:val="000000" w:themeColor="text1"/>
        </w:rPr>
        <w:t xml:space="preserve"> </w:t>
      </w:r>
      <w:r w:rsidRPr="004444FD">
        <w:rPr>
          <w:rFonts w:ascii="Times New Roman" w:hAnsi="Times New Roman" w:cs="Times New Roman"/>
          <w:color w:val="000000" w:themeColor="text1"/>
        </w:rPr>
        <w:t>wiedzę w zakresie zarządzania oraz realizacji operacji w ramach LSR. Od początku swojej</w:t>
      </w:r>
      <w:r>
        <w:rPr>
          <w:rFonts w:ascii="Times New Roman" w:hAnsi="Times New Roman" w:cs="Times New Roman"/>
          <w:color w:val="000000" w:themeColor="text1"/>
        </w:rPr>
        <w:t xml:space="preserve"> </w:t>
      </w:r>
      <w:r w:rsidRPr="004444FD">
        <w:rPr>
          <w:rFonts w:ascii="Times New Roman" w:hAnsi="Times New Roman" w:cs="Times New Roman"/>
          <w:color w:val="000000" w:themeColor="text1"/>
        </w:rPr>
        <w:t>działalności LGD brał</w:t>
      </w:r>
      <w:r>
        <w:rPr>
          <w:rFonts w:ascii="Times New Roman" w:hAnsi="Times New Roman" w:cs="Times New Roman"/>
          <w:color w:val="000000" w:themeColor="text1"/>
        </w:rPr>
        <w:t>o</w:t>
      </w:r>
      <w:r w:rsidRPr="004444FD">
        <w:rPr>
          <w:rFonts w:ascii="Times New Roman" w:hAnsi="Times New Roman" w:cs="Times New Roman"/>
          <w:color w:val="000000" w:themeColor="text1"/>
        </w:rPr>
        <w:t xml:space="preserve"> czynny udział</w:t>
      </w:r>
      <w:r>
        <w:rPr>
          <w:rFonts w:ascii="Times New Roman" w:hAnsi="Times New Roman" w:cs="Times New Roman"/>
          <w:color w:val="000000" w:themeColor="text1"/>
        </w:rPr>
        <w:t xml:space="preserve"> </w:t>
      </w:r>
      <w:r w:rsidRPr="004444FD">
        <w:rPr>
          <w:rFonts w:ascii="Times New Roman" w:hAnsi="Times New Roman" w:cs="Times New Roman"/>
          <w:color w:val="000000" w:themeColor="text1"/>
        </w:rPr>
        <w:t>w życiu społecznym regionu, realizując liczne projekty na obszarze swojego działania</w:t>
      </w:r>
      <w:r>
        <w:rPr>
          <w:rFonts w:ascii="Times New Roman" w:hAnsi="Times New Roman" w:cs="Times New Roman"/>
          <w:color w:val="000000" w:themeColor="text1"/>
        </w:rPr>
        <w:t xml:space="preserve">. </w:t>
      </w:r>
      <w:r w:rsidR="00975DC8" w:rsidRPr="00975DC8">
        <w:rPr>
          <w:rFonts w:ascii="Times New Roman" w:hAnsi="Times New Roman" w:cs="Times New Roman"/>
          <w:color w:val="000000" w:themeColor="text1"/>
        </w:rPr>
        <w:t>BLGD w latach 2006</w:t>
      </w:r>
      <w:r w:rsidR="00975DC8">
        <w:rPr>
          <w:rFonts w:ascii="Times New Roman" w:hAnsi="Times New Roman" w:cs="Times New Roman"/>
          <w:color w:val="000000" w:themeColor="text1"/>
        </w:rPr>
        <w:t>–</w:t>
      </w:r>
      <w:r w:rsidR="00975DC8" w:rsidRPr="00975DC8">
        <w:rPr>
          <w:rFonts w:ascii="Times New Roman" w:hAnsi="Times New Roman" w:cs="Times New Roman"/>
          <w:color w:val="000000" w:themeColor="text1"/>
        </w:rPr>
        <w:t>2008 zrealizowała projekt w ramach S</w:t>
      </w:r>
      <w:r w:rsidR="00975DC8">
        <w:rPr>
          <w:rFonts w:ascii="Times New Roman" w:hAnsi="Times New Roman" w:cs="Times New Roman"/>
          <w:color w:val="000000" w:themeColor="text1"/>
        </w:rPr>
        <w:t xml:space="preserve">ektorowego </w:t>
      </w:r>
      <w:r w:rsidR="00975DC8" w:rsidRPr="00975DC8">
        <w:rPr>
          <w:rFonts w:ascii="Times New Roman" w:hAnsi="Times New Roman" w:cs="Times New Roman"/>
          <w:color w:val="000000" w:themeColor="text1"/>
        </w:rPr>
        <w:t>P</w:t>
      </w:r>
      <w:r w:rsidR="00975DC8">
        <w:rPr>
          <w:rFonts w:ascii="Times New Roman" w:hAnsi="Times New Roman" w:cs="Times New Roman"/>
          <w:color w:val="000000" w:themeColor="text1"/>
        </w:rPr>
        <w:t xml:space="preserve">rogramu </w:t>
      </w:r>
      <w:r w:rsidR="00975DC8" w:rsidRPr="00975DC8">
        <w:rPr>
          <w:rFonts w:ascii="Times New Roman" w:hAnsi="Times New Roman" w:cs="Times New Roman"/>
          <w:color w:val="000000" w:themeColor="text1"/>
        </w:rPr>
        <w:t>O</w:t>
      </w:r>
      <w:r w:rsidR="00975DC8">
        <w:rPr>
          <w:rFonts w:ascii="Times New Roman" w:hAnsi="Times New Roman" w:cs="Times New Roman"/>
          <w:color w:val="000000" w:themeColor="text1"/>
        </w:rPr>
        <w:t>peracyjnego</w:t>
      </w:r>
      <w:r w:rsidR="00975DC8" w:rsidRPr="00975DC8">
        <w:rPr>
          <w:rFonts w:ascii="Times New Roman" w:hAnsi="Times New Roman" w:cs="Times New Roman"/>
          <w:color w:val="000000" w:themeColor="text1"/>
        </w:rPr>
        <w:t xml:space="preserve"> 2004</w:t>
      </w:r>
      <w:r w:rsidR="00975DC8">
        <w:rPr>
          <w:rFonts w:ascii="Times New Roman" w:hAnsi="Times New Roman" w:cs="Times New Roman"/>
          <w:color w:val="000000" w:themeColor="text1"/>
        </w:rPr>
        <w:t>–</w:t>
      </w:r>
      <w:r w:rsidR="00975DC8" w:rsidRPr="00975DC8">
        <w:rPr>
          <w:rFonts w:ascii="Times New Roman" w:hAnsi="Times New Roman" w:cs="Times New Roman"/>
          <w:color w:val="000000" w:themeColor="text1"/>
        </w:rPr>
        <w:t xml:space="preserve">2006, </w:t>
      </w:r>
      <w:r w:rsidR="00975DC8">
        <w:rPr>
          <w:rFonts w:ascii="Times New Roman" w:hAnsi="Times New Roman" w:cs="Times New Roman"/>
          <w:color w:val="000000" w:themeColor="text1"/>
        </w:rPr>
        <w:t>D</w:t>
      </w:r>
      <w:r w:rsidR="00975DC8" w:rsidRPr="00D50D25">
        <w:rPr>
          <w:rFonts w:ascii="Times New Roman" w:hAnsi="Times New Roman" w:cs="Times New Roman"/>
          <w:color w:val="000000" w:themeColor="text1"/>
        </w:rPr>
        <w:t xml:space="preserve">ziałania 2.7 </w:t>
      </w:r>
      <w:r w:rsidR="00975DC8" w:rsidRPr="00D50D25">
        <w:rPr>
          <w:rFonts w:ascii="Times New Roman" w:hAnsi="Times New Roman" w:cs="Times New Roman"/>
          <w:i/>
          <w:iCs/>
          <w:color w:val="000000" w:themeColor="text1"/>
        </w:rPr>
        <w:t>Pilotażowy Program Leader+</w:t>
      </w:r>
      <w:r w:rsidR="00975DC8" w:rsidRPr="00975DC8">
        <w:rPr>
          <w:rFonts w:ascii="Times New Roman" w:hAnsi="Times New Roman" w:cs="Times New Roman"/>
          <w:color w:val="000000" w:themeColor="text1"/>
        </w:rPr>
        <w:t xml:space="preserve">, pod nazwą </w:t>
      </w:r>
      <w:r w:rsidR="00975DC8" w:rsidRPr="0001367D">
        <w:rPr>
          <w:rFonts w:ascii="Times New Roman" w:hAnsi="Times New Roman" w:cs="Times New Roman"/>
          <w:i/>
          <w:iCs/>
          <w:color w:val="000000" w:themeColor="text1"/>
        </w:rPr>
        <w:t>Lokalne inicjatywy na rzecz rozwoju obszarów</w:t>
      </w:r>
      <w:r>
        <w:rPr>
          <w:rFonts w:ascii="Times New Roman" w:hAnsi="Times New Roman" w:cs="Times New Roman"/>
          <w:i/>
          <w:iCs/>
          <w:color w:val="000000" w:themeColor="text1"/>
        </w:rPr>
        <w:t xml:space="preserve"> </w:t>
      </w:r>
      <w:r w:rsidR="00975DC8" w:rsidRPr="0001367D">
        <w:rPr>
          <w:rFonts w:ascii="Times New Roman" w:hAnsi="Times New Roman" w:cs="Times New Roman"/>
          <w:i/>
          <w:iCs/>
          <w:color w:val="000000" w:themeColor="text1"/>
        </w:rPr>
        <w:t>wiejskich w powiecie bialskim</w:t>
      </w:r>
      <w:r w:rsidR="00975DC8" w:rsidRPr="00975DC8">
        <w:rPr>
          <w:rFonts w:ascii="Times New Roman" w:hAnsi="Times New Roman" w:cs="Times New Roman"/>
          <w:color w:val="000000" w:themeColor="text1"/>
        </w:rPr>
        <w:t xml:space="preserve">. Projekt </w:t>
      </w:r>
      <w:r w:rsidR="0001367D">
        <w:rPr>
          <w:rFonts w:ascii="Times New Roman" w:hAnsi="Times New Roman" w:cs="Times New Roman"/>
          <w:color w:val="000000" w:themeColor="text1"/>
        </w:rPr>
        <w:t>był</w:t>
      </w:r>
      <w:r w:rsidR="00975DC8" w:rsidRPr="00975DC8">
        <w:rPr>
          <w:rFonts w:ascii="Times New Roman" w:hAnsi="Times New Roman" w:cs="Times New Roman"/>
          <w:color w:val="000000" w:themeColor="text1"/>
        </w:rPr>
        <w:t xml:space="preserve"> realizowany w terminie od 15.02.2007 r. do 30.03.2008 r. na łączną kwotę pomocy: 491 625 zł.</w:t>
      </w:r>
    </w:p>
    <w:p w14:paraId="73199EEA" w14:textId="09E36C78" w:rsidR="00975DC8" w:rsidRPr="00975DC8" w:rsidRDefault="00975DC8" w:rsidP="00975DC8">
      <w:pPr>
        <w:spacing w:after="0" w:line="276" w:lineRule="auto"/>
        <w:ind w:firstLine="709"/>
        <w:jc w:val="both"/>
        <w:rPr>
          <w:rFonts w:ascii="Times New Roman" w:hAnsi="Times New Roman" w:cs="Times New Roman"/>
          <w:color w:val="000000" w:themeColor="text1"/>
        </w:rPr>
      </w:pPr>
      <w:r w:rsidRPr="00975DC8">
        <w:rPr>
          <w:rFonts w:ascii="Times New Roman" w:hAnsi="Times New Roman" w:cs="Times New Roman"/>
          <w:color w:val="000000" w:themeColor="text1"/>
        </w:rPr>
        <w:t xml:space="preserve">W ramach projektu zostały zrealizowane seminaria, szkolenia, warsztaty i konkursy. Projekt był ukierunkowany na aktywizację społeczności lokalnej. Dzięki projektowi lokalna społeczność potrafi decydować </w:t>
      </w:r>
      <w:r w:rsidR="0001367D">
        <w:rPr>
          <w:rFonts w:ascii="Times New Roman" w:hAnsi="Times New Roman" w:cs="Times New Roman"/>
          <w:color w:val="000000" w:themeColor="text1"/>
        </w:rPr>
        <w:br/>
      </w:r>
      <w:r w:rsidRPr="00975DC8">
        <w:rPr>
          <w:rFonts w:ascii="Times New Roman" w:hAnsi="Times New Roman" w:cs="Times New Roman"/>
          <w:color w:val="000000" w:themeColor="text1"/>
        </w:rPr>
        <w:t>o kierunk</w:t>
      </w:r>
      <w:r w:rsidR="0001367D">
        <w:rPr>
          <w:rFonts w:ascii="Times New Roman" w:hAnsi="Times New Roman" w:cs="Times New Roman"/>
          <w:color w:val="000000" w:themeColor="text1"/>
        </w:rPr>
        <w:t>ach</w:t>
      </w:r>
      <w:r w:rsidRPr="00975DC8">
        <w:rPr>
          <w:rFonts w:ascii="Times New Roman" w:hAnsi="Times New Roman" w:cs="Times New Roman"/>
          <w:color w:val="000000" w:themeColor="text1"/>
        </w:rPr>
        <w:t xml:space="preserve"> rozwoju swojego obszaru. Projekt uświadomił mieszkańcom, jak duży mają wpływ na wszelkie przemiany oraz nauczył ich współpracy z przedstawicielami władzy publicznej oraz przedsiębiorcami działającymi na terenie BLGD.</w:t>
      </w:r>
    </w:p>
    <w:p w14:paraId="38F2635B" w14:textId="0F2BB8E3" w:rsidR="00975DC8" w:rsidRPr="00975DC8" w:rsidRDefault="00975DC8" w:rsidP="00485640">
      <w:pPr>
        <w:spacing w:after="0" w:line="276" w:lineRule="auto"/>
        <w:ind w:firstLine="709"/>
        <w:jc w:val="both"/>
        <w:rPr>
          <w:rFonts w:ascii="Times New Roman" w:hAnsi="Times New Roman" w:cs="Times New Roman"/>
          <w:color w:val="000000" w:themeColor="text1"/>
        </w:rPr>
      </w:pPr>
      <w:r w:rsidRPr="00975DC8">
        <w:rPr>
          <w:rFonts w:ascii="Times New Roman" w:hAnsi="Times New Roman" w:cs="Times New Roman"/>
          <w:color w:val="000000" w:themeColor="text1"/>
        </w:rPr>
        <w:t>W okresie programowania 2007</w:t>
      </w:r>
      <w:r w:rsidR="0001367D">
        <w:rPr>
          <w:rFonts w:ascii="Times New Roman" w:hAnsi="Times New Roman" w:cs="Times New Roman"/>
          <w:color w:val="000000" w:themeColor="text1"/>
        </w:rPr>
        <w:t>–</w:t>
      </w:r>
      <w:r w:rsidRPr="00975DC8">
        <w:rPr>
          <w:rFonts w:ascii="Times New Roman" w:hAnsi="Times New Roman" w:cs="Times New Roman"/>
          <w:color w:val="000000" w:themeColor="text1"/>
        </w:rPr>
        <w:t>2013 BLGD zrealizowała</w:t>
      </w:r>
      <w:r w:rsidR="0001367D">
        <w:rPr>
          <w:rFonts w:ascii="Times New Roman" w:hAnsi="Times New Roman" w:cs="Times New Roman"/>
          <w:color w:val="000000" w:themeColor="text1"/>
        </w:rPr>
        <w:t xml:space="preserve"> </w:t>
      </w:r>
      <w:r w:rsidR="0001367D" w:rsidRPr="0001367D">
        <w:rPr>
          <w:rFonts w:ascii="Times New Roman" w:hAnsi="Times New Roman" w:cs="Times New Roman"/>
          <w:i/>
          <w:iCs/>
          <w:color w:val="000000" w:themeColor="text1"/>
        </w:rPr>
        <w:t>Lokalną Strategię Rozwoju na lata 2007–2013</w:t>
      </w:r>
      <w:r w:rsidRPr="00975DC8">
        <w:rPr>
          <w:rFonts w:ascii="Times New Roman" w:hAnsi="Times New Roman" w:cs="Times New Roman"/>
          <w:color w:val="000000" w:themeColor="text1"/>
        </w:rPr>
        <w:t xml:space="preserve"> na podstawie umowy o warunkach i sposobie realizacji LSR w ramach podejścia </w:t>
      </w:r>
      <w:r w:rsidR="000E7A3B">
        <w:rPr>
          <w:rFonts w:ascii="Times New Roman" w:hAnsi="Times New Roman" w:cs="Times New Roman"/>
          <w:color w:val="000000" w:themeColor="text1"/>
        </w:rPr>
        <w:t>LEADER</w:t>
      </w:r>
      <w:r w:rsidRPr="00975DC8">
        <w:rPr>
          <w:rFonts w:ascii="Times New Roman" w:hAnsi="Times New Roman" w:cs="Times New Roman"/>
          <w:color w:val="000000" w:themeColor="text1"/>
        </w:rPr>
        <w:t>/</w:t>
      </w:r>
      <w:r w:rsidR="0001367D">
        <w:rPr>
          <w:rFonts w:ascii="Times New Roman" w:hAnsi="Times New Roman" w:cs="Times New Roman"/>
          <w:color w:val="000000" w:themeColor="text1"/>
        </w:rPr>
        <w:t>OŚ</w:t>
      </w:r>
      <w:r w:rsidRPr="00975DC8">
        <w:rPr>
          <w:rFonts w:ascii="Times New Roman" w:hAnsi="Times New Roman" w:cs="Times New Roman"/>
          <w:color w:val="000000" w:themeColor="text1"/>
        </w:rPr>
        <w:t xml:space="preserve"> 4</w:t>
      </w:r>
      <w:r w:rsidR="0001367D">
        <w:rPr>
          <w:rFonts w:ascii="Times New Roman" w:hAnsi="Times New Roman" w:cs="Times New Roman"/>
          <w:color w:val="000000" w:themeColor="text1"/>
        </w:rPr>
        <w:t xml:space="preserve">. </w:t>
      </w:r>
      <w:r w:rsidRPr="00975DC8">
        <w:rPr>
          <w:rFonts w:ascii="Times New Roman" w:hAnsi="Times New Roman" w:cs="Times New Roman"/>
          <w:color w:val="000000" w:themeColor="text1"/>
        </w:rPr>
        <w:t xml:space="preserve">Głównym celem takiego podejścia było wydatkowanie środków finansowych bezpośrednio przez mieszkańców wsi i obszarów wiejskich. Oprócz realizacji LSR, </w:t>
      </w:r>
      <w:r w:rsidR="0001367D">
        <w:rPr>
          <w:rFonts w:ascii="Times New Roman" w:hAnsi="Times New Roman" w:cs="Times New Roman"/>
          <w:color w:val="000000" w:themeColor="text1"/>
        </w:rPr>
        <w:t>Stowarzyszenie</w:t>
      </w:r>
      <w:r w:rsidRPr="00975DC8">
        <w:rPr>
          <w:rFonts w:ascii="Times New Roman" w:hAnsi="Times New Roman" w:cs="Times New Roman"/>
          <w:color w:val="000000" w:themeColor="text1"/>
        </w:rPr>
        <w:t xml:space="preserve"> aktywizował</w:t>
      </w:r>
      <w:r w:rsidR="0001367D">
        <w:rPr>
          <w:rFonts w:ascii="Times New Roman" w:hAnsi="Times New Roman" w:cs="Times New Roman"/>
          <w:color w:val="000000" w:themeColor="text1"/>
        </w:rPr>
        <w:t>o</w:t>
      </w:r>
      <w:r w:rsidRPr="00975DC8">
        <w:rPr>
          <w:rFonts w:ascii="Times New Roman" w:hAnsi="Times New Roman" w:cs="Times New Roman"/>
          <w:color w:val="000000" w:themeColor="text1"/>
        </w:rPr>
        <w:t xml:space="preserve"> i zwiększał</w:t>
      </w:r>
      <w:r w:rsidR="0001367D">
        <w:rPr>
          <w:rFonts w:ascii="Times New Roman" w:hAnsi="Times New Roman" w:cs="Times New Roman"/>
          <w:color w:val="000000" w:themeColor="text1"/>
        </w:rPr>
        <w:t>o</w:t>
      </w:r>
      <w:r w:rsidRPr="00975DC8">
        <w:rPr>
          <w:rFonts w:ascii="Times New Roman" w:hAnsi="Times New Roman" w:cs="Times New Roman"/>
          <w:color w:val="000000" w:themeColor="text1"/>
        </w:rPr>
        <w:t xml:space="preserve"> nabywanie umiejętności mieszkańców obszaru objętego LSR, a także zrealizował</w:t>
      </w:r>
      <w:r w:rsidR="0001367D">
        <w:rPr>
          <w:rFonts w:ascii="Times New Roman" w:hAnsi="Times New Roman" w:cs="Times New Roman"/>
          <w:color w:val="000000" w:themeColor="text1"/>
        </w:rPr>
        <w:t>o</w:t>
      </w:r>
      <w:r w:rsidRPr="00975DC8">
        <w:rPr>
          <w:rFonts w:ascii="Times New Roman" w:hAnsi="Times New Roman" w:cs="Times New Roman"/>
          <w:color w:val="000000" w:themeColor="text1"/>
        </w:rPr>
        <w:t xml:space="preserve"> </w:t>
      </w:r>
      <w:r w:rsidR="00485640">
        <w:rPr>
          <w:rFonts w:ascii="Times New Roman" w:hAnsi="Times New Roman" w:cs="Times New Roman"/>
          <w:color w:val="000000" w:themeColor="text1"/>
        </w:rPr>
        <w:t xml:space="preserve">projekt </w:t>
      </w:r>
      <w:r w:rsidR="0001367D">
        <w:rPr>
          <w:rFonts w:ascii="Times New Roman" w:hAnsi="Times New Roman" w:cs="Times New Roman"/>
          <w:color w:val="000000" w:themeColor="text1"/>
        </w:rPr>
        <w:t>W</w:t>
      </w:r>
      <w:r w:rsidRPr="00975DC8">
        <w:rPr>
          <w:rFonts w:ascii="Times New Roman" w:hAnsi="Times New Roman" w:cs="Times New Roman"/>
          <w:color w:val="000000" w:themeColor="text1"/>
        </w:rPr>
        <w:t>spółpracy Międzynarodowej</w:t>
      </w:r>
      <w:r w:rsidR="0001367D">
        <w:rPr>
          <w:rFonts w:ascii="Times New Roman" w:hAnsi="Times New Roman" w:cs="Times New Roman"/>
          <w:color w:val="000000" w:themeColor="text1"/>
        </w:rPr>
        <w:t xml:space="preserve"> pn. </w:t>
      </w:r>
      <w:r w:rsidR="0001367D" w:rsidRPr="0001367D">
        <w:rPr>
          <w:rFonts w:ascii="Times New Roman" w:hAnsi="Times New Roman" w:cs="Times New Roman"/>
          <w:i/>
          <w:iCs/>
          <w:color w:val="000000" w:themeColor="text1"/>
        </w:rPr>
        <w:t>Turystyka – Ekologia – Aktywność</w:t>
      </w:r>
      <w:r w:rsidR="0001367D">
        <w:rPr>
          <w:rFonts w:ascii="Times New Roman" w:hAnsi="Times New Roman" w:cs="Times New Roman"/>
          <w:i/>
          <w:iCs/>
          <w:color w:val="000000" w:themeColor="text1"/>
        </w:rPr>
        <w:t xml:space="preserve"> </w:t>
      </w:r>
      <w:r w:rsidR="0001367D" w:rsidRPr="0001367D">
        <w:rPr>
          <w:rFonts w:ascii="Times New Roman" w:hAnsi="Times New Roman" w:cs="Times New Roman"/>
          <w:i/>
          <w:iCs/>
          <w:color w:val="000000" w:themeColor="text1"/>
        </w:rPr>
        <w:t>– Zarządzanie (TEAM</w:t>
      </w:r>
      <w:r w:rsidR="00485640">
        <w:rPr>
          <w:rFonts w:ascii="Times New Roman" w:hAnsi="Times New Roman" w:cs="Times New Roman"/>
          <w:i/>
          <w:iCs/>
          <w:color w:val="000000" w:themeColor="text1"/>
        </w:rPr>
        <w:t xml:space="preserve">, </w:t>
      </w:r>
      <w:r w:rsidR="00485640">
        <w:rPr>
          <w:rFonts w:ascii="Times New Roman" w:hAnsi="Times New Roman" w:cs="Times New Roman"/>
          <w:color w:val="000000" w:themeColor="text1"/>
        </w:rPr>
        <w:t>który</w:t>
      </w:r>
      <w:r w:rsidRPr="00975DC8">
        <w:rPr>
          <w:rFonts w:ascii="Times New Roman" w:hAnsi="Times New Roman" w:cs="Times New Roman"/>
          <w:color w:val="000000" w:themeColor="text1"/>
        </w:rPr>
        <w:t xml:space="preserve"> był realizowany przez 3 partnerów: Leader Westhoek (Belgia), Leader Tielt</w:t>
      </w:r>
      <w:r w:rsidR="000A6145">
        <w:rPr>
          <w:rFonts w:ascii="Times New Roman" w:hAnsi="Times New Roman" w:cs="Times New Roman"/>
          <w:color w:val="000000" w:themeColor="text1"/>
        </w:rPr>
        <w:t xml:space="preserve"> – </w:t>
      </w:r>
      <w:r w:rsidRPr="00975DC8">
        <w:rPr>
          <w:rFonts w:ascii="Times New Roman" w:hAnsi="Times New Roman" w:cs="Times New Roman"/>
          <w:color w:val="000000" w:themeColor="text1"/>
        </w:rPr>
        <w:t>Plateau (Belgia) oraz BLGD. Projekt był realizowany w ramach PROW 2007</w:t>
      </w:r>
      <w:r w:rsidR="0001367D">
        <w:rPr>
          <w:rFonts w:ascii="Times New Roman" w:hAnsi="Times New Roman" w:cs="Times New Roman"/>
          <w:color w:val="000000" w:themeColor="text1"/>
        </w:rPr>
        <w:t>–</w:t>
      </w:r>
      <w:r w:rsidRPr="00975DC8">
        <w:rPr>
          <w:rFonts w:ascii="Times New Roman" w:hAnsi="Times New Roman" w:cs="Times New Roman"/>
          <w:color w:val="000000" w:themeColor="text1"/>
        </w:rPr>
        <w:t>2013 (Oś 4 PROW – Program LEADER, Działanie 4.21</w:t>
      </w:r>
      <w:r w:rsidR="0001367D">
        <w:rPr>
          <w:rFonts w:ascii="Times New Roman" w:hAnsi="Times New Roman" w:cs="Times New Roman"/>
          <w:color w:val="000000" w:themeColor="text1"/>
        </w:rPr>
        <w:t xml:space="preserve">). </w:t>
      </w:r>
      <w:r w:rsidRPr="00975DC8">
        <w:rPr>
          <w:rFonts w:ascii="Times New Roman" w:hAnsi="Times New Roman" w:cs="Times New Roman"/>
          <w:color w:val="000000" w:themeColor="text1"/>
        </w:rPr>
        <w:t>W ramach projektu, poprzez wyjazdy studyjne do Belgii</w:t>
      </w:r>
      <w:r w:rsidR="000E7A3B">
        <w:rPr>
          <w:rFonts w:ascii="Times New Roman" w:hAnsi="Times New Roman" w:cs="Times New Roman"/>
          <w:color w:val="000000" w:themeColor="text1"/>
        </w:rPr>
        <w:t>,</w:t>
      </w:r>
      <w:r w:rsidRPr="00975DC8">
        <w:rPr>
          <w:rFonts w:ascii="Times New Roman" w:hAnsi="Times New Roman" w:cs="Times New Roman"/>
          <w:color w:val="000000" w:themeColor="text1"/>
        </w:rPr>
        <w:t xml:space="preserve"> przedstawiciele BLGD </w:t>
      </w:r>
      <w:r w:rsidR="0001367D">
        <w:rPr>
          <w:rFonts w:ascii="Times New Roman" w:hAnsi="Times New Roman" w:cs="Times New Roman"/>
          <w:color w:val="000000" w:themeColor="text1"/>
        </w:rPr>
        <w:t>zdobyli doświadczenie w zakresi</w:t>
      </w:r>
      <w:r w:rsidR="000A6145">
        <w:rPr>
          <w:rFonts w:ascii="Times New Roman" w:hAnsi="Times New Roman" w:cs="Times New Roman"/>
          <w:color w:val="000000" w:themeColor="text1"/>
        </w:rPr>
        <w:t xml:space="preserve">e rozwoju turystyki oraz podejmowania nowych form współpracy między organizacjami pozarządowymi </w:t>
      </w:r>
      <w:r w:rsidR="00885C1E">
        <w:rPr>
          <w:rFonts w:ascii="Times New Roman" w:hAnsi="Times New Roman" w:cs="Times New Roman"/>
          <w:color w:val="000000" w:themeColor="text1"/>
        </w:rPr>
        <w:t xml:space="preserve">a </w:t>
      </w:r>
      <w:r w:rsidR="000A6145">
        <w:rPr>
          <w:rFonts w:ascii="Times New Roman" w:hAnsi="Times New Roman" w:cs="Times New Roman"/>
          <w:color w:val="000000" w:themeColor="text1"/>
        </w:rPr>
        <w:t>samorządem i biznesem.</w:t>
      </w:r>
      <w:r w:rsidRPr="00975DC8">
        <w:rPr>
          <w:rFonts w:ascii="Times New Roman" w:hAnsi="Times New Roman" w:cs="Times New Roman"/>
          <w:color w:val="000000" w:themeColor="text1"/>
        </w:rPr>
        <w:t xml:space="preserve"> </w:t>
      </w:r>
      <w:r w:rsidR="00885C1E">
        <w:rPr>
          <w:rFonts w:ascii="Times New Roman" w:hAnsi="Times New Roman" w:cs="Times New Roman"/>
          <w:color w:val="000000" w:themeColor="text1"/>
        </w:rPr>
        <w:t xml:space="preserve">Z założeniami projektu oraz ze zdobytą wiedzą uczestniczy wyjazdów zapoznali </w:t>
      </w:r>
      <w:r w:rsidRPr="00975DC8">
        <w:rPr>
          <w:rFonts w:ascii="Times New Roman" w:hAnsi="Times New Roman" w:cs="Times New Roman"/>
          <w:color w:val="000000" w:themeColor="text1"/>
        </w:rPr>
        <w:t>różn</w:t>
      </w:r>
      <w:r w:rsidR="00885C1E">
        <w:rPr>
          <w:rFonts w:ascii="Times New Roman" w:hAnsi="Times New Roman" w:cs="Times New Roman"/>
          <w:color w:val="000000" w:themeColor="text1"/>
        </w:rPr>
        <w:t>e</w:t>
      </w:r>
      <w:r w:rsidRPr="00975DC8">
        <w:rPr>
          <w:rFonts w:ascii="Times New Roman" w:hAnsi="Times New Roman" w:cs="Times New Roman"/>
          <w:color w:val="000000" w:themeColor="text1"/>
        </w:rPr>
        <w:t xml:space="preserve"> </w:t>
      </w:r>
      <w:r w:rsidR="0001367D">
        <w:rPr>
          <w:rFonts w:ascii="Times New Roman" w:hAnsi="Times New Roman" w:cs="Times New Roman"/>
          <w:color w:val="000000" w:themeColor="text1"/>
        </w:rPr>
        <w:t>sektor</w:t>
      </w:r>
      <w:r w:rsidR="00885C1E">
        <w:rPr>
          <w:rFonts w:ascii="Times New Roman" w:hAnsi="Times New Roman" w:cs="Times New Roman"/>
          <w:color w:val="000000" w:themeColor="text1"/>
        </w:rPr>
        <w:t>y</w:t>
      </w:r>
      <w:r w:rsidR="0001367D">
        <w:rPr>
          <w:rFonts w:ascii="Times New Roman" w:hAnsi="Times New Roman" w:cs="Times New Roman"/>
          <w:color w:val="000000" w:themeColor="text1"/>
        </w:rPr>
        <w:t xml:space="preserve"> i grup</w:t>
      </w:r>
      <w:r w:rsidR="00885C1E">
        <w:rPr>
          <w:rFonts w:ascii="Times New Roman" w:hAnsi="Times New Roman" w:cs="Times New Roman"/>
          <w:color w:val="000000" w:themeColor="text1"/>
        </w:rPr>
        <w:t>y</w:t>
      </w:r>
      <w:r w:rsidR="0001367D">
        <w:rPr>
          <w:rFonts w:ascii="Times New Roman" w:hAnsi="Times New Roman" w:cs="Times New Roman"/>
          <w:color w:val="000000" w:themeColor="text1"/>
        </w:rPr>
        <w:t xml:space="preserve"> społeczn</w:t>
      </w:r>
      <w:r w:rsidR="00885C1E">
        <w:rPr>
          <w:rFonts w:ascii="Times New Roman" w:hAnsi="Times New Roman" w:cs="Times New Roman"/>
          <w:color w:val="000000" w:themeColor="text1"/>
        </w:rPr>
        <w:t>e</w:t>
      </w:r>
      <w:r w:rsidR="0001367D">
        <w:rPr>
          <w:rFonts w:ascii="Times New Roman" w:hAnsi="Times New Roman" w:cs="Times New Roman"/>
          <w:color w:val="000000" w:themeColor="text1"/>
        </w:rPr>
        <w:t xml:space="preserve"> </w:t>
      </w:r>
      <w:r w:rsidRPr="00975DC8">
        <w:rPr>
          <w:rFonts w:ascii="Times New Roman" w:hAnsi="Times New Roman" w:cs="Times New Roman"/>
          <w:color w:val="000000" w:themeColor="text1"/>
        </w:rPr>
        <w:t xml:space="preserve">(samorządowcy, organizacje pozarządowe, młodzież) </w:t>
      </w:r>
      <w:r w:rsidR="00885C1E">
        <w:rPr>
          <w:rFonts w:ascii="Times New Roman" w:hAnsi="Times New Roman" w:cs="Times New Roman"/>
          <w:color w:val="000000" w:themeColor="text1"/>
        </w:rPr>
        <w:t xml:space="preserve">funkcjonujące na obszarze LGD. </w:t>
      </w:r>
      <w:r w:rsidRPr="00975DC8">
        <w:rPr>
          <w:rFonts w:ascii="Times New Roman" w:hAnsi="Times New Roman" w:cs="Times New Roman"/>
          <w:color w:val="000000" w:themeColor="text1"/>
        </w:rPr>
        <w:t>Projekt TEAM na etapie realizacji został doceniony przez kapitułę konkursu organizowanego przez Komisję Europejską p</w:t>
      </w:r>
      <w:r w:rsidR="00671F71">
        <w:rPr>
          <w:rFonts w:ascii="Times New Roman" w:hAnsi="Times New Roman" w:cs="Times New Roman"/>
          <w:color w:val="000000" w:themeColor="text1"/>
        </w:rPr>
        <w:t>n</w:t>
      </w:r>
      <w:r w:rsidRPr="00975DC8">
        <w:rPr>
          <w:rFonts w:ascii="Times New Roman" w:hAnsi="Times New Roman" w:cs="Times New Roman"/>
          <w:color w:val="000000" w:themeColor="text1"/>
        </w:rPr>
        <w:t>.</w:t>
      </w:r>
      <w:r w:rsidR="00E50B54">
        <w:rPr>
          <w:rFonts w:ascii="Times New Roman" w:hAnsi="Times New Roman" w:cs="Times New Roman"/>
          <w:color w:val="000000" w:themeColor="text1"/>
        </w:rPr>
        <w:t xml:space="preserve"> </w:t>
      </w:r>
      <w:r w:rsidR="00671F71">
        <w:rPr>
          <w:rFonts w:ascii="Times New Roman" w:hAnsi="Times New Roman" w:cs="Times New Roman"/>
          <w:color w:val="000000" w:themeColor="text1"/>
        </w:rPr>
        <w:t>The</w:t>
      </w:r>
      <w:r w:rsidRPr="00975DC8">
        <w:rPr>
          <w:rFonts w:ascii="Times New Roman" w:hAnsi="Times New Roman" w:cs="Times New Roman"/>
          <w:color w:val="000000" w:themeColor="text1"/>
        </w:rPr>
        <w:t xml:space="preserve"> Nordic-Baltic L</w:t>
      </w:r>
      <w:r w:rsidR="00671F71">
        <w:rPr>
          <w:rFonts w:ascii="Times New Roman" w:hAnsi="Times New Roman" w:cs="Times New Roman"/>
          <w:color w:val="000000" w:themeColor="text1"/>
        </w:rPr>
        <w:t>EADER</w:t>
      </w:r>
      <w:r w:rsidRPr="00975DC8">
        <w:rPr>
          <w:rFonts w:ascii="Times New Roman" w:hAnsi="Times New Roman" w:cs="Times New Roman"/>
          <w:color w:val="000000" w:themeColor="text1"/>
        </w:rPr>
        <w:t xml:space="preserve"> Cooperation</w:t>
      </w:r>
      <w:r w:rsidR="00671F71">
        <w:rPr>
          <w:rFonts w:ascii="Times New Roman" w:hAnsi="Times New Roman" w:cs="Times New Roman"/>
          <w:color w:val="000000" w:themeColor="text1"/>
        </w:rPr>
        <w:t xml:space="preserve"> </w:t>
      </w:r>
      <w:r w:rsidRPr="00975DC8">
        <w:rPr>
          <w:rFonts w:ascii="Times New Roman" w:hAnsi="Times New Roman" w:cs="Times New Roman"/>
          <w:color w:val="000000" w:themeColor="text1"/>
        </w:rPr>
        <w:t xml:space="preserve">Award i ze wszystkich krajów UE wskazany jako jedna z trzech najlepszych inicjatyw turystycznych w Europie (w finale konkursu znalazły się tylko dwie LGD </w:t>
      </w:r>
      <w:r w:rsidR="00485640">
        <w:rPr>
          <w:rFonts w:ascii="Times New Roman" w:hAnsi="Times New Roman" w:cs="Times New Roman"/>
          <w:color w:val="000000" w:themeColor="text1"/>
        </w:rPr>
        <w:br/>
      </w:r>
      <w:r w:rsidRPr="00975DC8">
        <w:rPr>
          <w:rFonts w:ascii="Times New Roman" w:hAnsi="Times New Roman" w:cs="Times New Roman"/>
          <w:color w:val="000000" w:themeColor="text1"/>
        </w:rPr>
        <w:t>z Polski).</w:t>
      </w:r>
    </w:p>
    <w:p w14:paraId="22D66091" w14:textId="62650363" w:rsidR="00975DC8" w:rsidRPr="008622F1" w:rsidRDefault="00975DC8" w:rsidP="008622F1">
      <w:pPr>
        <w:spacing w:after="0" w:line="276" w:lineRule="auto"/>
        <w:ind w:firstLine="709"/>
        <w:jc w:val="both"/>
        <w:rPr>
          <w:rFonts w:ascii="Times New Roman" w:hAnsi="Times New Roman" w:cs="Times New Roman"/>
          <w:color w:val="000000" w:themeColor="text1"/>
        </w:rPr>
      </w:pPr>
      <w:r w:rsidRPr="00975DC8">
        <w:rPr>
          <w:rFonts w:ascii="Times New Roman" w:hAnsi="Times New Roman" w:cs="Times New Roman"/>
          <w:color w:val="000000" w:themeColor="text1"/>
        </w:rPr>
        <w:t xml:space="preserve">W perspektywie </w:t>
      </w:r>
      <w:r w:rsidR="00485640">
        <w:rPr>
          <w:rFonts w:ascii="Times New Roman" w:hAnsi="Times New Roman" w:cs="Times New Roman"/>
          <w:color w:val="000000" w:themeColor="text1"/>
        </w:rPr>
        <w:t>finansowej</w:t>
      </w:r>
      <w:r w:rsidRPr="00975DC8">
        <w:rPr>
          <w:rFonts w:ascii="Times New Roman" w:hAnsi="Times New Roman" w:cs="Times New Roman"/>
          <w:color w:val="000000" w:themeColor="text1"/>
        </w:rPr>
        <w:t xml:space="preserve"> 2007</w:t>
      </w:r>
      <w:r w:rsidR="00E50B54">
        <w:rPr>
          <w:rFonts w:ascii="Times New Roman" w:hAnsi="Times New Roman" w:cs="Times New Roman"/>
          <w:color w:val="000000" w:themeColor="text1"/>
        </w:rPr>
        <w:t>–</w:t>
      </w:r>
      <w:r w:rsidRPr="00975DC8">
        <w:rPr>
          <w:rFonts w:ascii="Times New Roman" w:hAnsi="Times New Roman" w:cs="Times New Roman"/>
          <w:color w:val="000000" w:themeColor="text1"/>
        </w:rPr>
        <w:t xml:space="preserve">2013 BLGD </w:t>
      </w:r>
      <w:r w:rsidR="00485640">
        <w:rPr>
          <w:rFonts w:ascii="Times New Roman" w:hAnsi="Times New Roman" w:cs="Times New Roman"/>
          <w:color w:val="000000" w:themeColor="text1"/>
        </w:rPr>
        <w:t xml:space="preserve">realizowała projekty własne, które pozwoliły m.in. na podniesienie kompetencji </w:t>
      </w:r>
      <w:r w:rsidR="00AC3440">
        <w:rPr>
          <w:rFonts w:ascii="Times New Roman" w:hAnsi="Times New Roman" w:cs="Times New Roman"/>
          <w:color w:val="000000" w:themeColor="text1"/>
        </w:rPr>
        <w:t>zawodowych i społecznych kobiet po 50</w:t>
      </w:r>
      <w:r w:rsidR="00E50B54">
        <w:rPr>
          <w:rFonts w:ascii="Times New Roman" w:hAnsi="Times New Roman" w:cs="Times New Roman"/>
          <w:color w:val="000000" w:themeColor="text1"/>
        </w:rPr>
        <w:t>.</w:t>
      </w:r>
      <w:r w:rsidR="00AC3440">
        <w:rPr>
          <w:rFonts w:ascii="Times New Roman" w:hAnsi="Times New Roman" w:cs="Times New Roman"/>
          <w:color w:val="000000" w:themeColor="text1"/>
        </w:rPr>
        <w:t xml:space="preserve"> roku życia oraz podniesienie kompetencji członków organizacji pozarządowych, promocję dziedzictwa kulturowego obszaru, a także wzmocnienie więzi społecznych i poczucia tożsamości mieszkańców oraz do rozwoju infrastruktury rekreacyjnej (projekt międzynarodowy) i usług społecznych (utworzenie punktu przedszkolnego dla Gminy Tuczna)</w:t>
      </w:r>
      <w:r w:rsidR="0006514F">
        <w:rPr>
          <w:rFonts w:ascii="Times New Roman" w:hAnsi="Times New Roman" w:cs="Times New Roman"/>
          <w:color w:val="000000" w:themeColor="text1"/>
        </w:rPr>
        <w:t>. Łączne koszty wdrażania LSR na lata 2007</w:t>
      </w:r>
      <w:r w:rsidR="008622F1">
        <w:rPr>
          <w:rFonts w:ascii="Times New Roman" w:hAnsi="Times New Roman" w:cs="Times New Roman"/>
          <w:color w:val="000000" w:themeColor="text1"/>
        </w:rPr>
        <w:t>–</w:t>
      </w:r>
      <w:r w:rsidR="0006514F">
        <w:rPr>
          <w:rFonts w:ascii="Times New Roman" w:hAnsi="Times New Roman" w:cs="Times New Roman"/>
          <w:color w:val="000000" w:themeColor="text1"/>
        </w:rPr>
        <w:t xml:space="preserve">2013 wynosiły </w:t>
      </w:r>
      <w:r w:rsidR="0006514F" w:rsidRPr="00C907C9">
        <w:rPr>
          <w:rFonts w:ascii="Times New Roman" w:hAnsi="Times New Roman" w:cs="Times New Roman"/>
          <w:color w:val="000000" w:themeColor="text1"/>
        </w:rPr>
        <w:t>6 899 112,72 zł</w:t>
      </w:r>
      <w:r w:rsidR="0006514F">
        <w:rPr>
          <w:rFonts w:ascii="Times New Roman" w:hAnsi="Times New Roman" w:cs="Times New Roman"/>
          <w:color w:val="000000" w:themeColor="text1"/>
        </w:rPr>
        <w:t xml:space="preserve"> (</w:t>
      </w:r>
      <w:r w:rsidR="0006514F" w:rsidRPr="00C907C9">
        <w:rPr>
          <w:rFonts w:ascii="Times New Roman" w:hAnsi="Times New Roman" w:cs="Times New Roman"/>
          <w:color w:val="000000" w:themeColor="text1"/>
        </w:rPr>
        <w:t>99% wykorzystanej kwoty zapisanej w umowie</w:t>
      </w:r>
      <w:r w:rsidR="0006514F">
        <w:rPr>
          <w:rFonts w:ascii="Times New Roman" w:hAnsi="Times New Roman" w:cs="Times New Roman"/>
          <w:color w:val="000000" w:themeColor="text1"/>
        </w:rPr>
        <w:t>)</w:t>
      </w:r>
      <w:r w:rsidR="008622F1">
        <w:rPr>
          <w:rFonts w:ascii="Times New Roman" w:hAnsi="Times New Roman" w:cs="Times New Roman"/>
          <w:color w:val="000000" w:themeColor="text1"/>
        </w:rPr>
        <w:t xml:space="preserve">, </w:t>
      </w:r>
      <w:r w:rsidR="008622F1">
        <w:rPr>
          <w:rFonts w:ascii="Times New Roman" w:hAnsi="Times New Roman" w:cs="Times New Roman"/>
          <w:color w:val="000000" w:themeColor="text1"/>
        </w:rPr>
        <w:br/>
      </w:r>
      <w:r w:rsidR="008622F1">
        <w:rPr>
          <w:rFonts w:ascii="Times New Roman" w:hAnsi="Times New Roman" w:cs="Times New Roman"/>
          <w:color w:val="000000" w:themeColor="text1"/>
        </w:rPr>
        <w:lastRenderedPageBreak/>
        <w:t>w tym: m</w:t>
      </w:r>
      <w:r w:rsidRPr="008622F1">
        <w:rPr>
          <w:rFonts w:ascii="Times New Roman" w:hAnsi="Times New Roman" w:cs="Times New Roman"/>
          <w:color w:val="000000" w:themeColor="text1"/>
        </w:rPr>
        <w:t xml:space="preserve">ałe projekty </w:t>
      </w:r>
      <w:r w:rsidR="00C907C9" w:rsidRPr="008622F1">
        <w:rPr>
          <w:rFonts w:ascii="Times New Roman" w:hAnsi="Times New Roman" w:cs="Times New Roman"/>
          <w:color w:val="000000" w:themeColor="text1"/>
        </w:rPr>
        <w:t>–</w:t>
      </w:r>
      <w:r w:rsidRPr="008622F1">
        <w:rPr>
          <w:rFonts w:ascii="Times New Roman" w:hAnsi="Times New Roman" w:cs="Times New Roman"/>
          <w:color w:val="000000" w:themeColor="text1"/>
        </w:rPr>
        <w:t xml:space="preserve"> 3 452 689,22 zł</w:t>
      </w:r>
      <w:r w:rsidR="008622F1">
        <w:rPr>
          <w:rFonts w:ascii="Times New Roman" w:hAnsi="Times New Roman" w:cs="Times New Roman"/>
          <w:color w:val="000000" w:themeColor="text1"/>
        </w:rPr>
        <w:t>, o</w:t>
      </w:r>
      <w:r w:rsidRPr="008622F1">
        <w:rPr>
          <w:rFonts w:ascii="Times New Roman" w:hAnsi="Times New Roman" w:cs="Times New Roman"/>
          <w:color w:val="000000" w:themeColor="text1"/>
        </w:rPr>
        <w:t>dnowa i rozwój wsi</w:t>
      </w:r>
      <w:r w:rsidR="00C907C9" w:rsidRPr="008622F1">
        <w:rPr>
          <w:rFonts w:ascii="Times New Roman" w:hAnsi="Times New Roman" w:cs="Times New Roman"/>
          <w:color w:val="000000" w:themeColor="text1"/>
        </w:rPr>
        <w:t xml:space="preserve"> – </w:t>
      </w:r>
      <w:r w:rsidRPr="008622F1">
        <w:rPr>
          <w:rFonts w:ascii="Times New Roman" w:hAnsi="Times New Roman" w:cs="Times New Roman"/>
          <w:color w:val="000000" w:themeColor="text1"/>
        </w:rPr>
        <w:t>2 717 695 zł</w:t>
      </w:r>
      <w:r w:rsidR="00E50B54">
        <w:rPr>
          <w:rFonts w:ascii="Times New Roman" w:hAnsi="Times New Roman" w:cs="Times New Roman"/>
          <w:color w:val="000000" w:themeColor="text1"/>
        </w:rPr>
        <w:t>,</w:t>
      </w:r>
      <w:r w:rsidR="008622F1">
        <w:rPr>
          <w:rFonts w:ascii="Times New Roman" w:hAnsi="Times New Roman" w:cs="Times New Roman"/>
          <w:color w:val="000000" w:themeColor="text1"/>
        </w:rPr>
        <w:t xml:space="preserve"> t</w:t>
      </w:r>
      <w:r w:rsidRPr="008622F1">
        <w:rPr>
          <w:rFonts w:ascii="Times New Roman" w:hAnsi="Times New Roman" w:cs="Times New Roman"/>
          <w:color w:val="000000" w:themeColor="text1"/>
        </w:rPr>
        <w:t>worzenie i rozwój mikroprzedsiębiorstw</w:t>
      </w:r>
      <w:r w:rsidR="008622F1">
        <w:rPr>
          <w:rFonts w:ascii="Times New Roman" w:hAnsi="Times New Roman" w:cs="Times New Roman"/>
          <w:color w:val="000000" w:themeColor="text1"/>
        </w:rPr>
        <w:t xml:space="preserve"> – </w:t>
      </w:r>
      <w:r w:rsidRPr="008622F1">
        <w:rPr>
          <w:rFonts w:ascii="Times New Roman" w:hAnsi="Times New Roman" w:cs="Times New Roman"/>
          <w:color w:val="000000" w:themeColor="text1"/>
        </w:rPr>
        <w:t>373 120,50 zł</w:t>
      </w:r>
      <w:r w:rsidR="008622F1">
        <w:rPr>
          <w:rFonts w:ascii="Times New Roman" w:hAnsi="Times New Roman" w:cs="Times New Roman"/>
          <w:color w:val="000000" w:themeColor="text1"/>
        </w:rPr>
        <w:t>, r</w:t>
      </w:r>
      <w:r w:rsidRPr="008622F1">
        <w:rPr>
          <w:rFonts w:ascii="Times New Roman" w:hAnsi="Times New Roman" w:cs="Times New Roman"/>
          <w:color w:val="000000" w:themeColor="text1"/>
        </w:rPr>
        <w:t xml:space="preserve">óżnicowanie w kierunku działalności nierolniczej </w:t>
      </w:r>
      <w:r w:rsidR="00C907C9" w:rsidRPr="008622F1">
        <w:rPr>
          <w:rFonts w:ascii="Times New Roman" w:hAnsi="Times New Roman" w:cs="Times New Roman"/>
          <w:color w:val="000000" w:themeColor="text1"/>
        </w:rPr>
        <w:softHyphen/>
      </w:r>
      <w:r w:rsidRPr="008622F1">
        <w:rPr>
          <w:rFonts w:ascii="Times New Roman" w:hAnsi="Times New Roman" w:cs="Times New Roman"/>
          <w:color w:val="000000" w:themeColor="text1"/>
        </w:rPr>
        <w:t xml:space="preserve"> </w:t>
      </w:r>
      <w:r w:rsidR="00E50B54">
        <w:rPr>
          <w:rFonts w:ascii="Times New Roman" w:hAnsi="Times New Roman" w:cs="Times New Roman"/>
          <w:color w:val="000000" w:themeColor="text1"/>
        </w:rPr>
        <w:t xml:space="preserve">– </w:t>
      </w:r>
      <w:r w:rsidRPr="008622F1">
        <w:rPr>
          <w:rFonts w:ascii="Times New Roman" w:hAnsi="Times New Roman" w:cs="Times New Roman"/>
          <w:color w:val="000000" w:themeColor="text1"/>
        </w:rPr>
        <w:t>355 608 zł</w:t>
      </w:r>
      <w:r w:rsidR="008622F1">
        <w:rPr>
          <w:rFonts w:ascii="Times New Roman" w:hAnsi="Times New Roman" w:cs="Times New Roman"/>
          <w:color w:val="000000" w:themeColor="text1"/>
        </w:rPr>
        <w:t xml:space="preserve"> oraz w</w:t>
      </w:r>
      <w:r w:rsidRPr="008622F1">
        <w:rPr>
          <w:rFonts w:ascii="Times New Roman" w:hAnsi="Times New Roman" w:cs="Times New Roman"/>
          <w:color w:val="000000" w:themeColor="text1"/>
        </w:rPr>
        <w:t xml:space="preserve">drażanie projektu współpracy </w:t>
      </w:r>
      <w:r w:rsidR="00C907C9" w:rsidRPr="008622F1">
        <w:rPr>
          <w:rFonts w:ascii="Times New Roman" w:hAnsi="Times New Roman" w:cs="Times New Roman"/>
          <w:color w:val="000000" w:themeColor="text1"/>
        </w:rPr>
        <w:t xml:space="preserve">– </w:t>
      </w:r>
      <w:r w:rsidRPr="008622F1">
        <w:rPr>
          <w:rFonts w:ascii="Times New Roman" w:hAnsi="Times New Roman" w:cs="Times New Roman"/>
          <w:color w:val="000000" w:themeColor="text1"/>
        </w:rPr>
        <w:t xml:space="preserve">265 513,73 zł </w:t>
      </w:r>
      <w:r w:rsidR="00C907C9" w:rsidRPr="008622F1">
        <w:rPr>
          <w:rFonts w:ascii="Times New Roman" w:hAnsi="Times New Roman" w:cs="Times New Roman"/>
          <w:color w:val="000000" w:themeColor="text1"/>
        </w:rPr>
        <w:t>(</w:t>
      </w:r>
      <w:r w:rsidRPr="008622F1">
        <w:rPr>
          <w:rFonts w:ascii="Times New Roman" w:hAnsi="Times New Roman" w:cs="Times New Roman"/>
          <w:color w:val="000000" w:themeColor="text1"/>
        </w:rPr>
        <w:t>100% wykorzystanej kwoty zapisanej w umowie</w:t>
      </w:r>
      <w:r w:rsidR="00C907C9" w:rsidRPr="008622F1">
        <w:rPr>
          <w:rFonts w:ascii="Times New Roman" w:hAnsi="Times New Roman" w:cs="Times New Roman"/>
          <w:color w:val="000000" w:themeColor="text1"/>
        </w:rPr>
        <w:t>).</w:t>
      </w:r>
    </w:p>
    <w:p w14:paraId="15436A67" w14:textId="2178817C" w:rsidR="00975DC8" w:rsidRDefault="00975DC8" w:rsidP="003D1BC7">
      <w:pPr>
        <w:spacing w:after="0" w:line="276" w:lineRule="auto"/>
        <w:ind w:firstLine="709"/>
        <w:jc w:val="both"/>
        <w:rPr>
          <w:rFonts w:ascii="Times New Roman" w:hAnsi="Times New Roman" w:cs="Times New Roman"/>
          <w:color w:val="000000" w:themeColor="text1"/>
        </w:rPr>
      </w:pPr>
      <w:r w:rsidRPr="00975DC8">
        <w:rPr>
          <w:rFonts w:ascii="Times New Roman" w:hAnsi="Times New Roman" w:cs="Times New Roman"/>
          <w:color w:val="000000" w:themeColor="text1"/>
        </w:rPr>
        <w:t xml:space="preserve">Realizacja ww. programów pozwoliła władzom </w:t>
      </w:r>
      <w:r w:rsidR="00593C09">
        <w:rPr>
          <w:rFonts w:ascii="Times New Roman" w:hAnsi="Times New Roman" w:cs="Times New Roman"/>
          <w:color w:val="000000" w:themeColor="text1"/>
        </w:rPr>
        <w:t>S</w:t>
      </w:r>
      <w:r w:rsidRPr="00975DC8">
        <w:rPr>
          <w:rFonts w:ascii="Times New Roman" w:hAnsi="Times New Roman" w:cs="Times New Roman"/>
          <w:color w:val="000000" w:themeColor="text1"/>
        </w:rPr>
        <w:t xml:space="preserve">towarzyszenia, pracownikom Biura oraz beneficjentom będącym członkami </w:t>
      </w:r>
      <w:r w:rsidR="00593C09">
        <w:rPr>
          <w:rFonts w:ascii="Times New Roman" w:hAnsi="Times New Roman" w:cs="Times New Roman"/>
          <w:color w:val="000000" w:themeColor="text1"/>
        </w:rPr>
        <w:t>S</w:t>
      </w:r>
      <w:r w:rsidRPr="00975DC8">
        <w:rPr>
          <w:rFonts w:ascii="Times New Roman" w:hAnsi="Times New Roman" w:cs="Times New Roman"/>
          <w:color w:val="000000" w:themeColor="text1"/>
        </w:rPr>
        <w:t>towarzyszenia uzyskać doświadczenie w realizacji projektów współfinansowanych ze środków UE.</w:t>
      </w:r>
    </w:p>
    <w:p w14:paraId="75CB7AB2" w14:textId="3E5BE803" w:rsidR="00C907C9" w:rsidRDefault="00C907C9" w:rsidP="00975DC8">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Podczas realizacji LSR na lata 2014–2020 kontynuowano działania ukierunkowane na pobudzenie przedsiębiorczości mieszkańców regionu, zmniejszenie bezrobocia i ubóstwa, wzmocnienie integracji i tożsamości lokalnej, a także rozwój infrastruktury służącej mieszkańcom</w:t>
      </w:r>
      <w:r w:rsidR="009870D8">
        <w:rPr>
          <w:rFonts w:ascii="Times New Roman" w:hAnsi="Times New Roman" w:cs="Times New Roman"/>
          <w:color w:val="000000" w:themeColor="text1"/>
        </w:rPr>
        <w:t>.</w:t>
      </w:r>
      <w:r w:rsidR="008622F1">
        <w:rPr>
          <w:rFonts w:ascii="Times New Roman" w:hAnsi="Times New Roman" w:cs="Times New Roman"/>
          <w:color w:val="000000" w:themeColor="text1"/>
        </w:rPr>
        <w:t xml:space="preserve"> Łączna liczba podmiotów, które złożyły wnioski </w:t>
      </w:r>
      <w:r w:rsidR="00240B81">
        <w:rPr>
          <w:rFonts w:ascii="Times New Roman" w:hAnsi="Times New Roman" w:cs="Times New Roman"/>
          <w:color w:val="000000" w:themeColor="text1"/>
        </w:rPr>
        <w:br/>
      </w:r>
      <w:r w:rsidR="008622F1">
        <w:rPr>
          <w:rFonts w:ascii="Times New Roman" w:hAnsi="Times New Roman" w:cs="Times New Roman"/>
          <w:color w:val="000000" w:themeColor="text1"/>
        </w:rPr>
        <w:t>o przyznanie pomocy wynosiła 121 z czego 45 podmiotów zawarło umowę o przyznanie dofinansowania.</w:t>
      </w:r>
      <w:r w:rsidR="00240B81">
        <w:rPr>
          <w:rFonts w:ascii="Times New Roman" w:hAnsi="Times New Roman" w:cs="Times New Roman"/>
          <w:color w:val="000000" w:themeColor="text1"/>
        </w:rPr>
        <w:t xml:space="preserve"> Do końca 2021 roku wypłacono 1 868 838 EUR, a do zrealizowania pozostało 1 392 744 EUR, zaś stan zakontraktowania wynosił 1 130 713 EUR.</w:t>
      </w:r>
    </w:p>
    <w:p w14:paraId="06A58E09" w14:textId="1AABD8F6" w:rsidR="00975DC8" w:rsidRDefault="008622F1" w:rsidP="002F2F97">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Ponadto w omawianym okresie wdrażania</w:t>
      </w:r>
      <w:r w:rsidR="00E50B54">
        <w:rPr>
          <w:rFonts w:ascii="Times New Roman" w:hAnsi="Times New Roman" w:cs="Times New Roman"/>
          <w:color w:val="000000" w:themeColor="text1"/>
        </w:rPr>
        <w:t>,</w:t>
      </w:r>
      <w:r>
        <w:rPr>
          <w:rFonts w:ascii="Times New Roman" w:hAnsi="Times New Roman" w:cs="Times New Roman"/>
          <w:color w:val="000000" w:themeColor="text1"/>
        </w:rPr>
        <w:t xml:space="preserve"> LGD aktywnie informowała o ogłaszanych konkursach oraz na bieżąco udzielała doradztwa dla beneficjentów. Do końca 2021 r z doradztwa LGD skorzystał</w:t>
      </w:r>
      <w:r w:rsidR="00E50B54">
        <w:rPr>
          <w:rFonts w:ascii="Times New Roman" w:hAnsi="Times New Roman" w:cs="Times New Roman"/>
          <w:color w:val="000000" w:themeColor="text1"/>
        </w:rPr>
        <w:t>y</w:t>
      </w:r>
      <w:r>
        <w:rPr>
          <w:rFonts w:ascii="Times New Roman" w:hAnsi="Times New Roman" w:cs="Times New Roman"/>
          <w:color w:val="000000" w:themeColor="text1"/>
        </w:rPr>
        <w:t xml:space="preserve"> 124 podmioty.</w:t>
      </w:r>
      <w:r w:rsidR="00240B81">
        <w:rPr>
          <w:rFonts w:ascii="Times New Roman" w:hAnsi="Times New Roman" w:cs="Times New Roman"/>
          <w:color w:val="000000" w:themeColor="text1"/>
        </w:rPr>
        <w:t xml:space="preserve"> </w:t>
      </w:r>
      <w:r w:rsidR="00351E5C" w:rsidRPr="00240B81">
        <w:rPr>
          <w:rFonts w:ascii="Times New Roman" w:hAnsi="Times New Roman" w:cs="Times New Roman"/>
          <w:color w:val="000000" w:themeColor="text1"/>
        </w:rPr>
        <w:t xml:space="preserve">Również w tym okresie programowym LGD realizowała międzynarodowy projekt współpracy </w:t>
      </w:r>
      <w:r w:rsidR="001B5F80" w:rsidRPr="00240B81">
        <w:rPr>
          <w:rFonts w:ascii="Times New Roman" w:hAnsi="Times New Roman" w:cs="Times New Roman"/>
          <w:color w:val="000000" w:themeColor="text1"/>
        </w:rPr>
        <w:t xml:space="preserve">z LGD Ziemi Siedleckiej oraz </w:t>
      </w:r>
      <w:r w:rsidR="00E50B54">
        <w:rPr>
          <w:rFonts w:ascii="Times New Roman" w:hAnsi="Times New Roman" w:cs="Times New Roman"/>
          <w:color w:val="000000" w:themeColor="text1"/>
        </w:rPr>
        <w:t xml:space="preserve">LGD </w:t>
      </w:r>
      <w:r w:rsidR="001B5F80" w:rsidRPr="00240B81">
        <w:rPr>
          <w:rFonts w:ascii="Times New Roman" w:hAnsi="Times New Roman" w:cs="Times New Roman"/>
          <w:color w:val="000000" w:themeColor="text1"/>
        </w:rPr>
        <w:t>Perły Mazowsza, a także DEUTSCHLAND LEADER-Regionalmanagement Dub</w:t>
      </w:r>
      <w:r w:rsidR="003508E4" w:rsidRPr="00240B81">
        <w:rPr>
          <w:rFonts w:ascii="Times New Roman" w:hAnsi="Times New Roman" w:cs="Times New Roman"/>
          <w:color w:val="000000" w:themeColor="text1"/>
        </w:rPr>
        <w:t xml:space="preserve">ener Heide/LAG Dubener Heide Sachsen </w:t>
      </w:r>
      <w:r w:rsidR="00351E5C" w:rsidRPr="00240B81">
        <w:rPr>
          <w:rFonts w:ascii="Times New Roman" w:hAnsi="Times New Roman" w:cs="Times New Roman"/>
          <w:color w:val="000000" w:themeColor="text1"/>
        </w:rPr>
        <w:t xml:space="preserve">pn. </w:t>
      </w:r>
      <w:r w:rsidR="00351E5C" w:rsidRPr="00240B81">
        <w:rPr>
          <w:rFonts w:ascii="Times New Roman" w:hAnsi="Times New Roman" w:cs="Times New Roman"/>
          <w:i/>
          <w:iCs/>
          <w:color w:val="000000" w:themeColor="text1"/>
        </w:rPr>
        <w:t>Wspólnie – Aktywnie – Lokalnie – Kulinarnie</w:t>
      </w:r>
      <w:r w:rsidR="00351E5C" w:rsidRPr="00240B81">
        <w:rPr>
          <w:rFonts w:ascii="Times New Roman" w:hAnsi="Times New Roman" w:cs="Times New Roman"/>
          <w:color w:val="000000" w:themeColor="text1"/>
        </w:rPr>
        <w:t xml:space="preserve"> (WALK). Realizacja projektu przyczyniła się do rozwoju turystyki, infrastruktury turystycznej, aktywności społecznej oraz produktów lokalnych.</w:t>
      </w:r>
      <w:r w:rsidR="00081481" w:rsidRPr="00240B81">
        <w:rPr>
          <w:rFonts w:ascii="Times New Roman" w:hAnsi="Times New Roman" w:cs="Times New Roman"/>
          <w:color w:val="000000" w:themeColor="text1"/>
        </w:rPr>
        <w:t xml:space="preserve"> Koszt projektu po stronie BLGD wynosił 374 774 zł.</w:t>
      </w:r>
    </w:p>
    <w:p w14:paraId="6C057DBA" w14:textId="7DBD8ECF" w:rsidR="002F2F97" w:rsidRDefault="002F2F97" w:rsidP="0094673B">
      <w:pPr>
        <w:spacing w:after="80" w:line="276" w:lineRule="auto"/>
        <w:ind w:firstLine="708"/>
        <w:jc w:val="both"/>
        <w:rPr>
          <w:rFonts w:ascii="Times New Roman" w:hAnsi="Times New Roman" w:cs="Times New Roman"/>
        </w:rPr>
      </w:pPr>
      <w:r w:rsidRPr="00857C02">
        <w:rPr>
          <w:rFonts w:ascii="Times New Roman" w:hAnsi="Times New Roman" w:cs="Times New Roman"/>
          <w:color w:val="000000" w:themeColor="text1"/>
        </w:rPr>
        <w:t>Członkowie LGD posiadają niezbędne doświadczenie oraz wiedzę w zakresie zarządzania oraz realizacji</w:t>
      </w:r>
      <w:r>
        <w:rPr>
          <w:rFonts w:ascii="Times New Roman" w:hAnsi="Times New Roman" w:cs="Times New Roman"/>
          <w:color w:val="000000" w:themeColor="text1"/>
        </w:rPr>
        <w:t xml:space="preserve"> </w:t>
      </w:r>
      <w:r w:rsidRPr="00857C02">
        <w:rPr>
          <w:rFonts w:ascii="Times New Roman" w:hAnsi="Times New Roman" w:cs="Times New Roman"/>
          <w:color w:val="000000" w:themeColor="text1"/>
        </w:rPr>
        <w:t>operacji w ramach LSR.</w:t>
      </w:r>
      <w:r>
        <w:rPr>
          <w:rFonts w:ascii="Times New Roman" w:hAnsi="Times New Roman" w:cs="Times New Roman"/>
          <w:color w:val="000000" w:themeColor="text1"/>
        </w:rPr>
        <w:t xml:space="preserve"> </w:t>
      </w:r>
      <w:r>
        <w:rPr>
          <w:rFonts w:ascii="Times New Roman" w:hAnsi="Times New Roman" w:cs="Times New Roman"/>
        </w:rPr>
        <w:t>Wielu z nich</w:t>
      </w:r>
      <w:r w:rsidRPr="008819D6">
        <w:rPr>
          <w:rFonts w:ascii="Times New Roman" w:hAnsi="Times New Roman" w:cs="Times New Roman"/>
        </w:rPr>
        <w:t xml:space="preserve"> posiada doświadczenie w realizacji projektów na terenach obszarów wiejskich</w:t>
      </w:r>
      <w:r>
        <w:rPr>
          <w:rFonts w:ascii="Times New Roman" w:hAnsi="Times New Roman" w:cs="Times New Roman"/>
        </w:rPr>
        <w:t xml:space="preserve">, w tym projektów w partnerstwie z wykorzystaniem zarówno środków w ramach PROW (LEADER), jak i innych źródeł zewnętrznych, m.in. </w:t>
      </w:r>
      <w:r w:rsidR="00DA51C0">
        <w:rPr>
          <w:rFonts w:ascii="Times New Roman" w:hAnsi="Times New Roman" w:cs="Times New Roman"/>
          <w:i/>
          <w:iCs/>
        </w:rPr>
        <w:t xml:space="preserve">Bieg na żywioł – </w:t>
      </w:r>
      <w:r w:rsidR="00DA51C0" w:rsidRPr="00DA51C0">
        <w:rPr>
          <w:rFonts w:ascii="Times New Roman" w:hAnsi="Times New Roman" w:cs="Times New Roman"/>
        </w:rPr>
        <w:t>impreza sportowo</w:t>
      </w:r>
      <w:r w:rsidR="00E50B54">
        <w:rPr>
          <w:rFonts w:ascii="Times New Roman" w:hAnsi="Times New Roman" w:cs="Times New Roman"/>
        </w:rPr>
        <w:t>-</w:t>
      </w:r>
      <w:r w:rsidR="00DA51C0" w:rsidRPr="00DA51C0">
        <w:rPr>
          <w:rFonts w:ascii="Times New Roman" w:hAnsi="Times New Roman" w:cs="Times New Roman"/>
        </w:rPr>
        <w:t>rekreacyjna dla dzieci i młodzieży</w:t>
      </w:r>
      <w:r w:rsidR="00E50B54">
        <w:rPr>
          <w:rFonts w:ascii="Times New Roman" w:hAnsi="Times New Roman" w:cs="Times New Roman"/>
        </w:rPr>
        <w:t>,</w:t>
      </w:r>
      <w:r w:rsidR="00DA51C0">
        <w:rPr>
          <w:rFonts w:ascii="Times New Roman" w:hAnsi="Times New Roman" w:cs="Times New Roman"/>
          <w:i/>
          <w:iCs/>
        </w:rPr>
        <w:t xml:space="preserve"> Przemyślenia Wielkanocne 2022, Seniorzy bliżej kultury, Zamyślenia zaduszkowe 2021</w:t>
      </w:r>
      <w:r w:rsidR="009604DA">
        <w:rPr>
          <w:rFonts w:ascii="Times New Roman" w:hAnsi="Times New Roman" w:cs="Times New Roman"/>
          <w:i/>
          <w:iCs/>
        </w:rPr>
        <w:t xml:space="preserve"> </w:t>
      </w:r>
      <w:r w:rsidR="009604DA">
        <w:rPr>
          <w:rFonts w:ascii="Times New Roman" w:hAnsi="Times New Roman" w:cs="Times New Roman"/>
        </w:rPr>
        <w:t xml:space="preserve">oraz </w:t>
      </w:r>
      <w:r w:rsidR="009604DA">
        <w:rPr>
          <w:rFonts w:ascii="Times New Roman" w:hAnsi="Times New Roman" w:cs="Times New Roman"/>
          <w:i/>
          <w:iCs/>
        </w:rPr>
        <w:t>Zdrowy senior, zdrowy junior</w:t>
      </w:r>
      <w:r w:rsidR="00FC6A1E">
        <w:rPr>
          <w:rFonts w:ascii="Times New Roman" w:hAnsi="Times New Roman" w:cs="Times New Roman"/>
        </w:rPr>
        <w:t xml:space="preserve"> </w:t>
      </w:r>
      <w:r w:rsidR="009604DA">
        <w:rPr>
          <w:rFonts w:ascii="Times New Roman" w:hAnsi="Times New Roman" w:cs="Times New Roman"/>
        </w:rPr>
        <w:br/>
      </w:r>
      <w:r w:rsidR="00FC6A1E">
        <w:rPr>
          <w:rFonts w:ascii="Times New Roman" w:hAnsi="Times New Roman" w:cs="Times New Roman"/>
        </w:rPr>
        <w:t xml:space="preserve">w ramach </w:t>
      </w:r>
      <w:r w:rsidR="009604DA">
        <w:rPr>
          <w:rFonts w:ascii="Times New Roman" w:hAnsi="Times New Roman" w:cs="Times New Roman"/>
        </w:rPr>
        <w:t>dotacji przyznanych przez</w:t>
      </w:r>
      <w:r w:rsidR="00FC6A1E">
        <w:rPr>
          <w:rFonts w:ascii="Times New Roman" w:hAnsi="Times New Roman" w:cs="Times New Roman"/>
        </w:rPr>
        <w:t xml:space="preserve"> Gmin</w:t>
      </w:r>
      <w:r w:rsidR="009604DA">
        <w:rPr>
          <w:rFonts w:ascii="Times New Roman" w:hAnsi="Times New Roman" w:cs="Times New Roman"/>
        </w:rPr>
        <w:t>ę</w:t>
      </w:r>
      <w:r w:rsidR="00FC6A1E">
        <w:rPr>
          <w:rFonts w:ascii="Times New Roman" w:hAnsi="Times New Roman" w:cs="Times New Roman"/>
        </w:rPr>
        <w:t xml:space="preserve"> Międzyrzec Podlaski</w:t>
      </w:r>
      <w:r w:rsidR="009604DA">
        <w:rPr>
          <w:rFonts w:ascii="Times New Roman" w:hAnsi="Times New Roman" w:cs="Times New Roman"/>
        </w:rPr>
        <w:t xml:space="preserve">, a także </w:t>
      </w:r>
      <w:r w:rsidR="00FC6A1E">
        <w:rPr>
          <w:rFonts w:ascii="Times New Roman" w:hAnsi="Times New Roman" w:cs="Times New Roman"/>
          <w:i/>
          <w:iCs/>
        </w:rPr>
        <w:t xml:space="preserve">Moje miejsce na Ziemi </w:t>
      </w:r>
      <w:r w:rsidRPr="008D6413">
        <w:rPr>
          <w:rFonts w:ascii="Times New Roman" w:hAnsi="Times New Roman" w:cs="Times New Roman"/>
        </w:rPr>
        <w:t xml:space="preserve">w ramach </w:t>
      </w:r>
      <w:r w:rsidR="009604DA">
        <w:rPr>
          <w:rFonts w:ascii="Times New Roman" w:hAnsi="Times New Roman" w:cs="Times New Roman"/>
        </w:rPr>
        <w:t>środków przyznanych przez Fundację Orlen.</w:t>
      </w:r>
      <w:r>
        <w:rPr>
          <w:rFonts w:ascii="Times New Roman" w:hAnsi="Times New Roman" w:cs="Times New Roman"/>
        </w:rPr>
        <w:t xml:space="preserve"> </w:t>
      </w:r>
    </w:p>
    <w:p w14:paraId="5A343D4C" w14:textId="77777777" w:rsidR="00A17173" w:rsidRPr="00686682" w:rsidRDefault="00A17173" w:rsidP="0094673B">
      <w:pPr>
        <w:pStyle w:val="podnagowek"/>
        <w:spacing w:after="80"/>
        <w:ind w:left="782" w:hanging="357"/>
        <w:rPr>
          <w:sz w:val="22"/>
          <w:szCs w:val="22"/>
        </w:rPr>
      </w:pPr>
      <w:bookmarkStart w:id="5" w:name="_Toc135896887"/>
      <w:r w:rsidRPr="00686682">
        <w:rPr>
          <w:sz w:val="22"/>
          <w:szCs w:val="22"/>
        </w:rPr>
        <w:t>Opis struktury LGD</w:t>
      </w:r>
      <w:bookmarkEnd w:id="5"/>
    </w:p>
    <w:p w14:paraId="2120736A" w14:textId="6DEA3845" w:rsidR="00A17173" w:rsidRDefault="00A17173" w:rsidP="006871E7">
      <w:pPr>
        <w:spacing w:after="0" w:line="276" w:lineRule="auto"/>
        <w:ind w:firstLine="709"/>
        <w:jc w:val="both"/>
        <w:rPr>
          <w:rFonts w:ascii="Times New Roman" w:hAnsi="Times New Roman" w:cs="Times New Roman"/>
          <w:color w:val="000000" w:themeColor="text1"/>
        </w:rPr>
      </w:pPr>
      <w:r w:rsidRPr="002B7D4B">
        <w:rPr>
          <w:rFonts w:ascii="Times New Roman" w:hAnsi="Times New Roman" w:cs="Times New Roman"/>
          <w:color w:val="000000" w:themeColor="text1"/>
        </w:rPr>
        <w:t xml:space="preserve">Władzami LGD są: Walne Zebranie Członków (WZC), Zarząd, Rada, Komisja Rewizyjna – jedna osoba może być jednocześnie członkiem tylko jednego z tych organów. Charakter działalności </w:t>
      </w:r>
      <w:r w:rsidR="00593C09">
        <w:rPr>
          <w:rFonts w:ascii="Times New Roman" w:hAnsi="Times New Roman" w:cs="Times New Roman"/>
          <w:color w:val="000000" w:themeColor="text1"/>
        </w:rPr>
        <w:t>S</w:t>
      </w:r>
      <w:r w:rsidRPr="002B7D4B">
        <w:rPr>
          <w:rFonts w:ascii="Times New Roman" w:hAnsi="Times New Roman" w:cs="Times New Roman"/>
          <w:color w:val="000000" w:themeColor="text1"/>
        </w:rPr>
        <w:t xml:space="preserve">towarzyszenia jest inkluzyjny, co potwierdza </w:t>
      </w:r>
      <w:r w:rsidR="00593C09">
        <w:rPr>
          <w:rFonts w:ascii="Times New Roman" w:hAnsi="Times New Roman" w:cs="Times New Roman"/>
          <w:color w:val="000000" w:themeColor="text1"/>
        </w:rPr>
        <w:t>S</w:t>
      </w:r>
      <w:r w:rsidRPr="002B7D4B">
        <w:rPr>
          <w:rFonts w:ascii="Times New Roman" w:hAnsi="Times New Roman" w:cs="Times New Roman"/>
          <w:color w:val="000000" w:themeColor="text1"/>
        </w:rPr>
        <w:t xml:space="preserve">tatut w zakresie kadencyjności organów. Kadencja Rady, Zarządu i Komisji Rewizyjnej </w:t>
      </w:r>
      <w:r w:rsidRPr="00CD3B9D">
        <w:rPr>
          <w:rFonts w:ascii="Times New Roman" w:hAnsi="Times New Roman" w:cs="Times New Roman"/>
          <w:color w:val="000000" w:themeColor="text1"/>
        </w:rPr>
        <w:t xml:space="preserve">wynosi </w:t>
      </w:r>
      <w:r w:rsidR="002B7D4B" w:rsidRPr="00CD3B9D">
        <w:rPr>
          <w:rFonts w:ascii="Times New Roman" w:hAnsi="Times New Roman" w:cs="Times New Roman"/>
          <w:color w:val="000000" w:themeColor="text1"/>
        </w:rPr>
        <w:t>8</w:t>
      </w:r>
      <w:r w:rsidRPr="00CD3B9D">
        <w:rPr>
          <w:rFonts w:ascii="Times New Roman" w:hAnsi="Times New Roman" w:cs="Times New Roman"/>
          <w:color w:val="000000" w:themeColor="text1"/>
        </w:rPr>
        <w:t xml:space="preserve"> lat. W przypadku</w:t>
      </w:r>
      <w:r w:rsidRPr="002B7D4B">
        <w:rPr>
          <w:rFonts w:ascii="Times New Roman" w:hAnsi="Times New Roman" w:cs="Times New Roman"/>
          <w:color w:val="000000" w:themeColor="text1"/>
        </w:rPr>
        <w:t xml:space="preserve"> zmniejszenia się składu władz LGD, Zarząd zwołuje WZC w celu uzupełnienia ich składu. Stowarzyszenie jest otwarte na nowych członków, nowych partnerów chętnych do włączenia się w realizację Lokalnej Strategii Rozwoju. Sposób rozszerzenia składu LGD o kolejnych partnerów następuje zgodnie ze </w:t>
      </w:r>
      <w:r w:rsidR="00593C09">
        <w:rPr>
          <w:rFonts w:ascii="Times New Roman" w:hAnsi="Times New Roman" w:cs="Times New Roman"/>
          <w:color w:val="000000" w:themeColor="text1"/>
        </w:rPr>
        <w:t>S</w:t>
      </w:r>
      <w:r w:rsidRPr="002B7D4B">
        <w:rPr>
          <w:rFonts w:ascii="Times New Roman" w:hAnsi="Times New Roman" w:cs="Times New Roman"/>
          <w:color w:val="000000" w:themeColor="text1"/>
        </w:rPr>
        <w:t>tatutem. O przyjęciu w poczet członków Stowarzyszenia decyduje Zarząd w formie uchwały. O swojej decyzji Zarząd niezwłocznie powiadamia pisemnie zainteresowanego.</w:t>
      </w:r>
    </w:p>
    <w:p w14:paraId="74F86513" w14:textId="585FEC80" w:rsidR="00A17173" w:rsidRDefault="00A17173" w:rsidP="000422E7">
      <w:pPr>
        <w:tabs>
          <w:tab w:val="left" w:pos="2552"/>
        </w:tabs>
        <w:spacing w:after="0" w:line="276" w:lineRule="auto"/>
        <w:ind w:firstLine="709"/>
        <w:jc w:val="both"/>
        <w:rPr>
          <w:rFonts w:ascii="Times New Roman" w:hAnsi="Times New Roman" w:cs="Times New Roman"/>
          <w:color w:val="000000" w:themeColor="text1"/>
        </w:rPr>
      </w:pPr>
      <w:r w:rsidRPr="009D4A39">
        <w:rPr>
          <w:rFonts w:ascii="Times New Roman" w:hAnsi="Times New Roman" w:cs="Times New Roman"/>
          <w:color w:val="000000" w:themeColor="text1"/>
        </w:rPr>
        <w:t>Najwyższą władzą Stowarzyszenia</w:t>
      </w:r>
      <w:r w:rsidR="002B7D4B">
        <w:rPr>
          <w:rFonts w:ascii="Times New Roman" w:hAnsi="Times New Roman" w:cs="Times New Roman"/>
          <w:color w:val="000000" w:themeColor="text1"/>
        </w:rPr>
        <w:t xml:space="preserve"> Bialskopodlaska</w:t>
      </w:r>
      <w:r w:rsidRPr="009D4A39">
        <w:rPr>
          <w:rFonts w:ascii="Times New Roman" w:hAnsi="Times New Roman" w:cs="Times New Roman"/>
          <w:color w:val="000000" w:themeColor="text1"/>
        </w:rPr>
        <w:t xml:space="preserve"> Lokalna Grupa Działania jest Walne</w:t>
      </w:r>
      <w:r>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Zebranie Członków (WZC). Do jego kompetencji należy przede wszystkim uchwalanie kierunków</w:t>
      </w:r>
      <w:r>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i programu działania LGD, ocena działalności pozostałych</w:t>
      </w:r>
      <w:r>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organów, uchwalanie Statutu i jego zmian, zatwierdzanie regulaminów pozostałych organów.</w:t>
      </w:r>
      <w:r>
        <w:rPr>
          <w:rFonts w:ascii="Times New Roman" w:hAnsi="Times New Roman" w:cs="Times New Roman"/>
          <w:color w:val="000000" w:themeColor="text1"/>
        </w:rPr>
        <w:t xml:space="preserve"> </w:t>
      </w:r>
      <w:r w:rsidR="000422E7">
        <w:rPr>
          <w:rFonts w:ascii="Times New Roman" w:hAnsi="Times New Roman" w:cs="Times New Roman"/>
          <w:color w:val="000000" w:themeColor="text1"/>
        </w:rPr>
        <w:t>Do kompetencji WZC należy ponadto powołanie i odwoływanie członków Zarządu, Rady oraz Komisji Rewizyjnej.</w:t>
      </w:r>
    </w:p>
    <w:p w14:paraId="784A7340" w14:textId="7D43F627" w:rsidR="00A17173" w:rsidRDefault="00A17173" w:rsidP="006871E7">
      <w:pPr>
        <w:spacing w:after="0" w:line="276" w:lineRule="auto"/>
        <w:ind w:firstLine="709"/>
        <w:jc w:val="both"/>
        <w:rPr>
          <w:rFonts w:ascii="Times New Roman" w:hAnsi="Times New Roman" w:cs="Times New Roman"/>
          <w:color w:val="000000" w:themeColor="text1"/>
        </w:rPr>
      </w:pPr>
      <w:r w:rsidRPr="009D4A39">
        <w:rPr>
          <w:rFonts w:ascii="Times New Roman" w:hAnsi="Times New Roman" w:cs="Times New Roman"/>
          <w:color w:val="000000" w:themeColor="text1"/>
        </w:rPr>
        <w:t xml:space="preserve">W skład </w:t>
      </w:r>
      <w:r w:rsidR="0012539D">
        <w:rPr>
          <w:rFonts w:ascii="Times New Roman" w:hAnsi="Times New Roman" w:cs="Times New Roman"/>
          <w:color w:val="000000" w:themeColor="text1"/>
        </w:rPr>
        <w:t>B</w:t>
      </w:r>
      <w:r w:rsidRPr="009D4A39">
        <w:rPr>
          <w:rFonts w:ascii="Times New Roman" w:hAnsi="Times New Roman" w:cs="Times New Roman"/>
          <w:color w:val="000000" w:themeColor="text1"/>
        </w:rPr>
        <w:t xml:space="preserve">LGD wchodzą </w:t>
      </w:r>
      <w:r w:rsidR="000422E7">
        <w:rPr>
          <w:rFonts w:ascii="Times New Roman" w:hAnsi="Times New Roman" w:cs="Times New Roman"/>
          <w:color w:val="000000" w:themeColor="text1"/>
        </w:rPr>
        <w:t xml:space="preserve">z każdej gminy (minimum 1 przedstawiciel w poszczególnych sektorach) </w:t>
      </w:r>
      <w:r w:rsidR="000422E7" w:rsidRPr="009D4A39">
        <w:rPr>
          <w:rFonts w:ascii="Times New Roman" w:hAnsi="Times New Roman" w:cs="Times New Roman"/>
          <w:color w:val="000000" w:themeColor="text1"/>
        </w:rPr>
        <w:t>przedstawiciele instytucji publicznych</w:t>
      </w:r>
      <w:r w:rsidR="000422E7">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lokalnych partnerów</w:t>
      </w:r>
      <w:r>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 xml:space="preserve">społecznych i gospodarczych oraz mieszkańców, </w:t>
      </w:r>
      <w:r>
        <w:rPr>
          <w:rFonts w:ascii="Times New Roman" w:hAnsi="Times New Roman" w:cs="Times New Roman"/>
          <w:color w:val="000000" w:themeColor="text1"/>
        </w:rPr>
        <w:t>łącznie</w:t>
      </w:r>
      <w:r w:rsidRPr="009D4A39">
        <w:rPr>
          <w:rFonts w:ascii="Times New Roman" w:hAnsi="Times New Roman" w:cs="Times New Roman"/>
          <w:color w:val="000000" w:themeColor="text1"/>
        </w:rPr>
        <w:t xml:space="preserve"> </w:t>
      </w:r>
      <w:r w:rsidRPr="006804B2">
        <w:rPr>
          <w:rFonts w:ascii="Times New Roman" w:hAnsi="Times New Roman" w:cs="Times New Roman"/>
          <w:color w:val="000000" w:themeColor="text1"/>
        </w:rPr>
        <w:t>9</w:t>
      </w:r>
      <w:r w:rsidR="0012539D">
        <w:rPr>
          <w:rFonts w:ascii="Times New Roman" w:hAnsi="Times New Roman" w:cs="Times New Roman"/>
          <w:color w:val="000000" w:themeColor="text1"/>
        </w:rPr>
        <w:t>8</w:t>
      </w:r>
      <w:r w:rsidRPr="006804B2">
        <w:rPr>
          <w:rFonts w:ascii="Times New Roman" w:hAnsi="Times New Roman" w:cs="Times New Roman"/>
          <w:color w:val="000000" w:themeColor="text1"/>
        </w:rPr>
        <w:t xml:space="preserve"> osób stanowiących członków zwyczajnych.</w:t>
      </w:r>
      <w:r w:rsidR="0012539D">
        <w:rPr>
          <w:rFonts w:ascii="Times New Roman" w:hAnsi="Times New Roman" w:cs="Times New Roman"/>
          <w:color w:val="000000" w:themeColor="text1"/>
        </w:rPr>
        <w:t xml:space="preserve"> </w:t>
      </w:r>
      <w:r w:rsidRPr="006804B2">
        <w:rPr>
          <w:rFonts w:ascii="Times New Roman" w:hAnsi="Times New Roman" w:cs="Times New Roman"/>
          <w:color w:val="000000" w:themeColor="text1"/>
        </w:rPr>
        <w:t xml:space="preserve">Sektor publiczny </w:t>
      </w:r>
      <w:r w:rsidR="0012539D">
        <w:rPr>
          <w:rFonts w:ascii="Times New Roman" w:hAnsi="Times New Roman" w:cs="Times New Roman"/>
          <w:color w:val="000000" w:themeColor="text1"/>
        </w:rPr>
        <w:t>reprezentuj</w:t>
      </w:r>
      <w:r w:rsidR="00593C09">
        <w:rPr>
          <w:rFonts w:ascii="Times New Roman" w:hAnsi="Times New Roman" w:cs="Times New Roman"/>
          <w:color w:val="000000" w:themeColor="text1"/>
        </w:rPr>
        <w:t>ą</w:t>
      </w:r>
      <w:r w:rsidR="0012539D">
        <w:rPr>
          <w:rFonts w:ascii="Times New Roman" w:hAnsi="Times New Roman" w:cs="Times New Roman"/>
          <w:color w:val="000000" w:themeColor="text1"/>
        </w:rPr>
        <w:t xml:space="preserve"> 24</w:t>
      </w:r>
      <w:r w:rsidRPr="006804B2">
        <w:rPr>
          <w:rFonts w:ascii="Times New Roman" w:hAnsi="Times New Roman" w:cs="Times New Roman"/>
          <w:color w:val="000000" w:themeColor="text1"/>
        </w:rPr>
        <w:t xml:space="preserve"> os</w:t>
      </w:r>
      <w:r w:rsidR="0012539D">
        <w:rPr>
          <w:rFonts w:ascii="Times New Roman" w:hAnsi="Times New Roman" w:cs="Times New Roman"/>
          <w:color w:val="000000" w:themeColor="text1"/>
        </w:rPr>
        <w:t>oby</w:t>
      </w:r>
      <w:r w:rsidRPr="006804B2">
        <w:rPr>
          <w:rFonts w:ascii="Times New Roman" w:hAnsi="Times New Roman" w:cs="Times New Roman"/>
          <w:color w:val="000000" w:themeColor="text1"/>
        </w:rPr>
        <w:t xml:space="preserve">, sektor społeczny </w:t>
      </w:r>
      <w:r w:rsidR="00593C09">
        <w:rPr>
          <w:rFonts w:ascii="Times New Roman" w:hAnsi="Times New Roman" w:cs="Times New Roman"/>
          <w:color w:val="000000" w:themeColor="text1"/>
        </w:rPr>
        <w:t xml:space="preserve">54 osoby </w:t>
      </w:r>
      <w:r w:rsidRPr="006804B2">
        <w:rPr>
          <w:rFonts w:ascii="Times New Roman" w:hAnsi="Times New Roman" w:cs="Times New Roman"/>
          <w:color w:val="000000" w:themeColor="text1"/>
        </w:rPr>
        <w:t>(organizacje</w:t>
      </w:r>
      <w:r w:rsidR="00966C2B">
        <w:rPr>
          <w:rFonts w:ascii="Times New Roman" w:hAnsi="Times New Roman" w:cs="Times New Roman"/>
          <w:color w:val="000000" w:themeColor="text1"/>
        </w:rPr>
        <w:t xml:space="preserve"> – 25 osób, mieszkańcy – 2</w:t>
      </w:r>
      <w:r w:rsidR="00072DE9">
        <w:rPr>
          <w:rFonts w:ascii="Times New Roman" w:hAnsi="Times New Roman" w:cs="Times New Roman"/>
          <w:color w:val="000000" w:themeColor="text1"/>
        </w:rPr>
        <w:t>8</w:t>
      </w:r>
      <w:r w:rsidR="00966C2B">
        <w:rPr>
          <w:rFonts w:ascii="Times New Roman" w:hAnsi="Times New Roman" w:cs="Times New Roman"/>
          <w:color w:val="000000" w:themeColor="text1"/>
        </w:rPr>
        <w:t xml:space="preserve"> osób</w:t>
      </w:r>
      <w:r w:rsidRPr="006804B2">
        <w:rPr>
          <w:rFonts w:ascii="Times New Roman" w:hAnsi="Times New Roman" w:cs="Times New Roman"/>
          <w:color w:val="000000" w:themeColor="text1"/>
        </w:rPr>
        <w:t>)</w:t>
      </w:r>
      <w:r w:rsidR="0012539D">
        <w:rPr>
          <w:rFonts w:ascii="Times New Roman" w:hAnsi="Times New Roman" w:cs="Times New Roman"/>
          <w:color w:val="000000" w:themeColor="text1"/>
        </w:rPr>
        <w:t>, zaś sektor gospodarczy – 21 osób.</w:t>
      </w:r>
    </w:p>
    <w:p w14:paraId="5B344713" w14:textId="270D1865" w:rsidR="00A17173" w:rsidRPr="00CD3B9D" w:rsidRDefault="00A17173" w:rsidP="006871E7">
      <w:pPr>
        <w:spacing w:after="0" w:line="276" w:lineRule="auto"/>
        <w:ind w:firstLine="709"/>
        <w:jc w:val="both"/>
        <w:rPr>
          <w:rFonts w:ascii="Times New Roman" w:hAnsi="Times New Roman" w:cs="Times New Roman"/>
        </w:rPr>
      </w:pPr>
      <w:r>
        <w:rPr>
          <w:rFonts w:ascii="Times New Roman" w:hAnsi="Times New Roman" w:cs="Times New Roman"/>
          <w:color w:val="000000" w:themeColor="text1"/>
        </w:rPr>
        <w:t>Sektor publiczny reprezentują samorządy lokalne</w:t>
      </w:r>
      <w:r w:rsidR="005371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Wśród przedstawicieli sektora społecznego znajdują się organizacje pozarządowe, w tym organizacje sportowe, OSP, a także osoby </w:t>
      </w:r>
      <w:r w:rsidRPr="009F2B42">
        <w:rPr>
          <w:rFonts w:ascii="Times New Roman" w:hAnsi="Times New Roman" w:cs="Times New Roman"/>
        </w:rPr>
        <w:t>fizyczne, tj</w:t>
      </w:r>
      <w:r>
        <w:rPr>
          <w:rFonts w:ascii="Times New Roman" w:hAnsi="Times New Roman" w:cs="Times New Roman"/>
        </w:rPr>
        <w:t>.</w:t>
      </w:r>
      <w:r w:rsidRPr="009F2B42">
        <w:rPr>
          <w:rFonts w:ascii="Times New Roman" w:hAnsi="Times New Roman" w:cs="Times New Roman"/>
        </w:rPr>
        <w:t xml:space="preserve"> mieszkańcy wszystkich gmin należących do obszaru LGD</w:t>
      </w:r>
      <w:r>
        <w:rPr>
          <w:rFonts w:ascii="Times New Roman" w:hAnsi="Times New Roman" w:cs="Times New Roman"/>
        </w:rPr>
        <w:t xml:space="preserve">. </w:t>
      </w:r>
      <w:r w:rsidRPr="009F2B42">
        <w:rPr>
          <w:rFonts w:ascii="Times New Roman" w:hAnsi="Times New Roman" w:cs="Times New Roman"/>
        </w:rPr>
        <w:t xml:space="preserve">Przedstawiciele sektora społecznego posiadają </w:t>
      </w:r>
      <w:r w:rsidRPr="009F2B42">
        <w:rPr>
          <w:rFonts w:ascii="Times New Roman" w:eastAsia="Times New Roman" w:hAnsi="Times New Roman" w:cs="Times New Roman"/>
          <w:lang w:eastAsia="pl-PL"/>
        </w:rPr>
        <w:t>bogaty dorobek w zakresie organizowania przedsięwzięć na rzecz lokalnego społeczeństwa na terenie opisanego obszaru</w:t>
      </w:r>
      <w:r>
        <w:rPr>
          <w:rFonts w:ascii="Times New Roman" w:eastAsia="Times New Roman" w:hAnsi="Times New Roman" w:cs="Times New Roman"/>
          <w:lang w:eastAsia="pl-PL"/>
        </w:rPr>
        <w:t xml:space="preserve">. </w:t>
      </w:r>
      <w:r w:rsidRPr="009F2B42">
        <w:rPr>
          <w:rFonts w:ascii="Times New Roman" w:hAnsi="Times New Roman" w:cs="Times New Roman"/>
        </w:rPr>
        <w:t xml:space="preserve">Członkami </w:t>
      </w:r>
      <w:r>
        <w:rPr>
          <w:rFonts w:ascii="Times New Roman" w:hAnsi="Times New Roman" w:cs="Times New Roman"/>
        </w:rPr>
        <w:t>S</w:t>
      </w:r>
      <w:r w:rsidRPr="009F2B42">
        <w:rPr>
          <w:rFonts w:ascii="Times New Roman" w:hAnsi="Times New Roman" w:cs="Times New Roman"/>
        </w:rPr>
        <w:t xml:space="preserve">towarzyszenia są także lokalni przedsiębiorcy i rolnicy, w tym właściciele gospodarstw agroturystycznych </w:t>
      </w:r>
      <w:r>
        <w:rPr>
          <w:rFonts w:ascii="Times New Roman" w:hAnsi="Times New Roman" w:cs="Times New Roman"/>
        </w:rPr>
        <w:t xml:space="preserve">oraz </w:t>
      </w:r>
      <w:r w:rsidRPr="009F2B42">
        <w:rPr>
          <w:rFonts w:ascii="Times New Roman" w:hAnsi="Times New Roman" w:cs="Times New Roman"/>
        </w:rPr>
        <w:t xml:space="preserve">lokalni rzemieślnicy, producenci i usługodawcy. Sektor gospodarczy reprezentują podmioty prowadzące działalność </w:t>
      </w:r>
      <w:r w:rsidRPr="009F2B42">
        <w:rPr>
          <w:rFonts w:ascii="Times New Roman" w:hAnsi="Times New Roman" w:cs="Times New Roman"/>
        </w:rPr>
        <w:lastRenderedPageBreak/>
        <w:t>gospodarczą w sektorze usług</w:t>
      </w:r>
      <w:r>
        <w:rPr>
          <w:rFonts w:ascii="Times New Roman" w:hAnsi="Times New Roman" w:cs="Times New Roman"/>
        </w:rPr>
        <w:t xml:space="preserve"> turystycznych</w:t>
      </w:r>
      <w:r w:rsidRPr="009F2B42">
        <w:rPr>
          <w:rFonts w:ascii="Times New Roman" w:hAnsi="Times New Roman" w:cs="Times New Roman"/>
        </w:rPr>
        <w:t xml:space="preserve">, </w:t>
      </w:r>
      <w:r w:rsidRPr="00CD3B9D">
        <w:rPr>
          <w:rFonts w:ascii="Times New Roman" w:hAnsi="Times New Roman" w:cs="Times New Roman"/>
        </w:rPr>
        <w:t>handlu i produkcji. Wśród osób będących członkami Stowarzyszenia znajdują się reprezentanci grup szczególnie istotnych z punktu widzenia realizacji LSR: osoby młode (do 25</w:t>
      </w:r>
      <w:r w:rsidR="005371C7" w:rsidRPr="00CD3B9D">
        <w:rPr>
          <w:rFonts w:ascii="Times New Roman" w:hAnsi="Times New Roman" w:cs="Times New Roman"/>
        </w:rPr>
        <w:t>.</w:t>
      </w:r>
      <w:r w:rsidRPr="00CD3B9D">
        <w:rPr>
          <w:rFonts w:ascii="Times New Roman" w:hAnsi="Times New Roman" w:cs="Times New Roman"/>
        </w:rPr>
        <w:t xml:space="preserve"> roku życia) oraz seniorzy (osoby starsze, które ukończyły 60</w:t>
      </w:r>
      <w:r w:rsidR="005371C7" w:rsidRPr="00CD3B9D">
        <w:rPr>
          <w:rFonts w:ascii="Times New Roman" w:hAnsi="Times New Roman" w:cs="Times New Roman"/>
        </w:rPr>
        <w:t>.</w:t>
      </w:r>
      <w:r w:rsidRPr="00CD3B9D">
        <w:rPr>
          <w:rFonts w:ascii="Times New Roman" w:hAnsi="Times New Roman" w:cs="Times New Roman"/>
        </w:rPr>
        <w:t xml:space="preserve"> rok życia)</w:t>
      </w:r>
      <w:r w:rsidR="005371C7" w:rsidRPr="00CD3B9D">
        <w:rPr>
          <w:rFonts w:ascii="Times New Roman" w:hAnsi="Times New Roman" w:cs="Times New Roman"/>
        </w:rPr>
        <w:t>.</w:t>
      </w:r>
    </w:p>
    <w:p w14:paraId="7F97823C" w14:textId="7FDCBCCF" w:rsidR="00A17173" w:rsidRDefault="00A17173" w:rsidP="004F632E">
      <w:pPr>
        <w:spacing w:after="0" w:line="276" w:lineRule="auto"/>
        <w:ind w:firstLine="708"/>
        <w:jc w:val="both"/>
        <w:rPr>
          <w:rFonts w:ascii="Times New Roman" w:hAnsi="Times New Roman" w:cs="Times New Roman"/>
        </w:rPr>
      </w:pPr>
      <w:r w:rsidRPr="00CD3B9D">
        <w:rPr>
          <w:rFonts w:ascii="Times New Roman" w:hAnsi="Times New Roman" w:cs="Times New Roman"/>
        </w:rPr>
        <w:t xml:space="preserve">Członkowie </w:t>
      </w:r>
      <w:r w:rsidR="00593C09" w:rsidRPr="00CD3B9D">
        <w:rPr>
          <w:rFonts w:ascii="Times New Roman" w:hAnsi="Times New Roman" w:cs="Times New Roman"/>
        </w:rPr>
        <w:t>S</w:t>
      </w:r>
      <w:r w:rsidRPr="00CD3B9D">
        <w:rPr>
          <w:rFonts w:ascii="Times New Roman" w:hAnsi="Times New Roman" w:cs="Times New Roman"/>
        </w:rPr>
        <w:t>towarzyszenia w związku z dysponowaniem środkami publicznymi będą podejmować jawne decyzje, będą cierpliwi w tłumaczeniu ewentualnym niezadowolonym</w:t>
      </w:r>
      <w:r w:rsidRPr="00CD237E">
        <w:rPr>
          <w:rFonts w:ascii="Times New Roman" w:hAnsi="Times New Roman" w:cs="Times New Roman"/>
        </w:rPr>
        <w:t xml:space="preserve"> osobom</w:t>
      </w:r>
      <w:r w:rsidR="00593C09">
        <w:rPr>
          <w:rFonts w:ascii="Times New Roman" w:hAnsi="Times New Roman" w:cs="Times New Roman"/>
        </w:rPr>
        <w:t>,</w:t>
      </w:r>
      <w:r w:rsidRPr="00CD237E">
        <w:rPr>
          <w:rFonts w:ascii="Times New Roman" w:hAnsi="Times New Roman" w:cs="Times New Roman"/>
        </w:rPr>
        <w:t xml:space="preserve"> dlaczego podjęli takie</w:t>
      </w:r>
      <w:r w:rsidR="00593C09">
        <w:rPr>
          <w:rFonts w:ascii="Times New Roman" w:hAnsi="Times New Roman" w:cs="Times New Roman"/>
        </w:rPr>
        <w:t>,</w:t>
      </w:r>
      <w:r w:rsidRPr="00CD237E">
        <w:rPr>
          <w:rFonts w:ascii="Times New Roman" w:hAnsi="Times New Roman" w:cs="Times New Roman"/>
        </w:rPr>
        <w:t xml:space="preserve"> a nie inne decyzje i przede wszystkim będą świadomi swojej odpowiedzialności. </w:t>
      </w:r>
      <w:r w:rsidRPr="00B66E23">
        <w:rPr>
          <w:rFonts w:ascii="Times New Roman" w:hAnsi="Times New Roman" w:cs="Times New Roman"/>
        </w:rPr>
        <w:t>Dla pracowników Biura</w:t>
      </w:r>
      <w:r w:rsidR="00593C09">
        <w:rPr>
          <w:rFonts w:ascii="Times New Roman" w:hAnsi="Times New Roman" w:cs="Times New Roman"/>
        </w:rPr>
        <w:t xml:space="preserve"> LGD</w:t>
      </w:r>
      <w:r w:rsidRPr="00B66E23">
        <w:rPr>
          <w:rFonts w:ascii="Times New Roman" w:hAnsi="Times New Roman" w:cs="Times New Roman"/>
        </w:rPr>
        <w:t xml:space="preserve">, jak również dla członków organu decyzyjnego przewidziano w okresie realizacji </w:t>
      </w:r>
      <w:r w:rsidRPr="006804B2">
        <w:rPr>
          <w:rFonts w:ascii="Times New Roman" w:hAnsi="Times New Roman" w:cs="Times New Roman"/>
        </w:rPr>
        <w:t>LSR dodatkowe szkolenia w celu podnoszenia ich wiedzy i kompetencji, a także szczegółowego zapoznania się z zapisami Strategii i dokumentów programowych oraz wynikającymi z nich obowiązkami.</w:t>
      </w:r>
      <w:r>
        <w:rPr>
          <w:rFonts w:ascii="Times New Roman" w:hAnsi="Times New Roman" w:cs="Times New Roman"/>
        </w:rPr>
        <w:t xml:space="preserve"> Wszelkie szkolenia / kursy/ wyjazdy studyjne w ramach wewnętrznych struktur LGD będą miały na celu pozyskiwanie </w:t>
      </w:r>
      <w:r w:rsidRPr="00E37C67">
        <w:rPr>
          <w:rFonts w:ascii="Times New Roman" w:hAnsi="Times New Roman" w:cs="Times New Roman"/>
        </w:rPr>
        <w:t xml:space="preserve">odpowiednich kwalifikacji ekonomicznych oraz administracyjnych niezbędnych do gospodarowania środkami publicznymi. Zgodnie z założeniami Planu </w:t>
      </w:r>
      <w:r w:rsidR="00593C09">
        <w:rPr>
          <w:rFonts w:ascii="Times New Roman" w:hAnsi="Times New Roman" w:cs="Times New Roman"/>
        </w:rPr>
        <w:t>k</w:t>
      </w:r>
      <w:r w:rsidRPr="00E37C67">
        <w:rPr>
          <w:rFonts w:ascii="Times New Roman" w:hAnsi="Times New Roman" w:cs="Times New Roman"/>
        </w:rPr>
        <w:t>omunikacji</w:t>
      </w:r>
      <w:r w:rsidR="00593C09">
        <w:rPr>
          <w:rFonts w:ascii="Times New Roman" w:hAnsi="Times New Roman" w:cs="Times New Roman"/>
        </w:rPr>
        <w:t>,</w:t>
      </w:r>
      <w:r w:rsidRPr="00E37C67">
        <w:rPr>
          <w:rFonts w:ascii="Times New Roman" w:hAnsi="Times New Roman" w:cs="Times New Roman"/>
        </w:rPr>
        <w:t xml:space="preserve"> dwa razy w roku planuje się przeprowadzenie </w:t>
      </w:r>
      <w:r>
        <w:rPr>
          <w:rFonts w:ascii="Times New Roman" w:hAnsi="Times New Roman" w:cs="Times New Roman"/>
        </w:rPr>
        <w:t>działania</w:t>
      </w:r>
      <w:r w:rsidRPr="00E37C67">
        <w:rPr>
          <w:rFonts w:ascii="Times New Roman" w:hAnsi="Times New Roman" w:cs="Times New Roman"/>
        </w:rPr>
        <w:t xml:space="preserve"> edukacyjnego dla członków LGD w zakresie ich samorozwoju.</w:t>
      </w:r>
    </w:p>
    <w:p w14:paraId="6EB69E7B" w14:textId="6CC06EBD" w:rsidR="005371C7" w:rsidRDefault="005371C7" w:rsidP="005371C7">
      <w:pPr>
        <w:spacing w:after="0" w:line="276" w:lineRule="auto"/>
        <w:ind w:firstLine="708"/>
        <w:jc w:val="both"/>
        <w:rPr>
          <w:rFonts w:ascii="Times New Roman" w:hAnsi="Times New Roman" w:cs="Times New Roman"/>
        </w:rPr>
      </w:pPr>
      <w:r w:rsidRPr="008D2BF3">
        <w:rPr>
          <w:rFonts w:ascii="Times New Roman" w:hAnsi="Times New Roman" w:cs="Times New Roman"/>
          <w:color w:val="000000" w:themeColor="text1"/>
        </w:rPr>
        <w:t>Relacj</w:t>
      </w:r>
      <w:r>
        <w:rPr>
          <w:rFonts w:ascii="Times New Roman" w:hAnsi="Times New Roman" w:cs="Times New Roman"/>
          <w:color w:val="000000" w:themeColor="text1"/>
        </w:rPr>
        <w:t xml:space="preserve">e </w:t>
      </w:r>
      <w:r w:rsidRPr="008D2BF3">
        <w:rPr>
          <w:rFonts w:ascii="Times New Roman" w:hAnsi="Times New Roman" w:cs="Times New Roman"/>
          <w:color w:val="000000" w:themeColor="text1"/>
        </w:rPr>
        <w:t>między członkami LGD na etapie wdrażania LSR są oparte na pogłębionym partnerstwie i skutecznej komunikacji</w:t>
      </w:r>
      <w:r>
        <w:rPr>
          <w:rFonts w:ascii="Times New Roman" w:hAnsi="Times New Roman" w:cs="Times New Roman"/>
          <w:color w:val="000000" w:themeColor="text1"/>
        </w:rPr>
        <w:t xml:space="preserve">, która jest niezwykle istotna. </w:t>
      </w:r>
      <w:r w:rsidRPr="000D1CDB">
        <w:rPr>
          <w:rFonts w:ascii="Times New Roman" w:hAnsi="Times New Roman" w:cs="Times New Roman"/>
        </w:rPr>
        <w:t>Stosuje się formy kolegialnego podejmowania decyzji</w:t>
      </w:r>
      <w:r>
        <w:rPr>
          <w:rFonts w:ascii="Times New Roman" w:hAnsi="Times New Roman" w:cs="Times New Roman"/>
          <w:color w:val="000000" w:themeColor="text1"/>
        </w:rPr>
        <w:t>. Członkowie LGD są w stałym kontakcie zarówno z pracownikami Biura LGD jak i z Zarządem</w:t>
      </w:r>
      <w:r w:rsidR="00593C09">
        <w:rPr>
          <w:rFonts w:ascii="Times New Roman" w:hAnsi="Times New Roman" w:cs="Times New Roman"/>
          <w:color w:val="000000" w:themeColor="text1"/>
        </w:rPr>
        <w:t>,</w:t>
      </w:r>
      <w:r>
        <w:rPr>
          <w:rFonts w:ascii="Times New Roman" w:hAnsi="Times New Roman" w:cs="Times New Roman"/>
          <w:color w:val="000000" w:themeColor="text1"/>
        </w:rPr>
        <w:t xml:space="preserve"> nie tylko w kwestiach zmian w LSR, ale również w celu omówienia bieżących spraw dotyczących obszaru LGD oraz monitorowania realizacji LSR. Częste spotkania Członków oraz kontakt pozwalają na skuteczniejszą realizację przedsięwzięć oraz efektywne wykorzystanie środków finansowych. Stała komunikacja Członków pozwala również na szybką interwencję </w:t>
      </w:r>
      <w:r>
        <w:rPr>
          <w:rFonts w:ascii="Times New Roman" w:hAnsi="Times New Roman" w:cs="Times New Roman"/>
          <w:color w:val="000000" w:themeColor="text1"/>
        </w:rPr>
        <w:br/>
        <w:t xml:space="preserve">w przypadku zmian w LSR. Ponadto komunikacja odbywa się w sposób dostosowany do wszystkich członków bez względu na wiek czy stopień sprawności, tak aby żadna osoba nie była wykluczona z wdrażania LSR. </w:t>
      </w:r>
      <w:r w:rsidRPr="00C360EE">
        <w:rPr>
          <w:rFonts w:ascii="Times New Roman" w:hAnsi="Times New Roman" w:cs="Times New Roman"/>
        </w:rPr>
        <w:t>Podc</w:t>
      </w:r>
      <w:r w:rsidRPr="00DE52CF">
        <w:rPr>
          <w:rFonts w:ascii="Times New Roman" w:hAnsi="Times New Roman" w:cs="Times New Roman"/>
        </w:rPr>
        <w:t>zas zebrań organów LGD uczestnicy na ogół stosuj</w:t>
      </w:r>
      <w:r>
        <w:rPr>
          <w:rFonts w:ascii="Times New Roman" w:hAnsi="Times New Roman" w:cs="Times New Roman"/>
        </w:rPr>
        <w:t>ą</w:t>
      </w:r>
      <w:r w:rsidRPr="00DE52CF">
        <w:rPr>
          <w:rFonts w:ascii="Times New Roman" w:hAnsi="Times New Roman" w:cs="Times New Roman"/>
        </w:rPr>
        <w:t xml:space="preserve"> się do zasad kultury dialogu</w:t>
      </w:r>
      <w:r>
        <w:rPr>
          <w:rFonts w:ascii="Times New Roman" w:hAnsi="Times New Roman" w:cs="Times New Roman"/>
        </w:rPr>
        <w:t xml:space="preserve">. Podczas każdego spotkania uczestnicy mają prawo głosu i zadawania pytań, stosowane jest podsumowanie spotkań czy uzgodnień w każdej innej formie komunikacji. </w:t>
      </w:r>
      <w:r w:rsidRPr="00E37C67">
        <w:rPr>
          <w:rFonts w:ascii="Times New Roman" w:hAnsi="Times New Roman" w:cs="Times New Roman"/>
        </w:rPr>
        <w:t>Chcąc mieć możliwość sprawnego zasp</w:t>
      </w:r>
      <w:r>
        <w:rPr>
          <w:rFonts w:ascii="Times New Roman" w:hAnsi="Times New Roman" w:cs="Times New Roman"/>
        </w:rPr>
        <w:t>o</w:t>
      </w:r>
      <w:r w:rsidRPr="00E37C67">
        <w:rPr>
          <w:rFonts w:ascii="Times New Roman" w:hAnsi="Times New Roman" w:cs="Times New Roman"/>
        </w:rPr>
        <w:t>kajania potrzeb lokalnych społeczności wraz ze zmieniającymi się uwarunkowaniami zewnętrznymi, prowadzony będzie ciągły nabór propozycji projektów do realizacji. Wyniki naboru będą raz w roku podsumowane i opublikowane, oraz będą mogły stać się podstawą do wnioskowania przez Zarząd o aktualizację LSR. Raz w roku zostanie przeprowadzony konkurs na pomysł na usprawnienie funkcjonowania LGD oraz konkurs na innowacyjny pomysł do realizacji w ramach LSR.</w:t>
      </w:r>
      <w:r>
        <w:rPr>
          <w:rFonts w:ascii="Times New Roman" w:hAnsi="Times New Roman" w:cs="Times New Roman"/>
        </w:rPr>
        <w:t xml:space="preserve"> LGD będzie też tworzyć bazę potencjalnych partnerów, a także będzie prowadzić działania na rzecz kojarzenia partnerów i zachęcania do realizacji projektów partnerskich. Rozwiązania te przyczynią się do pogłębienia zaangażowania lokalnej społeczności oraz zachęcą do udziału we wdrażaniu LSR</w:t>
      </w:r>
      <w:r w:rsidR="00A17173">
        <w:rPr>
          <w:rFonts w:ascii="Times New Roman" w:hAnsi="Times New Roman" w:cs="Times New Roman"/>
        </w:rPr>
        <w:t>.</w:t>
      </w:r>
    </w:p>
    <w:p w14:paraId="3ADE5EA5" w14:textId="5E325527" w:rsidR="00A17173" w:rsidRDefault="00A17173" w:rsidP="005371C7">
      <w:pPr>
        <w:spacing w:after="0" w:line="276" w:lineRule="auto"/>
        <w:ind w:firstLine="708"/>
        <w:jc w:val="both"/>
        <w:rPr>
          <w:rFonts w:ascii="Times New Roman" w:hAnsi="Times New Roman" w:cs="Times New Roman"/>
        </w:rPr>
      </w:pPr>
      <w:r w:rsidRPr="009D4A39">
        <w:rPr>
          <w:rFonts w:ascii="Times New Roman" w:hAnsi="Times New Roman" w:cs="Times New Roman"/>
          <w:color w:val="000000" w:themeColor="text1"/>
        </w:rPr>
        <w:t xml:space="preserve">Zarząd Stowarzyszenia </w:t>
      </w:r>
      <w:r w:rsidR="00792F24">
        <w:rPr>
          <w:rFonts w:ascii="Times New Roman" w:hAnsi="Times New Roman" w:cs="Times New Roman"/>
          <w:color w:val="000000" w:themeColor="text1"/>
        </w:rPr>
        <w:t>BLGD</w:t>
      </w:r>
      <w:r w:rsidRPr="009D4A39">
        <w:rPr>
          <w:rFonts w:ascii="Times New Roman" w:hAnsi="Times New Roman" w:cs="Times New Roman"/>
          <w:color w:val="000000" w:themeColor="text1"/>
        </w:rPr>
        <w:t xml:space="preserve"> jest organem</w:t>
      </w:r>
      <w:r>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wykonawczym, działa na podstawie własnego Regulaminu. Do najważniejszych zadań Zarządu</w:t>
      </w:r>
      <w:r>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należy reprezentowanie Stowarzyszenia na zewnątrz, kierowanie bieżącą pracą Stowarzyszenia oraz</w:t>
      </w:r>
      <w:r>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Biura, zwoływanie WZC, opracowywanie projektu LSR oraz innych dokumentów wymaganych</w:t>
      </w:r>
      <w:r>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przepisami PROW, realizacja LSR</w:t>
      </w:r>
      <w:r>
        <w:rPr>
          <w:rFonts w:ascii="Times New Roman" w:hAnsi="Times New Roman" w:cs="Times New Roman"/>
          <w:color w:val="000000" w:themeColor="text1"/>
        </w:rPr>
        <w:t xml:space="preserve"> </w:t>
      </w:r>
      <w:r>
        <w:rPr>
          <w:rFonts w:ascii="Times New Roman" w:hAnsi="Times New Roman" w:cs="Times New Roman"/>
          <w:color w:val="000000" w:themeColor="text1"/>
        </w:rPr>
        <w:softHyphen/>
        <w:t xml:space="preserve"> </w:t>
      </w:r>
      <w:r w:rsidRPr="009D4A39">
        <w:rPr>
          <w:rFonts w:ascii="Times New Roman" w:hAnsi="Times New Roman" w:cs="Times New Roman"/>
          <w:color w:val="000000" w:themeColor="text1"/>
        </w:rPr>
        <w:t>w tym ogłaszanie konkursów, wykonywanie działań wymaganych</w:t>
      </w:r>
      <w:r>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 xml:space="preserve">przepisami, związanych z realizacją LSR, </w:t>
      </w:r>
      <w:r w:rsidR="00CE2EDC" w:rsidRPr="009D4A39">
        <w:rPr>
          <w:rFonts w:ascii="Times New Roman" w:hAnsi="Times New Roman" w:cs="Times New Roman"/>
          <w:color w:val="000000" w:themeColor="text1"/>
        </w:rPr>
        <w:t>z wyjątkiem</w:t>
      </w:r>
      <w:r w:rsidRPr="009D4A39">
        <w:rPr>
          <w:rFonts w:ascii="Times New Roman" w:hAnsi="Times New Roman" w:cs="Times New Roman"/>
          <w:color w:val="000000" w:themeColor="text1"/>
        </w:rPr>
        <w:t xml:space="preserve"> tych, które należą do wyłącznej kompetencji</w:t>
      </w:r>
      <w:r>
        <w:rPr>
          <w:rFonts w:ascii="Times New Roman" w:hAnsi="Times New Roman" w:cs="Times New Roman"/>
          <w:color w:val="000000" w:themeColor="text1"/>
        </w:rPr>
        <w:t xml:space="preserve"> </w:t>
      </w:r>
      <w:r w:rsidRPr="009D4A39">
        <w:rPr>
          <w:rFonts w:ascii="Times New Roman" w:hAnsi="Times New Roman" w:cs="Times New Roman"/>
          <w:color w:val="000000" w:themeColor="text1"/>
        </w:rPr>
        <w:t>Rady.</w:t>
      </w:r>
      <w:r>
        <w:rPr>
          <w:rFonts w:ascii="Times New Roman" w:hAnsi="Times New Roman" w:cs="Times New Roman"/>
          <w:color w:val="000000" w:themeColor="text1"/>
        </w:rPr>
        <w:t xml:space="preserve"> </w:t>
      </w:r>
      <w:r w:rsidRPr="00530C15">
        <w:rPr>
          <w:rFonts w:ascii="Times New Roman" w:hAnsi="Times New Roman" w:cs="Times New Roman"/>
          <w:color w:val="000000" w:themeColor="text1"/>
        </w:rPr>
        <w:t xml:space="preserve">W skład Zarządu LGD wchodzi </w:t>
      </w:r>
      <w:r w:rsidR="00792F24">
        <w:rPr>
          <w:rFonts w:ascii="Times New Roman" w:hAnsi="Times New Roman" w:cs="Times New Roman"/>
          <w:color w:val="000000" w:themeColor="text1"/>
        </w:rPr>
        <w:t>5</w:t>
      </w:r>
      <w:r w:rsidRPr="00530C15">
        <w:rPr>
          <w:rFonts w:ascii="Times New Roman" w:hAnsi="Times New Roman" w:cs="Times New Roman"/>
          <w:color w:val="000000" w:themeColor="text1"/>
        </w:rPr>
        <w:t xml:space="preserve"> osób, pełniących funkcje: Prezesa Zarządu, Wiceprezesów</w:t>
      </w:r>
      <w:r w:rsidR="004D3C28">
        <w:rPr>
          <w:rFonts w:ascii="Times New Roman" w:hAnsi="Times New Roman" w:cs="Times New Roman"/>
          <w:color w:val="000000" w:themeColor="text1"/>
        </w:rPr>
        <w:t xml:space="preserve"> oraz</w:t>
      </w:r>
      <w:r w:rsidRPr="00530C15">
        <w:rPr>
          <w:rFonts w:ascii="Times New Roman" w:hAnsi="Times New Roman" w:cs="Times New Roman"/>
          <w:color w:val="000000" w:themeColor="text1"/>
        </w:rPr>
        <w:t xml:space="preserve"> Skarbnika. </w:t>
      </w:r>
      <w:r>
        <w:rPr>
          <w:rFonts w:ascii="Times New Roman" w:hAnsi="Times New Roman" w:cs="Times New Roman"/>
        </w:rPr>
        <w:t xml:space="preserve">Wśród członków Zarządu </w:t>
      </w:r>
      <w:r w:rsidR="004D3C28">
        <w:rPr>
          <w:rFonts w:ascii="Times New Roman" w:hAnsi="Times New Roman" w:cs="Times New Roman"/>
        </w:rPr>
        <w:t>jest jedna</w:t>
      </w:r>
      <w:r>
        <w:rPr>
          <w:rFonts w:ascii="Times New Roman" w:hAnsi="Times New Roman" w:cs="Times New Roman"/>
        </w:rPr>
        <w:t xml:space="preserve"> osob</w:t>
      </w:r>
      <w:r w:rsidR="004D3C28">
        <w:rPr>
          <w:rFonts w:ascii="Times New Roman" w:hAnsi="Times New Roman" w:cs="Times New Roman"/>
        </w:rPr>
        <w:t>a</w:t>
      </w:r>
      <w:r>
        <w:rPr>
          <w:rFonts w:ascii="Times New Roman" w:hAnsi="Times New Roman" w:cs="Times New Roman"/>
        </w:rPr>
        <w:t xml:space="preserve"> powyżej 60</w:t>
      </w:r>
      <w:r w:rsidR="00356D54">
        <w:rPr>
          <w:rFonts w:ascii="Times New Roman" w:hAnsi="Times New Roman" w:cs="Times New Roman"/>
        </w:rPr>
        <w:t>.</w:t>
      </w:r>
      <w:r>
        <w:rPr>
          <w:rFonts w:ascii="Times New Roman" w:hAnsi="Times New Roman" w:cs="Times New Roman"/>
        </w:rPr>
        <w:t xml:space="preserve"> roku życia. Wysoka aktywność seniorów ma duże znaczenie na obszarze LGD, ponieważ udział tych osób w liczbie mieszkańców stale wzrasta.</w:t>
      </w:r>
      <w:r w:rsidR="0023484B">
        <w:rPr>
          <w:rFonts w:ascii="Times New Roman" w:hAnsi="Times New Roman" w:cs="Times New Roman"/>
        </w:rPr>
        <w:t xml:space="preserve"> W Zarządzie nie ma osób do 25. roku życia.</w:t>
      </w:r>
    </w:p>
    <w:p w14:paraId="015A0DF0" w14:textId="21F96DE9" w:rsidR="002F2F97" w:rsidRDefault="00A17173" w:rsidP="006871E7">
      <w:pPr>
        <w:spacing w:after="0" w:line="276" w:lineRule="auto"/>
        <w:ind w:firstLine="709"/>
        <w:jc w:val="both"/>
        <w:rPr>
          <w:rFonts w:ascii="Times New Roman" w:hAnsi="Times New Roman" w:cs="Times New Roman"/>
          <w:color w:val="000000" w:themeColor="text1"/>
        </w:rPr>
      </w:pPr>
      <w:r w:rsidRPr="00530C15">
        <w:rPr>
          <w:rFonts w:ascii="Times New Roman" w:hAnsi="Times New Roman" w:cs="Times New Roman"/>
          <w:color w:val="000000" w:themeColor="text1"/>
        </w:rPr>
        <w:t xml:space="preserve">Wszyscy </w:t>
      </w:r>
      <w:r w:rsidR="00A6572B">
        <w:rPr>
          <w:rFonts w:ascii="Times New Roman" w:hAnsi="Times New Roman" w:cs="Times New Roman"/>
          <w:color w:val="000000" w:themeColor="text1"/>
        </w:rPr>
        <w:t xml:space="preserve">członkowie </w:t>
      </w:r>
      <w:r w:rsidRPr="00530C15">
        <w:rPr>
          <w:rFonts w:ascii="Times New Roman" w:hAnsi="Times New Roman" w:cs="Times New Roman"/>
          <w:color w:val="000000" w:themeColor="text1"/>
        </w:rPr>
        <w:t xml:space="preserve">posiadają doświadczenie w działalności społecznej, wszyscy również brali czynny udział w pracach nad przygotowaniem </w:t>
      </w:r>
      <w:r>
        <w:rPr>
          <w:rFonts w:ascii="Times New Roman" w:hAnsi="Times New Roman" w:cs="Times New Roman"/>
          <w:color w:val="000000" w:themeColor="text1"/>
        </w:rPr>
        <w:t xml:space="preserve">poprzednich oraz obecnej </w:t>
      </w:r>
      <w:r w:rsidRPr="00530C15">
        <w:rPr>
          <w:rFonts w:ascii="Times New Roman" w:hAnsi="Times New Roman" w:cs="Times New Roman"/>
          <w:color w:val="000000" w:themeColor="text1"/>
        </w:rPr>
        <w:t>Strategii Rozwoju Lokalnego Kierowanego przez Społeczność na lata 20</w:t>
      </w:r>
      <w:r>
        <w:rPr>
          <w:rFonts w:ascii="Times New Roman" w:hAnsi="Times New Roman" w:cs="Times New Roman"/>
          <w:color w:val="000000" w:themeColor="text1"/>
        </w:rPr>
        <w:t>23</w:t>
      </w:r>
      <w:r w:rsidRPr="00530C15">
        <w:rPr>
          <w:rFonts w:ascii="Times New Roman" w:hAnsi="Times New Roman" w:cs="Times New Roman"/>
          <w:color w:val="000000" w:themeColor="text1"/>
        </w:rPr>
        <w:t>–202</w:t>
      </w:r>
      <w:r>
        <w:rPr>
          <w:rFonts w:ascii="Times New Roman" w:hAnsi="Times New Roman" w:cs="Times New Roman"/>
          <w:color w:val="000000" w:themeColor="text1"/>
        </w:rPr>
        <w:t>7</w:t>
      </w:r>
      <w:r w:rsidRPr="00530C15">
        <w:rPr>
          <w:rFonts w:ascii="Times New Roman" w:hAnsi="Times New Roman" w:cs="Times New Roman"/>
          <w:color w:val="000000" w:themeColor="text1"/>
        </w:rPr>
        <w:t>, poprzez przynależność do Zespołu ds. opracowywania LSR. W Biurze Zarządu LGD, powołanym w celu wspierania prac oraz organizacji działalności LGD zatrudnion</w:t>
      </w:r>
      <w:r w:rsidR="00356D54">
        <w:rPr>
          <w:rFonts w:ascii="Times New Roman" w:hAnsi="Times New Roman" w:cs="Times New Roman"/>
          <w:color w:val="000000" w:themeColor="text1"/>
        </w:rPr>
        <w:t>e są</w:t>
      </w:r>
      <w:r w:rsidR="004D3C28">
        <w:rPr>
          <w:rFonts w:ascii="Times New Roman" w:hAnsi="Times New Roman" w:cs="Times New Roman"/>
          <w:color w:val="000000" w:themeColor="text1"/>
        </w:rPr>
        <w:t xml:space="preserve"> 4</w:t>
      </w:r>
      <w:r w:rsidRPr="00530C15">
        <w:rPr>
          <w:rFonts w:ascii="Times New Roman" w:hAnsi="Times New Roman" w:cs="Times New Roman"/>
          <w:color w:val="000000" w:themeColor="text1"/>
        </w:rPr>
        <w:t xml:space="preserve"> oso</w:t>
      </w:r>
      <w:r w:rsidR="004D3C28">
        <w:rPr>
          <w:rFonts w:ascii="Times New Roman" w:hAnsi="Times New Roman" w:cs="Times New Roman"/>
          <w:color w:val="000000" w:themeColor="text1"/>
        </w:rPr>
        <w:t xml:space="preserve">by, posiadające </w:t>
      </w:r>
      <w:r w:rsidRPr="00530C15">
        <w:rPr>
          <w:rFonts w:ascii="Times New Roman" w:hAnsi="Times New Roman" w:cs="Times New Roman"/>
          <w:color w:val="000000" w:themeColor="text1"/>
        </w:rPr>
        <w:t xml:space="preserve">udokumentowane doświadczenie oraz wiedzę we wdrażaniu i aktualizacji dokumentów strategicznych. </w:t>
      </w:r>
    </w:p>
    <w:p w14:paraId="655740C0" w14:textId="258DEBBB" w:rsidR="0023484B" w:rsidRDefault="0023484B" w:rsidP="006871E7">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br w:type="page"/>
      </w:r>
    </w:p>
    <w:p w14:paraId="0F9B969C" w14:textId="77777777" w:rsidR="00A17173" w:rsidRPr="00371299" w:rsidRDefault="00A17173" w:rsidP="003126D0">
      <w:pPr>
        <w:pStyle w:val="podnagowek"/>
        <w:spacing w:after="0"/>
        <w:ind w:left="782" w:hanging="357"/>
        <w:rPr>
          <w:sz w:val="22"/>
          <w:szCs w:val="22"/>
        </w:rPr>
      </w:pPr>
      <w:bookmarkStart w:id="6" w:name="_Toc135896888"/>
      <w:r w:rsidRPr="00371299">
        <w:rPr>
          <w:sz w:val="22"/>
          <w:szCs w:val="22"/>
        </w:rPr>
        <w:lastRenderedPageBreak/>
        <w:t>Opis składu organu decyzyjnego</w:t>
      </w:r>
      <w:bookmarkEnd w:id="6"/>
    </w:p>
    <w:p w14:paraId="3DDD23F4" w14:textId="41FBD869" w:rsidR="00600816" w:rsidRDefault="00A17173" w:rsidP="003D1A36">
      <w:pPr>
        <w:spacing w:after="0" w:line="276" w:lineRule="auto"/>
        <w:ind w:firstLine="709"/>
        <w:jc w:val="both"/>
        <w:rPr>
          <w:rFonts w:ascii="Times New Roman" w:hAnsi="Times New Roman" w:cs="Times New Roman"/>
          <w:color w:val="000000" w:themeColor="text1"/>
        </w:rPr>
      </w:pPr>
      <w:r w:rsidRPr="000175DD">
        <w:rPr>
          <w:rFonts w:ascii="Times New Roman" w:hAnsi="Times New Roman" w:cs="Times New Roman"/>
          <w:color w:val="000000" w:themeColor="text1"/>
        </w:rPr>
        <w:t>Organem decyzyjnym Stowarzyszenia jest Rada, do jej wyłącznej kompetencji należy wybór</w:t>
      </w:r>
      <w:r>
        <w:rPr>
          <w:rFonts w:ascii="Times New Roman" w:hAnsi="Times New Roman" w:cs="Times New Roman"/>
          <w:color w:val="000000" w:themeColor="text1"/>
        </w:rPr>
        <w:t xml:space="preserve"> </w:t>
      </w:r>
      <w:r w:rsidRPr="000175DD">
        <w:rPr>
          <w:rFonts w:ascii="Times New Roman" w:hAnsi="Times New Roman" w:cs="Times New Roman"/>
          <w:color w:val="000000" w:themeColor="text1"/>
        </w:rPr>
        <w:t>oraz ocena operacji realizowanych w ramach wdrażania LSR, a także przyznawanie kwot wsparcia.</w:t>
      </w:r>
      <w:r>
        <w:rPr>
          <w:rFonts w:ascii="Times New Roman" w:hAnsi="Times New Roman" w:cs="Times New Roman"/>
          <w:color w:val="000000" w:themeColor="text1"/>
        </w:rPr>
        <w:t xml:space="preserve"> </w:t>
      </w:r>
      <w:r w:rsidRPr="000175DD">
        <w:rPr>
          <w:rFonts w:ascii="Times New Roman" w:hAnsi="Times New Roman" w:cs="Times New Roman"/>
          <w:color w:val="000000" w:themeColor="text1"/>
        </w:rPr>
        <w:t>W skład Rady wchodzi 1</w:t>
      </w:r>
      <w:r w:rsidR="00F27937">
        <w:rPr>
          <w:rFonts w:ascii="Times New Roman" w:hAnsi="Times New Roman" w:cs="Times New Roman"/>
          <w:color w:val="000000" w:themeColor="text1"/>
        </w:rPr>
        <w:t>1</w:t>
      </w:r>
      <w:r w:rsidRPr="000175DD">
        <w:rPr>
          <w:rFonts w:ascii="Times New Roman" w:hAnsi="Times New Roman" w:cs="Times New Roman"/>
          <w:color w:val="000000" w:themeColor="text1"/>
        </w:rPr>
        <w:t xml:space="preserve"> osób, pełniących funkcje: Przewodniczącego,</w:t>
      </w:r>
      <w:r>
        <w:rPr>
          <w:rFonts w:ascii="Times New Roman" w:hAnsi="Times New Roman" w:cs="Times New Roman"/>
          <w:color w:val="000000" w:themeColor="text1"/>
        </w:rPr>
        <w:t xml:space="preserve"> </w:t>
      </w:r>
      <w:r w:rsidR="00F27937">
        <w:rPr>
          <w:rFonts w:ascii="Times New Roman" w:hAnsi="Times New Roman" w:cs="Times New Roman"/>
          <w:color w:val="000000" w:themeColor="text1"/>
        </w:rPr>
        <w:t>Sekretarza</w:t>
      </w:r>
      <w:r w:rsidRPr="000175DD">
        <w:rPr>
          <w:rFonts w:ascii="Times New Roman" w:hAnsi="Times New Roman" w:cs="Times New Roman"/>
          <w:color w:val="000000" w:themeColor="text1"/>
        </w:rPr>
        <w:t xml:space="preserve"> oraz członków Rady. Członkowie Rady posiadają niezbędne kwalifikacje oraz</w:t>
      </w:r>
      <w:r>
        <w:rPr>
          <w:rFonts w:ascii="Times New Roman" w:hAnsi="Times New Roman" w:cs="Times New Roman"/>
          <w:color w:val="000000" w:themeColor="text1"/>
        </w:rPr>
        <w:t xml:space="preserve"> </w:t>
      </w:r>
      <w:r w:rsidRPr="000175DD">
        <w:rPr>
          <w:rFonts w:ascii="Times New Roman" w:hAnsi="Times New Roman" w:cs="Times New Roman"/>
          <w:color w:val="000000" w:themeColor="text1"/>
        </w:rPr>
        <w:t>wiedzę do pełnienia swoich funkcji: posiadają doświadczenie w realizacji operacji</w:t>
      </w:r>
      <w:r>
        <w:rPr>
          <w:rFonts w:ascii="Times New Roman" w:hAnsi="Times New Roman" w:cs="Times New Roman"/>
          <w:color w:val="000000" w:themeColor="text1"/>
        </w:rPr>
        <w:t xml:space="preserve"> </w:t>
      </w:r>
      <w:r w:rsidRPr="000175DD">
        <w:rPr>
          <w:rFonts w:ascii="Times New Roman" w:hAnsi="Times New Roman" w:cs="Times New Roman"/>
          <w:color w:val="000000" w:themeColor="text1"/>
        </w:rPr>
        <w:t xml:space="preserve">współfinansowanych ze środków zewnętrznych, </w:t>
      </w:r>
      <w:r w:rsidR="0009190E" w:rsidRPr="00F7466A">
        <w:rPr>
          <w:rFonts w:ascii="Times New Roman" w:hAnsi="Times New Roman" w:cs="Times New Roman"/>
          <w:color w:val="000000" w:themeColor="text1"/>
        </w:rPr>
        <w:t>część osób</w:t>
      </w:r>
      <w:r w:rsidRPr="00F7466A">
        <w:rPr>
          <w:rFonts w:ascii="Times New Roman" w:hAnsi="Times New Roman" w:cs="Times New Roman"/>
          <w:color w:val="000000" w:themeColor="text1"/>
        </w:rPr>
        <w:t xml:space="preserve"> pełnił</w:t>
      </w:r>
      <w:r w:rsidR="0009190E" w:rsidRPr="00F7466A">
        <w:rPr>
          <w:rFonts w:ascii="Times New Roman" w:hAnsi="Times New Roman" w:cs="Times New Roman"/>
          <w:color w:val="000000" w:themeColor="text1"/>
        </w:rPr>
        <w:t>a</w:t>
      </w:r>
      <w:r w:rsidRPr="00F7466A">
        <w:rPr>
          <w:rFonts w:ascii="Times New Roman" w:hAnsi="Times New Roman" w:cs="Times New Roman"/>
          <w:color w:val="000000" w:themeColor="text1"/>
        </w:rPr>
        <w:t xml:space="preserve"> funkcję Członka Rady w </w:t>
      </w:r>
      <w:r w:rsidR="0009190E" w:rsidRPr="00F7466A">
        <w:rPr>
          <w:rFonts w:ascii="Times New Roman" w:hAnsi="Times New Roman" w:cs="Times New Roman"/>
          <w:color w:val="000000" w:themeColor="text1"/>
        </w:rPr>
        <w:t>poprzednich okresach programowania</w:t>
      </w:r>
      <w:r w:rsidRPr="00F7466A">
        <w:rPr>
          <w:rFonts w:ascii="Times New Roman" w:hAnsi="Times New Roman" w:cs="Times New Roman"/>
          <w:color w:val="000000" w:themeColor="text1"/>
        </w:rPr>
        <w:t>,</w:t>
      </w:r>
      <w:r w:rsidRPr="000175DD">
        <w:rPr>
          <w:rFonts w:ascii="Times New Roman" w:hAnsi="Times New Roman" w:cs="Times New Roman"/>
          <w:color w:val="000000" w:themeColor="text1"/>
        </w:rPr>
        <w:t xml:space="preserve"> wszyscy uczestniczyli w szeregu szkoleń w zakresie realizacji PROW. Rada jest organem,</w:t>
      </w:r>
      <w:r>
        <w:rPr>
          <w:rFonts w:ascii="Times New Roman" w:hAnsi="Times New Roman" w:cs="Times New Roman"/>
          <w:color w:val="000000" w:themeColor="text1"/>
        </w:rPr>
        <w:t xml:space="preserve"> </w:t>
      </w:r>
      <w:r w:rsidRPr="000175DD">
        <w:rPr>
          <w:rFonts w:ascii="Times New Roman" w:hAnsi="Times New Roman" w:cs="Times New Roman"/>
          <w:color w:val="000000" w:themeColor="text1"/>
        </w:rPr>
        <w:t>w którym reprezentację posiadają wszystkie gminy członkowskie oraz sektory: publiczny, społeczny,</w:t>
      </w:r>
      <w:r>
        <w:rPr>
          <w:rFonts w:ascii="Times New Roman" w:hAnsi="Times New Roman" w:cs="Times New Roman"/>
          <w:color w:val="000000" w:themeColor="text1"/>
        </w:rPr>
        <w:t xml:space="preserve"> </w:t>
      </w:r>
      <w:r w:rsidRPr="000175DD">
        <w:rPr>
          <w:rFonts w:ascii="Times New Roman" w:hAnsi="Times New Roman" w:cs="Times New Roman"/>
          <w:color w:val="000000" w:themeColor="text1"/>
        </w:rPr>
        <w:t xml:space="preserve">gospodarczy </w:t>
      </w:r>
      <w:r w:rsidR="00356D54">
        <w:rPr>
          <w:rFonts w:ascii="Times New Roman" w:hAnsi="Times New Roman" w:cs="Times New Roman"/>
          <w:color w:val="000000" w:themeColor="text1"/>
        </w:rPr>
        <w:br/>
      </w:r>
      <w:r w:rsidRPr="000175DD">
        <w:rPr>
          <w:rFonts w:ascii="Times New Roman" w:hAnsi="Times New Roman" w:cs="Times New Roman"/>
          <w:color w:val="000000" w:themeColor="text1"/>
        </w:rPr>
        <w:t>i mieszkańcy. W składzie Rady zachowano parytety związane z obecnością co najmniej 1 kobiety oraz związane</w:t>
      </w:r>
      <w:r>
        <w:rPr>
          <w:rFonts w:ascii="Times New Roman" w:hAnsi="Times New Roman" w:cs="Times New Roman"/>
          <w:color w:val="000000" w:themeColor="text1"/>
        </w:rPr>
        <w:t xml:space="preserve"> </w:t>
      </w:r>
      <w:r w:rsidR="00356D54">
        <w:rPr>
          <w:rFonts w:ascii="Times New Roman" w:hAnsi="Times New Roman" w:cs="Times New Roman"/>
          <w:color w:val="000000" w:themeColor="text1"/>
        </w:rPr>
        <w:br/>
      </w:r>
      <w:r w:rsidRPr="000175DD">
        <w:rPr>
          <w:rFonts w:ascii="Times New Roman" w:hAnsi="Times New Roman" w:cs="Times New Roman"/>
          <w:color w:val="000000" w:themeColor="text1"/>
        </w:rPr>
        <w:t xml:space="preserve">z reprezentatywnością sektorów. </w:t>
      </w:r>
      <w:r w:rsidRPr="00F27937">
        <w:rPr>
          <w:rFonts w:ascii="Times New Roman" w:hAnsi="Times New Roman" w:cs="Times New Roman"/>
          <w:color w:val="000000" w:themeColor="text1"/>
        </w:rPr>
        <w:t>Przedstawiciele sektora publicznego stanowią 2</w:t>
      </w:r>
      <w:r w:rsidR="00F27937" w:rsidRPr="00F27937">
        <w:rPr>
          <w:rFonts w:ascii="Times New Roman" w:hAnsi="Times New Roman" w:cs="Times New Roman"/>
          <w:color w:val="000000" w:themeColor="text1"/>
        </w:rPr>
        <w:t>7</w:t>
      </w:r>
      <w:r w:rsidRPr="00F27937">
        <w:rPr>
          <w:rFonts w:ascii="Times New Roman" w:hAnsi="Times New Roman" w:cs="Times New Roman"/>
          <w:color w:val="000000" w:themeColor="text1"/>
        </w:rPr>
        <w:t>% składu (</w:t>
      </w:r>
      <w:r w:rsidR="00F27937" w:rsidRPr="00F27937">
        <w:rPr>
          <w:rFonts w:ascii="Times New Roman" w:hAnsi="Times New Roman" w:cs="Times New Roman"/>
          <w:color w:val="000000" w:themeColor="text1"/>
        </w:rPr>
        <w:t>3</w:t>
      </w:r>
      <w:r w:rsidRPr="00F27937">
        <w:rPr>
          <w:rFonts w:ascii="Times New Roman" w:hAnsi="Times New Roman" w:cs="Times New Roman"/>
          <w:color w:val="000000" w:themeColor="text1"/>
        </w:rPr>
        <w:t xml:space="preserve"> osoby), sektora społecznego </w:t>
      </w:r>
      <w:r w:rsidR="00247CB2">
        <w:rPr>
          <w:rFonts w:ascii="Times New Roman" w:hAnsi="Times New Roman" w:cs="Times New Roman"/>
          <w:color w:val="000000" w:themeColor="text1"/>
        </w:rPr>
        <w:t>45</w:t>
      </w:r>
      <w:r w:rsidRPr="00F27937">
        <w:rPr>
          <w:rFonts w:ascii="Times New Roman" w:hAnsi="Times New Roman" w:cs="Times New Roman"/>
          <w:color w:val="000000" w:themeColor="text1"/>
        </w:rPr>
        <w:t>% składu (</w:t>
      </w:r>
      <w:r w:rsidR="002F2F97">
        <w:rPr>
          <w:rFonts w:ascii="Times New Roman" w:hAnsi="Times New Roman" w:cs="Times New Roman"/>
          <w:color w:val="000000" w:themeColor="text1"/>
        </w:rPr>
        <w:t>3</w:t>
      </w:r>
      <w:r w:rsidRPr="00F27937">
        <w:rPr>
          <w:rFonts w:ascii="Times New Roman" w:hAnsi="Times New Roman" w:cs="Times New Roman"/>
          <w:color w:val="000000" w:themeColor="text1"/>
        </w:rPr>
        <w:t xml:space="preserve"> osoby</w:t>
      </w:r>
      <w:r w:rsidR="00247CB2">
        <w:rPr>
          <w:rFonts w:ascii="Times New Roman" w:hAnsi="Times New Roman" w:cs="Times New Roman"/>
          <w:color w:val="000000" w:themeColor="text1"/>
        </w:rPr>
        <w:t xml:space="preserve"> reprezentują organizacje pozarządowe, </w:t>
      </w:r>
      <w:r w:rsidR="002F2F97">
        <w:rPr>
          <w:rFonts w:ascii="Times New Roman" w:hAnsi="Times New Roman" w:cs="Times New Roman"/>
          <w:color w:val="000000" w:themeColor="text1"/>
        </w:rPr>
        <w:t>2</w:t>
      </w:r>
      <w:r w:rsidR="00247CB2">
        <w:rPr>
          <w:rFonts w:ascii="Times New Roman" w:hAnsi="Times New Roman" w:cs="Times New Roman"/>
          <w:color w:val="000000" w:themeColor="text1"/>
        </w:rPr>
        <w:t xml:space="preserve"> osoby reprezentują mieszkańców</w:t>
      </w:r>
      <w:r w:rsidRPr="00F27937">
        <w:rPr>
          <w:rFonts w:ascii="Times New Roman" w:hAnsi="Times New Roman" w:cs="Times New Roman"/>
          <w:color w:val="000000" w:themeColor="text1"/>
        </w:rPr>
        <w:t>), sektora gospodarczego 2</w:t>
      </w:r>
      <w:r w:rsidR="00F27937" w:rsidRPr="00F27937">
        <w:rPr>
          <w:rFonts w:ascii="Times New Roman" w:hAnsi="Times New Roman" w:cs="Times New Roman"/>
          <w:color w:val="000000" w:themeColor="text1"/>
        </w:rPr>
        <w:t>7</w:t>
      </w:r>
      <w:r w:rsidRPr="00F27937">
        <w:rPr>
          <w:rFonts w:ascii="Times New Roman" w:hAnsi="Times New Roman" w:cs="Times New Roman"/>
          <w:color w:val="000000" w:themeColor="text1"/>
        </w:rPr>
        <w:t>% (</w:t>
      </w:r>
      <w:r w:rsidR="00F27937" w:rsidRPr="00F27937">
        <w:rPr>
          <w:rFonts w:ascii="Times New Roman" w:hAnsi="Times New Roman" w:cs="Times New Roman"/>
          <w:color w:val="000000" w:themeColor="text1"/>
        </w:rPr>
        <w:t>3</w:t>
      </w:r>
      <w:r w:rsidRPr="00F27937">
        <w:rPr>
          <w:rFonts w:ascii="Times New Roman" w:hAnsi="Times New Roman" w:cs="Times New Roman"/>
          <w:color w:val="000000" w:themeColor="text1"/>
        </w:rPr>
        <w:t xml:space="preserve"> osoby)</w:t>
      </w:r>
      <w:r w:rsidR="00247CB2">
        <w:rPr>
          <w:rFonts w:ascii="Times New Roman" w:hAnsi="Times New Roman" w:cs="Times New Roman"/>
          <w:color w:val="000000" w:themeColor="text1"/>
        </w:rPr>
        <w:t>.</w:t>
      </w:r>
      <w:r w:rsidR="00600816">
        <w:rPr>
          <w:rFonts w:ascii="Times New Roman" w:hAnsi="Times New Roman" w:cs="Times New Roman"/>
          <w:color w:val="000000" w:themeColor="text1"/>
        </w:rPr>
        <w:t xml:space="preserve"> Ponadto w Radzie znajdują się osoby po 60. roku życia</w:t>
      </w:r>
      <w:r w:rsidR="00201830">
        <w:rPr>
          <w:rFonts w:ascii="Times New Roman" w:hAnsi="Times New Roman" w:cs="Times New Roman"/>
          <w:color w:val="000000" w:themeColor="text1"/>
        </w:rPr>
        <w:t>, ale nie ma w niej</w:t>
      </w:r>
      <w:r w:rsidR="00600816">
        <w:rPr>
          <w:rFonts w:ascii="Times New Roman" w:hAnsi="Times New Roman" w:cs="Times New Roman"/>
          <w:color w:val="000000" w:themeColor="text1"/>
        </w:rPr>
        <w:t xml:space="preserve"> os</w:t>
      </w:r>
      <w:r w:rsidR="00201830">
        <w:rPr>
          <w:rFonts w:ascii="Times New Roman" w:hAnsi="Times New Roman" w:cs="Times New Roman"/>
          <w:color w:val="000000" w:themeColor="text1"/>
        </w:rPr>
        <w:t>ób</w:t>
      </w:r>
      <w:r w:rsidR="00600816">
        <w:rPr>
          <w:rFonts w:ascii="Times New Roman" w:hAnsi="Times New Roman" w:cs="Times New Roman"/>
          <w:color w:val="000000" w:themeColor="text1"/>
        </w:rPr>
        <w:t xml:space="preserve"> do 25. roku życia. Rada jest wybierana przez Walne Zebranie Członków Stowarzyszenia spośród członków tego zebrania. Członek Rady nie może być jednocześnie pracownikiem </w:t>
      </w:r>
      <w:r w:rsidR="00356D54">
        <w:rPr>
          <w:rFonts w:ascii="Times New Roman" w:hAnsi="Times New Roman" w:cs="Times New Roman"/>
          <w:color w:val="000000" w:themeColor="text1"/>
        </w:rPr>
        <w:t>B</w:t>
      </w:r>
      <w:r w:rsidR="00600816">
        <w:rPr>
          <w:rFonts w:ascii="Times New Roman" w:hAnsi="Times New Roman" w:cs="Times New Roman"/>
          <w:color w:val="000000" w:themeColor="text1"/>
        </w:rPr>
        <w:t xml:space="preserve">iura LGD i nie może pełnić funkcji </w:t>
      </w:r>
      <w:r w:rsidR="00356D54">
        <w:rPr>
          <w:rFonts w:ascii="Times New Roman" w:hAnsi="Times New Roman" w:cs="Times New Roman"/>
          <w:color w:val="000000" w:themeColor="text1"/>
        </w:rPr>
        <w:br/>
      </w:r>
      <w:r w:rsidR="00600816">
        <w:rPr>
          <w:rFonts w:ascii="Times New Roman" w:hAnsi="Times New Roman" w:cs="Times New Roman"/>
          <w:color w:val="000000" w:themeColor="text1"/>
        </w:rPr>
        <w:t>w żadnym innym organie Stowarzyszenia.</w:t>
      </w:r>
    </w:p>
    <w:p w14:paraId="69D1D857" w14:textId="77777777" w:rsidR="00A17173" w:rsidRPr="00371299" w:rsidRDefault="00A17173" w:rsidP="003D1A36">
      <w:pPr>
        <w:pStyle w:val="podnagowek"/>
        <w:spacing w:after="0"/>
        <w:ind w:left="782" w:hanging="357"/>
        <w:rPr>
          <w:sz w:val="22"/>
          <w:szCs w:val="22"/>
        </w:rPr>
      </w:pPr>
      <w:bookmarkStart w:id="7" w:name="_Toc135896889"/>
      <w:r w:rsidRPr="00371299">
        <w:rPr>
          <w:sz w:val="22"/>
          <w:szCs w:val="22"/>
        </w:rPr>
        <w:t>Charakterystyka rozwiązań stosowanych w procesie decyzyjnym</w:t>
      </w:r>
      <w:bookmarkEnd w:id="7"/>
    </w:p>
    <w:p w14:paraId="1D4E471C" w14:textId="77777777" w:rsidR="00595ECA" w:rsidRDefault="00A17173" w:rsidP="006871E7">
      <w:pPr>
        <w:spacing w:after="0" w:line="276" w:lineRule="auto"/>
        <w:ind w:firstLine="709"/>
        <w:jc w:val="both"/>
        <w:rPr>
          <w:rFonts w:ascii="Times New Roman" w:hAnsi="Times New Roman" w:cs="Times New Roman"/>
          <w:color w:val="000000" w:themeColor="text1"/>
        </w:rPr>
      </w:pPr>
      <w:r w:rsidRPr="00C16F7F">
        <w:rPr>
          <w:rFonts w:ascii="Times New Roman" w:hAnsi="Times New Roman" w:cs="Times New Roman"/>
          <w:color w:val="000000" w:themeColor="text1"/>
        </w:rPr>
        <w:t>W procesie decyzyjnym każdorazowo Rada zachowywać będzie parytety</w:t>
      </w:r>
      <w:r>
        <w:rPr>
          <w:rFonts w:ascii="Times New Roman" w:hAnsi="Times New Roman" w:cs="Times New Roman"/>
          <w:color w:val="000000" w:themeColor="text1"/>
        </w:rPr>
        <w:t xml:space="preserve"> zapewniające reprezentatywność sektorów poprzez </w:t>
      </w:r>
      <w:r w:rsidRPr="00C16F7F">
        <w:rPr>
          <w:rFonts w:ascii="Times New Roman" w:hAnsi="Times New Roman" w:cs="Times New Roman"/>
          <w:color w:val="000000" w:themeColor="text1"/>
        </w:rPr>
        <w:t>weryfikowanie grup interesu</w:t>
      </w:r>
      <w:r>
        <w:rPr>
          <w:rFonts w:ascii="Times New Roman" w:hAnsi="Times New Roman" w:cs="Times New Roman"/>
          <w:color w:val="000000" w:themeColor="text1"/>
        </w:rPr>
        <w:t xml:space="preserve"> – </w:t>
      </w:r>
      <w:r w:rsidRPr="00C16F7F">
        <w:rPr>
          <w:rFonts w:ascii="Times New Roman" w:hAnsi="Times New Roman" w:cs="Times New Roman"/>
          <w:color w:val="000000" w:themeColor="text1"/>
        </w:rPr>
        <w:t xml:space="preserve">zgodnie z przyjętym Regulaminem Rady oraz Procedurą wyboru </w:t>
      </w:r>
      <w:r>
        <w:rPr>
          <w:rFonts w:ascii="Times New Roman" w:hAnsi="Times New Roman" w:cs="Times New Roman"/>
          <w:color w:val="000000" w:themeColor="text1"/>
        </w:rPr>
        <w:br/>
      </w:r>
      <w:r w:rsidRPr="00C16F7F">
        <w:rPr>
          <w:rFonts w:ascii="Times New Roman" w:hAnsi="Times New Roman" w:cs="Times New Roman"/>
          <w:color w:val="000000" w:themeColor="text1"/>
        </w:rPr>
        <w:t>i oceny operacji</w:t>
      </w:r>
      <w:r>
        <w:rPr>
          <w:rFonts w:ascii="Times New Roman" w:hAnsi="Times New Roman" w:cs="Times New Roman"/>
          <w:color w:val="000000" w:themeColor="text1"/>
        </w:rPr>
        <w:t>, a także</w:t>
      </w:r>
      <w:r w:rsidRPr="00C16F7F">
        <w:rPr>
          <w:rFonts w:ascii="Times New Roman" w:hAnsi="Times New Roman" w:cs="Times New Roman"/>
          <w:color w:val="000000" w:themeColor="text1"/>
        </w:rPr>
        <w:t xml:space="preserve"> Procedurą wyboru i oceny grantobiorców</w:t>
      </w:r>
      <w:r w:rsidRPr="00A654F7">
        <w:rPr>
          <w:rFonts w:ascii="Times New Roman" w:hAnsi="Times New Roman" w:cs="Times New Roman"/>
          <w:color w:val="000000" w:themeColor="text1"/>
        </w:rPr>
        <w:t>. W składzie Rady</w:t>
      </w:r>
      <w:r>
        <w:rPr>
          <w:rFonts w:ascii="Times New Roman" w:hAnsi="Times New Roman" w:cs="Times New Roman"/>
          <w:color w:val="000000" w:themeColor="text1"/>
        </w:rPr>
        <w:t xml:space="preserve"> </w:t>
      </w:r>
      <w:r w:rsidRPr="00A654F7">
        <w:rPr>
          <w:rFonts w:ascii="Times New Roman" w:hAnsi="Times New Roman" w:cs="Times New Roman"/>
          <w:color w:val="000000" w:themeColor="text1"/>
        </w:rPr>
        <w:t>podczas podejmowania decyzji ani władze publiczne ani żadna z grup interesu nie będzie posiadać</w:t>
      </w:r>
      <w:r>
        <w:rPr>
          <w:rFonts w:ascii="Times New Roman" w:hAnsi="Times New Roman" w:cs="Times New Roman"/>
          <w:color w:val="000000" w:themeColor="text1"/>
        </w:rPr>
        <w:t xml:space="preserve"> </w:t>
      </w:r>
      <w:r w:rsidRPr="00A654F7">
        <w:rPr>
          <w:rFonts w:ascii="Times New Roman" w:hAnsi="Times New Roman" w:cs="Times New Roman"/>
          <w:color w:val="000000" w:themeColor="text1"/>
        </w:rPr>
        <w:t>więcej niż 49% praw głosu. Poprawności formalnej wyłącze</w:t>
      </w:r>
      <w:r>
        <w:rPr>
          <w:rFonts w:ascii="Times New Roman" w:hAnsi="Times New Roman" w:cs="Times New Roman"/>
          <w:color w:val="000000" w:themeColor="text1"/>
        </w:rPr>
        <w:t xml:space="preserve">nia </w:t>
      </w:r>
      <w:r w:rsidRPr="00A654F7">
        <w:rPr>
          <w:rFonts w:ascii="Times New Roman" w:hAnsi="Times New Roman" w:cs="Times New Roman"/>
          <w:color w:val="000000" w:themeColor="text1"/>
        </w:rPr>
        <w:t>służyły będą deklaracje</w:t>
      </w:r>
      <w:r>
        <w:rPr>
          <w:rFonts w:ascii="Times New Roman" w:hAnsi="Times New Roman" w:cs="Times New Roman"/>
          <w:color w:val="000000" w:themeColor="text1"/>
        </w:rPr>
        <w:t xml:space="preserve"> </w:t>
      </w:r>
      <w:r w:rsidRPr="00A654F7">
        <w:rPr>
          <w:rFonts w:ascii="Times New Roman" w:hAnsi="Times New Roman" w:cs="Times New Roman"/>
          <w:color w:val="000000" w:themeColor="text1"/>
        </w:rPr>
        <w:t>bezstronności oraz rejestry interesów członków Rady.</w:t>
      </w:r>
      <w:r>
        <w:rPr>
          <w:rFonts w:ascii="Times New Roman" w:hAnsi="Times New Roman" w:cs="Times New Roman"/>
          <w:color w:val="000000" w:themeColor="text1"/>
        </w:rPr>
        <w:t xml:space="preserve"> </w:t>
      </w:r>
    </w:p>
    <w:p w14:paraId="32656869" w14:textId="57C45282" w:rsidR="00A17173" w:rsidRDefault="00595ECA" w:rsidP="00E7576F">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Kolejnym organem Stowarzyszenia jest </w:t>
      </w:r>
      <w:r w:rsidR="00A17173" w:rsidRPr="00A654F7">
        <w:rPr>
          <w:rFonts w:ascii="Times New Roman" w:hAnsi="Times New Roman" w:cs="Times New Roman"/>
          <w:color w:val="000000" w:themeColor="text1"/>
        </w:rPr>
        <w:t xml:space="preserve">Komisja Rewizyjna, która składa się z </w:t>
      </w:r>
      <w:r w:rsidR="00E0087F">
        <w:rPr>
          <w:rFonts w:ascii="Times New Roman" w:hAnsi="Times New Roman" w:cs="Times New Roman"/>
          <w:color w:val="000000" w:themeColor="text1"/>
        </w:rPr>
        <w:t>Przewodniczącego, Wiceprzewodniczącego oraz od 1 do 3 członków wybieranych i odwoływanych przez Walne Zebranie Członków</w:t>
      </w:r>
      <w:r>
        <w:rPr>
          <w:rFonts w:ascii="Times New Roman" w:hAnsi="Times New Roman" w:cs="Times New Roman"/>
          <w:color w:val="000000" w:themeColor="text1"/>
        </w:rPr>
        <w:t xml:space="preserve">. Komisja Rewizyjna </w:t>
      </w:r>
      <w:r w:rsidR="00D541D2">
        <w:rPr>
          <w:rFonts w:ascii="Times New Roman" w:hAnsi="Times New Roman" w:cs="Times New Roman"/>
          <w:color w:val="000000" w:themeColor="text1"/>
        </w:rPr>
        <w:t xml:space="preserve">jest </w:t>
      </w:r>
      <w:r>
        <w:rPr>
          <w:rFonts w:ascii="Times New Roman" w:hAnsi="Times New Roman" w:cs="Times New Roman"/>
          <w:color w:val="000000" w:themeColor="text1"/>
        </w:rPr>
        <w:t xml:space="preserve">organem kontrolującym całokształt działalności Stowarzyszenia. </w:t>
      </w:r>
    </w:p>
    <w:p w14:paraId="3607FD2C" w14:textId="3F80864B" w:rsidR="006F6DDB" w:rsidRPr="006F6DDB" w:rsidRDefault="00A17173" w:rsidP="003D1A36">
      <w:pPr>
        <w:pStyle w:val="Akapitzlist"/>
        <w:spacing w:after="0" w:line="276" w:lineRule="auto"/>
        <w:ind w:left="0" w:firstLine="708"/>
        <w:jc w:val="both"/>
        <w:rPr>
          <w:rFonts w:ascii="Times New Roman" w:hAnsi="Times New Roman" w:cs="Times New Roman"/>
        </w:rPr>
      </w:pPr>
      <w:r w:rsidRPr="003B216D">
        <w:rPr>
          <w:rFonts w:ascii="Times New Roman" w:hAnsi="Times New Roman" w:cs="Times New Roman"/>
        </w:rPr>
        <w:t xml:space="preserve">Wszystkie organy struktury LGD działają na bazie właściwych dla siebie Regulaminów. </w:t>
      </w:r>
      <w:r>
        <w:rPr>
          <w:rFonts w:ascii="Times New Roman" w:hAnsi="Times New Roman" w:cs="Times New Roman"/>
        </w:rPr>
        <w:t xml:space="preserve">Jasny jest podział praw i obowiązków. Rada posiada doświadczenie w procesie wyboru operacji, które mają być realizowane w ramach LSR oraz ustalania kwot wsparcia. Dzięki temu, że organ składa się z przedstawicieli różnych środowisk, szeroki jest zakres wiedzy i kompetencji jej członków. Członkowie Rady przechodzili i będą przechodzić szkolenia </w:t>
      </w:r>
      <w:r>
        <w:rPr>
          <w:rFonts w:ascii="Times New Roman" w:hAnsi="Times New Roman" w:cs="Times New Roman"/>
        </w:rPr>
        <w:br/>
        <w:t>w zakresie przygotowania do sprawnego wdrażania LSR</w:t>
      </w:r>
      <w:r w:rsidR="0009190E">
        <w:rPr>
          <w:rFonts w:ascii="Times New Roman" w:hAnsi="Times New Roman" w:cs="Times New Roman"/>
        </w:rPr>
        <w:t>.</w:t>
      </w:r>
      <w:r>
        <w:rPr>
          <w:rFonts w:ascii="Times New Roman" w:hAnsi="Times New Roman" w:cs="Times New Roman"/>
        </w:rPr>
        <w:t xml:space="preserve"> </w:t>
      </w:r>
    </w:p>
    <w:p w14:paraId="7321480D" w14:textId="77777777" w:rsidR="00A17173" w:rsidRPr="00371299" w:rsidRDefault="00A17173" w:rsidP="003D1A36">
      <w:pPr>
        <w:pStyle w:val="podnagowek"/>
        <w:spacing w:after="0"/>
        <w:ind w:left="782" w:hanging="357"/>
        <w:rPr>
          <w:sz w:val="22"/>
          <w:szCs w:val="22"/>
        </w:rPr>
      </w:pPr>
      <w:bookmarkStart w:id="8" w:name="_Toc135896890"/>
      <w:r w:rsidRPr="00371299">
        <w:rPr>
          <w:sz w:val="22"/>
          <w:szCs w:val="22"/>
        </w:rPr>
        <w:t>Dokumenty regulujące funkcjonowanie LGD</w:t>
      </w:r>
      <w:bookmarkEnd w:id="8"/>
    </w:p>
    <w:p w14:paraId="5ED61F58" w14:textId="77777777" w:rsidR="00A17173" w:rsidRDefault="00A17173" w:rsidP="003D1A36">
      <w:pPr>
        <w:spacing w:after="0" w:line="276" w:lineRule="auto"/>
        <w:ind w:firstLine="709"/>
        <w:jc w:val="both"/>
        <w:rPr>
          <w:rFonts w:ascii="Times New Roman" w:hAnsi="Times New Roman" w:cs="Times New Roman"/>
          <w:color w:val="000000" w:themeColor="text1"/>
        </w:rPr>
      </w:pPr>
      <w:r w:rsidRPr="0046610B">
        <w:rPr>
          <w:rFonts w:ascii="Times New Roman" w:hAnsi="Times New Roman" w:cs="Times New Roman"/>
          <w:color w:val="000000" w:themeColor="text1"/>
        </w:rPr>
        <w:t>Dokumentami, które regulują działalność Stowarzyszenia są</w:t>
      </w:r>
      <w:r>
        <w:rPr>
          <w:rFonts w:ascii="Times New Roman" w:hAnsi="Times New Roman" w:cs="Times New Roman"/>
          <w:color w:val="000000" w:themeColor="text1"/>
        </w:rPr>
        <w:t>:</w:t>
      </w:r>
    </w:p>
    <w:p w14:paraId="0E124E9B" w14:textId="77777777" w:rsidR="00B84E0F" w:rsidRDefault="00B84E0F" w:rsidP="00B84E0F">
      <w:pPr>
        <w:pStyle w:val="Akapitzlist"/>
        <w:numPr>
          <w:ilvl w:val="0"/>
          <w:numId w:val="13"/>
        </w:numPr>
        <w:spacing w:line="276" w:lineRule="auto"/>
        <w:jc w:val="both"/>
        <w:rPr>
          <w:rFonts w:ascii="Times New Roman" w:hAnsi="Times New Roman" w:cs="Times New Roman"/>
        </w:rPr>
      </w:pPr>
      <w:r w:rsidRPr="005B08ED">
        <w:rPr>
          <w:rFonts w:ascii="Times New Roman" w:hAnsi="Times New Roman" w:cs="Times New Roman"/>
          <w:i/>
          <w:iCs/>
        </w:rPr>
        <w:t>Ustaw</w:t>
      </w:r>
      <w:r>
        <w:rPr>
          <w:rFonts w:ascii="Times New Roman" w:hAnsi="Times New Roman" w:cs="Times New Roman"/>
          <w:i/>
          <w:iCs/>
        </w:rPr>
        <w:t>a</w:t>
      </w:r>
      <w:r w:rsidRPr="005B08ED">
        <w:rPr>
          <w:rFonts w:ascii="Times New Roman" w:hAnsi="Times New Roman" w:cs="Times New Roman"/>
          <w:i/>
          <w:iCs/>
        </w:rPr>
        <w:t xml:space="preserve"> z dnia 20 lutego 2015 r. o rozwoju lokalnym z udziałem lokalnej społeczności</w:t>
      </w:r>
      <w:r>
        <w:rPr>
          <w:rFonts w:ascii="Times New Roman" w:hAnsi="Times New Roman" w:cs="Times New Roman"/>
        </w:rPr>
        <w:t xml:space="preserve"> (Dz. U. z 2022 r. poz. 943 z późn. zm.);</w:t>
      </w:r>
    </w:p>
    <w:p w14:paraId="6F5E5730" w14:textId="77777777" w:rsidR="00B84E0F" w:rsidRDefault="00B84E0F" w:rsidP="00B84E0F">
      <w:pPr>
        <w:pStyle w:val="Akapitzlist"/>
        <w:numPr>
          <w:ilvl w:val="0"/>
          <w:numId w:val="13"/>
        </w:numPr>
        <w:spacing w:line="276" w:lineRule="auto"/>
        <w:jc w:val="both"/>
        <w:rPr>
          <w:rFonts w:ascii="Times New Roman" w:hAnsi="Times New Roman" w:cs="Times New Roman"/>
        </w:rPr>
      </w:pPr>
      <w:r w:rsidRPr="005B08ED">
        <w:rPr>
          <w:rFonts w:ascii="Times New Roman" w:hAnsi="Times New Roman" w:cs="Times New Roman"/>
          <w:i/>
          <w:iCs/>
        </w:rPr>
        <w:t>Ustaw</w:t>
      </w:r>
      <w:r>
        <w:rPr>
          <w:rFonts w:ascii="Times New Roman" w:hAnsi="Times New Roman" w:cs="Times New Roman"/>
          <w:i/>
          <w:iCs/>
        </w:rPr>
        <w:t>a</w:t>
      </w:r>
      <w:r w:rsidRPr="005B08ED">
        <w:rPr>
          <w:rFonts w:ascii="Times New Roman" w:hAnsi="Times New Roman" w:cs="Times New Roman"/>
          <w:i/>
          <w:iCs/>
        </w:rPr>
        <w:t xml:space="preserve"> z dnia 7 kwietnia 1989 r. Prawo o stowarzyszeniach</w:t>
      </w:r>
      <w:r>
        <w:rPr>
          <w:rFonts w:ascii="Times New Roman" w:hAnsi="Times New Roman" w:cs="Times New Roman"/>
        </w:rPr>
        <w:t xml:space="preserve"> (Dz. U. z 2020 r. poz. 2261);</w:t>
      </w:r>
    </w:p>
    <w:p w14:paraId="1143C633" w14:textId="77777777" w:rsidR="00B84E0F" w:rsidRDefault="00B84E0F" w:rsidP="00B84E0F">
      <w:pPr>
        <w:pStyle w:val="Akapitzlist"/>
        <w:numPr>
          <w:ilvl w:val="0"/>
          <w:numId w:val="13"/>
        </w:numPr>
        <w:spacing w:line="276" w:lineRule="auto"/>
        <w:jc w:val="both"/>
        <w:rPr>
          <w:rFonts w:ascii="Times New Roman" w:hAnsi="Times New Roman" w:cs="Times New Roman"/>
        </w:rPr>
      </w:pPr>
      <w:r w:rsidRPr="003776F1">
        <w:rPr>
          <w:rFonts w:ascii="Times New Roman" w:hAnsi="Times New Roman" w:cs="Times New Roman"/>
          <w:i/>
          <w:iCs/>
        </w:rPr>
        <w:t>Ustaw</w:t>
      </w:r>
      <w:r>
        <w:rPr>
          <w:rFonts w:ascii="Times New Roman" w:hAnsi="Times New Roman" w:cs="Times New Roman"/>
          <w:i/>
          <w:iCs/>
        </w:rPr>
        <w:t>a</w:t>
      </w:r>
      <w:r w:rsidRPr="003776F1">
        <w:rPr>
          <w:rFonts w:ascii="Times New Roman" w:hAnsi="Times New Roman" w:cs="Times New Roman"/>
          <w:i/>
          <w:iCs/>
        </w:rPr>
        <w:t xml:space="preserve"> z dnia 20 lutego 2015 r. o wspieraniu rozwoju obszarów wiejskich z udziałem środków Europejskiego Funduszu Rolnego na rzecz Rozwoju Obszarów Wiejskich w ramach Programu Rozwoju Obszarów Wiejskich na lata 2014</w:t>
      </w:r>
      <w:r>
        <w:rPr>
          <w:rFonts w:ascii="Times New Roman" w:hAnsi="Times New Roman" w:cs="Times New Roman"/>
          <w:i/>
          <w:iCs/>
        </w:rPr>
        <w:t>–</w:t>
      </w:r>
      <w:r w:rsidRPr="003776F1">
        <w:rPr>
          <w:rFonts w:ascii="Times New Roman" w:hAnsi="Times New Roman" w:cs="Times New Roman"/>
          <w:i/>
          <w:iCs/>
        </w:rPr>
        <w:t>2020</w:t>
      </w:r>
      <w:r>
        <w:rPr>
          <w:rFonts w:ascii="Times New Roman" w:hAnsi="Times New Roman" w:cs="Times New Roman"/>
        </w:rPr>
        <w:t xml:space="preserve"> (Dz. U. z 2022 r. poz. 2422 z późn. zm.);</w:t>
      </w:r>
    </w:p>
    <w:p w14:paraId="70174C72" w14:textId="77777777" w:rsidR="00B84E0F" w:rsidRDefault="00B84E0F" w:rsidP="00B84E0F">
      <w:pPr>
        <w:pStyle w:val="Akapitzlist"/>
        <w:numPr>
          <w:ilvl w:val="0"/>
          <w:numId w:val="13"/>
        </w:numPr>
        <w:spacing w:line="276" w:lineRule="auto"/>
        <w:jc w:val="both"/>
        <w:rPr>
          <w:rFonts w:ascii="Times New Roman" w:hAnsi="Times New Roman" w:cs="Times New Roman"/>
        </w:rPr>
      </w:pPr>
      <w:r w:rsidRPr="00EF1399">
        <w:rPr>
          <w:rFonts w:ascii="Times New Roman" w:hAnsi="Times New Roman" w:cs="Times New Roman"/>
          <w:i/>
          <w:iCs/>
        </w:rPr>
        <w:t>Rozporządzeni</w:t>
      </w:r>
      <w:r>
        <w:rPr>
          <w:rFonts w:ascii="Times New Roman" w:hAnsi="Times New Roman" w:cs="Times New Roman"/>
          <w:i/>
          <w:iCs/>
        </w:rPr>
        <w:t>e</w:t>
      </w:r>
      <w:r w:rsidRPr="00EF1399">
        <w:rPr>
          <w:rFonts w:ascii="Times New Roman" w:hAnsi="Times New Roman" w:cs="Times New Roman"/>
          <w:i/>
          <w:iCs/>
        </w:rPr>
        <w:t xml:space="preserv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Pr>
          <w:rFonts w:ascii="Times New Roman" w:hAnsi="Times New Roman" w:cs="Times New Roman"/>
          <w:i/>
          <w:iCs/>
        </w:rPr>
        <w:t>j</w:t>
      </w:r>
      <w:r>
        <w:rPr>
          <w:rFonts w:ascii="Times New Roman" w:hAnsi="Times New Roman" w:cs="Times New Roman"/>
        </w:rPr>
        <w:t>;</w:t>
      </w:r>
    </w:p>
    <w:p w14:paraId="48DC9AEA" w14:textId="77777777" w:rsidR="00B84E0F" w:rsidRDefault="00B84E0F" w:rsidP="00B84E0F">
      <w:pPr>
        <w:pStyle w:val="Akapitzlist"/>
        <w:numPr>
          <w:ilvl w:val="0"/>
          <w:numId w:val="13"/>
        </w:numPr>
        <w:spacing w:line="276" w:lineRule="auto"/>
        <w:jc w:val="both"/>
        <w:rPr>
          <w:rFonts w:ascii="Times New Roman" w:hAnsi="Times New Roman" w:cs="Times New Roman"/>
          <w:i/>
          <w:iCs/>
        </w:rPr>
      </w:pPr>
      <w:r w:rsidRPr="00EF1399">
        <w:rPr>
          <w:rFonts w:ascii="Times New Roman" w:hAnsi="Times New Roman" w:cs="Times New Roman"/>
          <w:i/>
          <w:iCs/>
        </w:rPr>
        <w:t>Rozporządzeni</w:t>
      </w:r>
      <w:r>
        <w:rPr>
          <w:rFonts w:ascii="Times New Roman" w:hAnsi="Times New Roman" w:cs="Times New Roman"/>
          <w:i/>
          <w:iCs/>
        </w:rPr>
        <w:t>e</w:t>
      </w:r>
      <w:r w:rsidRPr="00EF1399">
        <w:rPr>
          <w:rFonts w:ascii="Times New Roman" w:hAnsi="Times New Roman" w:cs="Times New Roman"/>
          <w:i/>
          <w:iCs/>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ascii="Times New Roman" w:hAnsi="Times New Roman" w:cs="Times New Roman"/>
          <w:i/>
          <w:iCs/>
        </w:rPr>
        <w:t>;</w:t>
      </w:r>
    </w:p>
    <w:p w14:paraId="522FD341" w14:textId="77777777" w:rsidR="00B84E0F" w:rsidRPr="00301AD4" w:rsidRDefault="00B84E0F" w:rsidP="003D1A36">
      <w:pPr>
        <w:pStyle w:val="Akapitzlist"/>
        <w:numPr>
          <w:ilvl w:val="0"/>
          <w:numId w:val="13"/>
        </w:numPr>
        <w:spacing w:after="0" w:line="276" w:lineRule="auto"/>
        <w:jc w:val="both"/>
        <w:rPr>
          <w:rFonts w:ascii="Times New Roman" w:hAnsi="Times New Roman" w:cs="Times New Roman"/>
          <w:i/>
          <w:iCs/>
        </w:rPr>
      </w:pPr>
      <w:r w:rsidRPr="00B95CCA">
        <w:rPr>
          <w:rFonts w:ascii="Times New Roman" w:hAnsi="Times New Roman" w:cs="Times New Roman"/>
          <w:i/>
          <w:iCs/>
        </w:rPr>
        <w:lastRenderedPageBreak/>
        <w:t>Rozporządzeni</w:t>
      </w:r>
      <w:r>
        <w:rPr>
          <w:rFonts w:ascii="Times New Roman" w:hAnsi="Times New Roman" w:cs="Times New Roman"/>
          <w:i/>
          <w:iCs/>
        </w:rPr>
        <w:t>e</w:t>
      </w:r>
      <w:r w:rsidRPr="00B95CCA">
        <w:rPr>
          <w:rFonts w:ascii="Times New Roman" w:hAnsi="Times New Roman" w:cs="Times New Roman"/>
          <w:i/>
          <w:iCs/>
        </w:rPr>
        <w:t xml:space="preserve"> Parlamentu Europejskiego i Rady (UE) nr 1305/2013 z dnia 17 grudnia 2013 r. w sprawie wsparcia rozwoju obszarów wiejskich przez Europejski Fundusz Rolny na rzecz Rozwoju Obszarów Wiejskich (EFRROW) i uchylające rozporządzenie Rady (WE) nr 1698/2005</w:t>
      </w:r>
      <w:r>
        <w:rPr>
          <w:rFonts w:ascii="Times New Roman" w:hAnsi="Times New Roman" w:cs="Times New Roman"/>
          <w:i/>
          <w:iCs/>
        </w:rPr>
        <w:t>.</w:t>
      </w:r>
    </w:p>
    <w:p w14:paraId="656230D2" w14:textId="77777777" w:rsidR="00A17173" w:rsidRDefault="00A17173" w:rsidP="00A17173">
      <w:pPr>
        <w:spacing w:after="0" w:line="276" w:lineRule="auto"/>
        <w:ind w:firstLine="709"/>
        <w:jc w:val="both"/>
        <w:rPr>
          <w:rFonts w:ascii="Times New Roman" w:hAnsi="Times New Roman" w:cs="Times New Roman"/>
          <w:color w:val="000000" w:themeColor="text1"/>
        </w:rPr>
      </w:pPr>
      <w:r w:rsidRPr="00EF1399">
        <w:rPr>
          <w:rFonts w:ascii="Times New Roman" w:hAnsi="Times New Roman" w:cs="Times New Roman"/>
        </w:rPr>
        <w:t>Poza wyżej wskazanymi aktami prawnymi, działania LGD regulują dokumenty wewnętrzne przedstawione</w:t>
      </w:r>
      <w:r>
        <w:rPr>
          <w:rFonts w:ascii="Times New Roman" w:hAnsi="Times New Roman" w:cs="Times New Roman"/>
        </w:rPr>
        <w:t xml:space="preserve"> poniżej:</w:t>
      </w:r>
    </w:p>
    <w:p w14:paraId="02F7D2C4" w14:textId="32C929FD" w:rsidR="00A17173" w:rsidRDefault="00A17173" w:rsidP="00CD2D87">
      <w:pPr>
        <w:pStyle w:val="Akapitzlist"/>
        <w:numPr>
          <w:ilvl w:val="0"/>
          <w:numId w:val="8"/>
        </w:numPr>
        <w:spacing w:after="0" w:line="276" w:lineRule="auto"/>
        <w:ind w:left="851"/>
        <w:jc w:val="both"/>
        <w:rPr>
          <w:rFonts w:ascii="Times New Roman" w:hAnsi="Times New Roman" w:cs="Times New Roman"/>
          <w:color w:val="000000" w:themeColor="text1"/>
        </w:rPr>
      </w:pPr>
      <w:r w:rsidRPr="00C60A17">
        <w:rPr>
          <w:rFonts w:ascii="Times New Roman" w:hAnsi="Times New Roman" w:cs="Times New Roman"/>
          <w:color w:val="000000" w:themeColor="text1"/>
        </w:rPr>
        <w:t>Statut, który uchwalany i aktualizowany jest przez Walne Zebranie Członków Stowarzyszenia</w:t>
      </w:r>
      <w:r>
        <w:rPr>
          <w:rFonts w:ascii="Times New Roman" w:hAnsi="Times New Roman" w:cs="Times New Roman"/>
          <w:color w:val="000000" w:themeColor="text1"/>
        </w:rPr>
        <w:t xml:space="preserve"> </w:t>
      </w:r>
      <w:r w:rsidR="0009190E">
        <w:rPr>
          <w:rFonts w:ascii="Times New Roman" w:hAnsi="Times New Roman" w:cs="Times New Roman"/>
          <w:color w:val="000000" w:themeColor="text1"/>
        </w:rPr>
        <w:t xml:space="preserve">Bialskopodlaska </w:t>
      </w:r>
      <w:r w:rsidRPr="00C60A17">
        <w:rPr>
          <w:rFonts w:ascii="Times New Roman" w:hAnsi="Times New Roman" w:cs="Times New Roman"/>
          <w:color w:val="000000" w:themeColor="text1"/>
        </w:rPr>
        <w:t>Lokalna Grupa Działania. Statut reguluje zasady działalności Stowarzyszenia,</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wyznacza cele i obszary działalności oraz określa kompetencje poszczególnych organów</w:t>
      </w:r>
      <w:r>
        <w:rPr>
          <w:rFonts w:ascii="Times New Roman" w:hAnsi="Times New Roman" w:cs="Times New Roman"/>
          <w:color w:val="000000" w:themeColor="text1"/>
        </w:rPr>
        <w:t>;</w:t>
      </w:r>
    </w:p>
    <w:p w14:paraId="785D60F2" w14:textId="43376973" w:rsidR="00A17173" w:rsidRDefault="00A17173" w:rsidP="00CD2D87">
      <w:pPr>
        <w:pStyle w:val="Akapitzlist"/>
        <w:numPr>
          <w:ilvl w:val="0"/>
          <w:numId w:val="8"/>
        </w:numPr>
        <w:spacing w:after="0" w:line="276" w:lineRule="auto"/>
        <w:ind w:left="851"/>
        <w:jc w:val="both"/>
        <w:rPr>
          <w:rFonts w:ascii="Times New Roman" w:hAnsi="Times New Roman" w:cs="Times New Roman"/>
          <w:color w:val="000000" w:themeColor="text1"/>
        </w:rPr>
      </w:pPr>
      <w:r w:rsidRPr="00C60A17">
        <w:rPr>
          <w:rFonts w:ascii="Times New Roman" w:hAnsi="Times New Roman" w:cs="Times New Roman"/>
          <w:color w:val="000000" w:themeColor="text1"/>
        </w:rPr>
        <w:t>Regulamin Rady LGD, który uchwalany i aktualizowany jest przez Walne Zebranie Członków</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 xml:space="preserve">Stowarzyszenia </w:t>
      </w:r>
      <w:r w:rsidR="00C07237">
        <w:rPr>
          <w:rFonts w:ascii="Times New Roman" w:hAnsi="Times New Roman" w:cs="Times New Roman"/>
          <w:color w:val="000000" w:themeColor="text1"/>
        </w:rPr>
        <w:t xml:space="preserve">Bialskopodlaska </w:t>
      </w:r>
      <w:r w:rsidRPr="00C60A17">
        <w:rPr>
          <w:rFonts w:ascii="Times New Roman" w:hAnsi="Times New Roman" w:cs="Times New Roman"/>
          <w:color w:val="000000" w:themeColor="text1"/>
        </w:rPr>
        <w:t>Lokalna Grupa Działania. Określa skład organu ze wskazaniem</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zadań oraz zasad wynagrodzenia; zawiera również zasady zwoływania i organizacji posiedzeń,</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ich protokołowania, opisuje szczegółowe zasady podejmowania decyzji dotyczących wyboru</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operacji, określa tryb i sposób wyboru operacji oraz zasady zachowania parytetów</w:t>
      </w:r>
      <w:r>
        <w:rPr>
          <w:rFonts w:ascii="Times New Roman" w:hAnsi="Times New Roman" w:cs="Times New Roman"/>
          <w:color w:val="000000" w:themeColor="text1"/>
        </w:rPr>
        <w:t>;</w:t>
      </w:r>
    </w:p>
    <w:p w14:paraId="315D2984" w14:textId="75AA0E0E" w:rsidR="00A17173" w:rsidRDefault="00A17173" w:rsidP="00CD2D87">
      <w:pPr>
        <w:pStyle w:val="Akapitzlist"/>
        <w:numPr>
          <w:ilvl w:val="0"/>
          <w:numId w:val="8"/>
        </w:numPr>
        <w:spacing w:after="0" w:line="276" w:lineRule="auto"/>
        <w:ind w:left="851"/>
        <w:jc w:val="both"/>
        <w:rPr>
          <w:rFonts w:ascii="Times New Roman" w:hAnsi="Times New Roman" w:cs="Times New Roman"/>
          <w:color w:val="000000" w:themeColor="text1"/>
        </w:rPr>
      </w:pPr>
      <w:r w:rsidRPr="00C60A17">
        <w:rPr>
          <w:rFonts w:ascii="Times New Roman" w:hAnsi="Times New Roman" w:cs="Times New Roman"/>
          <w:color w:val="000000" w:themeColor="text1"/>
        </w:rPr>
        <w:t>Regulamin Biura LGD, który uchwalany i aktualizowany jest przez Zarząd Stowarzyszenia.</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 xml:space="preserve">Zawiera uregulowania dotyczące struktury organizacyjnej </w:t>
      </w:r>
      <w:r w:rsidR="00D541D2">
        <w:rPr>
          <w:rFonts w:ascii="Times New Roman" w:hAnsi="Times New Roman" w:cs="Times New Roman"/>
          <w:color w:val="000000" w:themeColor="text1"/>
        </w:rPr>
        <w:t>B</w:t>
      </w:r>
      <w:r w:rsidRPr="00C60A17">
        <w:rPr>
          <w:rFonts w:ascii="Times New Roman" w:hAnsi="Times New Roman" w:cs="Times New Roman"/>
          <w:color w:val="000000" w:themeColor="text1"/>
        </w:rPr>
        <w:t>iura, obowiązki pracodawcy i</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pracownika, zasady wynagradzania</w:t>
      </w:r>
      <w:r>
        <w:rPr>
          <w:rFonts w:ascii="Times New Roman" w:hAnsi="Times New Roman" w:cs="Times New Roman"/>
          <w:color w:val="000000" w:themeColor="text1"/>
        </w:rPr>
        <w:t>;</w:t>
      </w:r>
    </w:p>
    <w:p w14:paraId="6B424EDA" w14:textId="3B769E48" w:rsidR="00A17173" w:rsidRDefault="00A17173" w:rsidP="00CD2D87">
      <w:pPr>
        <w:pStyle w:val="Akapitzlist"/>
        <w:numPr>
          <w:ilvl w:val="0"/>
          <w:numId w:val="8"/>
        </w:numPr>
        <w:spacing w:after="0" w:line="276" w:lineRule="auto"/>
        <w:ind w:left="851"/>
        <w:jc w:val="both"/>
        <w:rPr>
          <w:rFonts w:ascii="Times New Roman" w:hAnsi="Times New Roman" w:cs="Times New Roman"/>
          <w:color w:val="000000" w:themeColor="text1"/>
        </w:rPr>
      </w:pPr>
      <w:r w:rsidRPr="00C60A17">
        <w:rPr>
          <w:rFonts w:ascii="Times New Roman" w:hAnsi="Times New Roman" w:cs="Times New Roman"/>
          <w:color w:val="000000" w:themeColor="text1"/>
        </w:rPr>
        <w:t>Regulamin Zarządu LGD, który uchwalany i aktualizowany jest przez Walne Zebranie Członków</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 xml:space="preserve">Stowarzyszenia </w:t>
      </w:r>
      <w:r w:rsidR="00C07237">
        <w:rPr>
          <w:rFonts w:ascii="Times New Roman" w:hAnsi="Times New Roman" w:cs="Times New Roman"/>
          <w:color w:val="000000" w:themeColor="text1"/>
        </w:rPr>
        <w:t xml:space="preserve">Bialskopodlaska </w:t>
      </w:r>
      <w:r w:rsidRPr="00C60A17">
        <w:rPr>
          <w:rFonts w:ascii="Times New Roman" w:hAnsi="Times New Roman" w:cs="Times New Roman"/>
          <w:color w:val="000000" w:themeColor="text1"/>
        </w:rPr>
        <w:t>Lokalna Grupa Działania. Określa podział zadań wśród członków,</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kompetencje organu, zasady zwoływania i organizacji posiedzeń, ich protokołowania;</w:t>
      </w:r>
    </w:p>
    <w:p w14:paraId="69D7EB37" w14:textId="335A9FFE" w:rsidR="00A17173" w:rsidRDefault="00A17173" w:rsidP="00CD2D87">
      <w:pPr>
        <w:pStyle w:val="Akapitzlist"/>
        <w:numPr>
          <w:ilvl w:val="0"/>
          <w:numId w:val="8"/>
        </w:numPr>
        <w:spacing w:after="0" w:line="276" w:lineRule="auto"/>
        <w:ind w:left="851"/>
        <w:jc w:val="both"/>
        <w:rPr>
          <w:rFonts w:ascii="Times New Roman" w:hAnsi="Times New Roman" w:cs="Times New Roman"/>
          <w:color w:val="000000" w:themeColor="text1"/>
        </w:rPr>
      </w:pPr>
      <w:r w:rsidRPr="00C60A17">
        <w:rPr>
          <w:rFonts w:ascii="Times New Roman" w:hAnsi="Times New Roman" w:cs="Times New Roman"/>
          <w:color w:val="000000" w:themeColor="text1"/>
        </w:rPr>
        <w:t>Regulamin Komisji Rewizyjnej, który uchwalany i aktualizowany jest przez Walne Zebranie</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Członków. Określa kompetencje członków Komisji, zasady prowadzenia działań kontrolnych,</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zasady protokołowania oraz podejmowania decyzji</w:t>
      </w:r>
      <w:r w:rsidR="00D541D2">
        <w:rPr>
          <w:rFonts w:ascii="Times New Roman" w:hAnsi="Times New Roman" w:cs="Times New Roman"/>
          <w:color w:val="000000" w:themeColor="text1"/>
        </w:rPr>
        <w:t>;</w:t>
      </w:r>
    </w:p>
    <w:p w14:paraId="1B679E16" w14:textId="77777777" w:rsidR="00A17173" w:rsidRPr="00C60A17" w:rsidRDefault="00A17173" w:rsidP="00CD2D87">
      <w:pPr>
        <w:pStyle w:val="Akapitzlist"/>
        <w:numPr>
          <w:ilvl w:val="0"/>
          <w:numId w:val="8"/>
        </w:numPr>
        <w:spacing w:after="0" w:line="276" w:lineRule="auto"/>
        <w:ind w:left="851"/>
        <w:jc w:val="both"/>
        <w:rPr>
          <w:rFonts w:ascii="Times New Roman" w:hAnsi="Times New Roman" w:cs="Times New Roman"/>
          <w:color w:val="000000" w:themeColor="text1"/>
        </w:rPr>
      </w:pPr>
      <w:r w:rsidRPr="00C60A17">
        <w:rPr>
          <w:rFonts w:ascii="Times New Roman" w:hAnsi="Times New Roman" w:cs="Times New Roman"/>
          <w:color w:val="000000" w:themeColor="text1"/>
        </w:rPr>
        <w:t>Regulamin WZC, który uchwalany i aktualizowany jest przez Walne Zebranie Członków. Określa</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kompetencje WZC, zasady zwoływania i organizacji posiedzeń, ich protokołowania, opisuje</w:t>
      </w:r>
      <w:r>
        <w:rPr>
          <w:rFonts w:ascii="Times New Roman" w:hAnsi="Times New Roman" w:cs="Times New Roman"/>
          <w:color w:val="000000" w:themeColor="text1"/>
        </w:rPr>
        <w:t xml:space="preserve"> </w:t>
      </w:r>
      <w:r w:rsidRPr="00C60A17">
        <w:rPr>
          <w:rFonts w:ascii="Times New Roman" w:hAnsi="Times New Roman" w:cs="Times New Roman"/>
          <w:color w:val="000000" w:themeColor="text1"/>
        </w:rPr>
        <w:t>zasady podejmowania decyzji.</w:t>
      </w:r>
    </w:p>
    <w:p w14:paraId="71286431" w14:textId="7E20AF0C" w:rsidR="00B84E0F" w:rsidRDefault="00B84E0F" w:rsidP="00A17173">
      <w:pPr>
        <w:spacing w:after="0" w:line="276" w:lineRule="auto"/>
        <w:ind w:left="851" w:firstLine="709"/>
        <w:jc w:val="both"/>
        <w:rPr>
          <w:rFonts w:ascii="Times New Roman" w:hAnsi="Times New Roman" w:cs="Times New Roman"/>
          <w:color w:val="000000" w:themeColor="text1"/>
        </w:rPr>
      </w:pPr>
      <w:r>
        <w:rPr>
          <w:rFonts w:ascii="Times New Roman" w:hAnsi="Times New Roman" w:cs="Times New Roman"/>
          <w:color w:val="000000" w:themeColor="text1"/>
        </w:rPr>
        <w:br w:type="page"/>
      </w:r>
    </w:p>
    <w:p w14:paraId="3B50C807" w14:textId="77777777" w:rsidR="00A17173" w:rsidRPr="00FC0337" w:rsidRDefault="00A17173" w:rsidP="0094673B">
      <w:pPr>
        <w:pStyle w:val="Gwne"/>
        <w:spacing w:after="80"/>
        <w:ind w:left="1077" w:hanging="510"/>
        <w:rPr>
          <w:sz w:val="22"/>
          <w:szCs w:val="22"/>
        </w:rPr>
      </w:pPr>
      <w:bookmarkStart w:id="9" w:name="_Toc135896891"/>
      <w:bookmarkEnd w:id="0"/>
      <w:r w:rsidRPr="00FC0337">
        <w:rPr>
          <w:sz w:val="22"/>
          <w:szCs w:val="22"/>
        </w:rPr>
        <w:lastRenderedPageBreak/>
        <w:t>CHARAKTERYSTYKA OBSZARU I LUDNOŚCI OBJĘTEJ WDRAŻANIEM LSR</w:t>
      </w:r>
      <w:bookmarkEnd w:id="9"/>
    </w:p>
    <w:p w14:paraId="2516835F" w14:textId="77777777" w:rsidR="00A17173" w:rsidRPr="00FC0337" w:rsidRDefault="00A17173" w:rsidP="0094673B">
      <w:pPr>
        <w:pStyle w:val="podnagowek"/>
        <w:numPr>
          <w:ilvl w:val="0"/>
          <w:numId w:val="10"/>
        </w:numPr>
        <w:spacing w:after="80"/>
        <w:ind w:left="782" w:hanging="357"/>
        <w:rPr>
          <w:sz w:val="22"/>
          <w:szCs w:val="22"/>
        </w:rPr>
      </w:pPr>
      <w:bookmarkStart w:id="10" w:name="_Toc135896892"/>
      <w:r w:rsidRPr="00FC0337">
        <w:rPr>
          <w:sz w:val="22"/>
          <w:szCs w:val="22"/>
        </w:rPr>
        <w:t>Opis obszaru</w:t>
      </w:r>
      <w:bookmarkEnd w:id="10"/>
    </w:p>
    <w:p w14:paraId="6BBA8A48" w14:textId="6E315EB0" w:rsidR="00A17173" w:rsidRDefault="008413B6" w:rsidP="00B84E0F">
      <w:pPr>
        <w:spacing w:after="0"/>
        <w:ind w:firstLine="709"/>
        <w:jc w:val="both"/>
        <w:rPr>
          <w:rFonts w:ascii="Times New Roman" w:hAnsi="Times New Roman" w:cs="Times New Roman"/>
          <w:color w:val="000000" w:themeColor="text1"/>
        </w:rPr>
      </w:pPr>
      <w:r w:rsidRPr="001F75C9">
        <w:rPr>
          <w:rFonts w:ascii="Times New Roman" w:hAnsi="Times New Roman" w:cs="Times New Roman"/>
          <w:color w:val="000000" w:themeColor="text1"/>
        </w:rPr>
        <w:t xml:space="preserve">Obszar funkcjonowania </w:t>
      </w:r>
      <w:r>
        <w:rPr>
          <w:rFonts w:ascii="Times New Roman" w:hAnsi="Times New Roman" w:cs="Times New Roman"/>
          <w:color w:val="000000" w:themeColor="text1"/>
        </w:rPr>
        <w:t>Bialskopodlask</w:t>
      </w:r>
      <w:r w:rsidR="00D541D2">
        <w:rPr>
          <w:rFonts w:ascii="Times New Roman" w:hAnsi="Times New Roman" w:cs="Times New Roman"/>
          <w:color w:val="000000" w:themeColor="text1"/>
        </w:rPr>
        <w:t>iej</w:t>
      </w:r>
      <w:r>
        <w:rPr>
          <w:rFonts w:ascii="Times New Roman" w:hAnsi="Times New Roman" w:cs="Times New Roman"/>
          <w:color w:val="000000" w:themeColor="text1"/>
        </w:rPr>
        <w:t xml:space="preserve"> LGD obejmuje dziewiętnaście sąsiadujących ze sobą gmin położonych </w:t>
      </w:r>
      <w:bookmarkStart w:id="11" w:name="_Hlk120456299"/>
      <w:r>
        <w:rPr>
          <w:rFonts w:ascii="Times New Roman" w:hAnsi="Times New Roman" w:cs="Times New Roman"/>
          <w:color w:val="000000" w:themeColor="text1"/>
        </w:rPr>
        <w:t xml:space="preserve">w województwie lubelskim, w powiecie bialskim, w tym 17 gmin wiejskich, tj. Biała Podlaska, Drelów, Janów Podlaski, Kodeń, Konstantynów, Leśna Podlaska, Łomazy, Międzyrzec Podlaski, Piszczac, Rokitno, Rossosz, Sławatycze, Sosnówka, Terespol, Tuczna, Wisznice, Zalesie i dwie gminy miejskie, tj. Międzyrzec Podlaski </w:t>
      </w:r>
      <w:r>
        <w:rPr>
          <w:rFonts w:ascii="Times New Roman" w:hAnsi="Times New Roman" w:cs="Times New Roman"/>
          <w:color w:val="000000" w:themeColor="text1"/>
        </w:rPr>
        <w:br/>
        <w:t>i Terespol. Łączna powierzchnia wymienionych jednostek samorządu terytorialnego wynosi 2 754 km</w:t>
      </w:r>
      <w:r>
        <w:rPr>
          <w:rFonts w:ascii="Times New Roman" w:hAnsi="Times New Roman" w:cs="Times New Roman"/>
          <w:color w:val="000000" w:themeColor="text1"/>
          <w:vertAlign w:val="superscript"/>
        </w:rPr>
        <w:t xml:space="preserve">2 </w:t>
      </w:r>
      <w:r>
        <w:rPr>
          <w:rFonts w:ascii="Times New Roman" w:hAnsi="Times New Roman" w:cs="Times New Roman"/>
          <w:color w:val="000000" w:themeColor="text1"/>
        </w:rPr>
        <w:t xml:space="preserve">i jest zamieszkała przez 107 031 osób </w:t>
      </w:r>
      <w:bookmarkEnd w:id="11"/>
      <w:r>
        <w:rPr>
          <w:rFonts w:ascii="Times New Roman" w:hAnsi="Times New Roman" w:cs="Times New Roman"/>
          <w:color w:val="000000" w:themeColor="text1"/>
        </w:rPr>
        <w:t xml:space="preserve">(dane GUS wg stanu na dzień 31.12.2020 r.). </w:t>
      </w:r>
      <w:r w:rsidR="00B84E0F">
        <w:rPr>
          <w:rFonts w:ascii="Times New Roman" w:hAnsi="Times New Roman" w:cs="Times New Roman"/>
          <w:color w:val="000000" w:themeColor="text1"/>
        </w:rPr>
        <w:t>W</w:t>
      </w:r>
      <w:r>
        <w:rPr>
          <w:rFonts w:ascii="Times New Roman" w:hAnsi="Times New Roman" w:cs="Times New Roman"/>
          <w:color w:val="000000" w:themeColor="text1"/>
        </w:rPr>
        <w:t xml:space="preserve"> tabeli 1 przedstawiono podstawowe dane dotyczące poszczególnych gmin partnerstwa</w:t>
      </w:r>
      <w:r w:rsidR="00A17173" w:rsidRPr="00E82E6F">
        <w:rPr>
          <w:rFonts w:ascii="Times New Roman" w:hAnsi="Times New Roman" w:cs="Times New Roman"/>
          <w:color w:val="000000" w:themeColor="text1"/>
        </w:rPr>
        <w:t>.</w:t>
      </w:r>
    </w:p>
    <w:p w14:paraId="6EA4D8EA" w14:textId="583EB6A4" w:rsidR="00B84E0F" w:rsidRPr="00B84E0F" w:rsidRDefault="00B84E0F" w:rsidP="00B84E0F">
      <w:pPr>
        <w:spacing w:after="80" w:line="276" w:lineRule="auto"/>
        <w:ind w:firstLine="708"/>
        <w:jc w:val="both"/>
        <w:rPr>
          <w:rFonts w:ascii="Times New Roman" w:hAnsi="Times New Roman" w:cs="Times New Roman"/>
          <w:color w:val="000000" w:themeColor="text1"/>
        </w:rPr>
      </w:pPr>
      <w:r w:rsidRPr="00A131DD">
        <w:rPr>
          <w:rFonts w:ascii="Times New Roman" w:hAnsi="Times New Roman" w:cs="Times New Roman"/>
          <w:color w:val="000000" w:themeColor="text1"/>
        </w:rPr>
        <w:t xml:space="preserve">Cały obszar jest spójny pod względem przestrzennym. </w:t>
      </w:r>
      <w:r>
        <w:rPr>
          <w:rFonts w:ascii="Times New Roman" w:hAnsi="Times New Roman" w:cs="Times New Roman"/>
          <w:color w:val="000000" w:themeColor="text1"/>
        </w:rPr>
        <w:t xml:space="preserve">W </w:t>
      </w:r>
      <w:r w:rsidRPr="00A131DD">
        <w:rPr>
          <w:rFonts w:ascii="Times New Roman" w:hAnsi="Times New Roman" w:cs="Times New Roman"/>
          <w:color w:val="000000" w:themeColor="text1"/>
        </w:rPr>
        <w:t>skład</w:t>
      </w:r>
      <w:r>
        <w:rPr>
          <w:rFonts w:ascii="Times New Roman" w:hAnsi="Times New Roman" w:cs="Times New Roman"/>
          <w:color w:val="000000" w:themeColor="text1"/>
        </w:rPr>
        <w:t xml:space="preserve"> Bialskopodlaskiej LGD</w:t>
      </w:r>
      <w:r w:rsidRPr="00A131D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wchodzi więcej niż dwie gminy, a każda para gmin </w:t>
      </w:r>
      <w:r w:rsidRPr="00A131DD">
        <w:rPr>
          <w:rFonts w:ascii="Times New Roman" w:hAnsi="Times New Roman" w:cs="Times New Roman"/>
          <w:color w:val="000000" w:themeColor="text1"/>
        </w:rPr>
        <w:t>pozostaje w bezpośrednim lub przynajmniej w dalszym sąsiedztwie, tworząc tym samym zwarty geograficznie obszar, znajdujący się w jednym obrysie</w:t>
      </w:r>
      <w:r>
        <w:rPr>
          <w:rFonts w:ascii="Times New Roman" w:hAnsi="Times New Roman" w:cs="Times New Roman"/>
          <w:color w:val="000000" w:themeColor="text1"/>
        </w:rPr>
        <w:t xml:space="preserve"> (mapa 1)</w:t>
      </w:r>
      <w:r w:rsidRPr="00A131DD">
        <w:rPr>
          <w:rFonts w:ascii="Times New Roman" w:hAnsi="Times New Roman" w:cs="Times New Roman"/>
          <w:color w:val="000000" w:themeColor="text1"/>
        </w:rPr>
        <w:t>.</w:t>
      </w:r>
      <w:r>
        <w:rPr>
          <w:rFonts w:ascii="Times New Roman" w:hAnsi="Times New Roman" w:cs="Times New Roman"/>
          <w:color w:val="000000" w:themeColor="text1"/>
        </w:rPr>
        <w:t xml:space="preserve"> Obszar całego powiatu bialskiego pokrywa się z obszarem LGD. Siedziba Bialskopodlaskiej LGD znajduje się w miejscowości Leśna Podlaska.</w:t>
      </w:r>
    </w:p>
    <w:p w14:paraId="3CCE85DC" w14:textId="4F53B412" w:rsidR="00A17173" w:rsidRDefault="00A17173" w:rsidP="008413B6">
      <w:pPr>
        <w:pStyle w:val="Legenda"/>
        <w:spacing w:after="0"/>
        <w:jc w:val="center"/>
        <w:rPr>
          <w:rFonts w:ascii="Times New Roman" w:hAnsi="Times New Roman" w:cs="Times New Roman"/>
          <w:b/>
          <w:bCs/>
          <w:i w:val="0"/>
          <w:iCs w:val="0"/>
          <w:color w:val="000000" w:themeColor="text1"/>
          <w:sz w:val="20"/>
          <w:szCs w:val="20"/>
        </w:rPr>
      </w:pPr>
      <w:bookmarkStart w:id="12" w:name="_Toc115335667"/>
      <w:bookmarkStart w:id="13" w:name="_Toc135774486"/>
      <w:r w:rsidRPr="00E82E6F">
        <w:rPr>
          <w:rFonts w:ascii="Times New Roman" w:hAnsi="Times New Roman" w:cs="Times New Roman"/>
          <w:b/>
          <w:bCs/>
          <w:i w:val="0"/>
          <w:iCs w:val="0"/>
          <w:color w:val="000000" w:themeColor="text1"/>
          <w:sz w:val="20"/>
          <w:szCs w:val="20"/>
        </w:rPr>
        <w:t xml:space="preserve">Mapa </w:t>
      </w:r>
      <w:r w:rsidRPr="00E82E6F">
        <w:rPr>
          <w:rFonts w:ascii="Times New Roman" w:hAnsi="Times New Roman" w:cs="Times New Roman"/>
          <w:b/>
          <w:bCs/>
          <w:i w:val="0"/>
          <w:iCs w:val="0"/>
          <w:color w:val="000000" w:themeColor="text1"/>
          <w:sz w:val="20"/>
          <w:szCs w:val="20"/>
        </w:rPr>
        <w:fldChar w:fldCharType="begin"/>
      </w:r>
      <w:r w:rsidRPr="00E82E6F">
        <w:rPr>
          <w:rFonts w:ascii="Times New Roman" w:hAnsi="Times New Roman" w:cs="Times New Roman"/>
          <w:b/>
          <w:bCs/>
          <w:i w:val="0"/>
          <w:iCs w:val="0"/>
          <w:color w:val="000000" w:themeColor="text1"/>
          <w:sz w:val="20"/>
          <w:szCs w:val="20"/>
        </w:rPr>
        <w:instrText xml:space="preserve"> SEQ Mapa \* ARABIC </w:instrText>
      </w:r>
      <w:r w:rsidRPr="00E82E6F">
        <w:rPr>
          <w:rFonts w:ascii="Times New Roman" w:hAnsi="Times New Roman" w:cs="Times New Roman"/>
          <w:b/>
          <w:bCs/>
          <w:i w:val="0"/>
          <w:iCs w:val="0"/>
          <w:color w:val="000000" w:themeColor="text1"/>
          <w:sz w:val="20"/>
          <w:szCs w:val="20"/>
        </w:rPr>
        <w:fldChar w:fldCharType="separate"/>
      </w:r>
      <w:r w:rsidR="007359D0">
        <w:rPr>
          <w:rFonts w:ascii="Times New Roman" w:hAnsi="Times New Roman" w:cs="Times New Roman"/>
          <w:b/>
          <w:bCs/>
          <w:i w:val="0"/>
          <w:iCs w:val="0"/>
          <w:noProof/>
          <w:color w:val="000000" w:themeColor="text1"/>
          <w:sz w:val="20"/>
          <w:szCs w:val="20"/>
        </w:rPr>
        <w:t>1</w:t>
      </w:r>
      <w:r w:rsidRPr="00E82E6F">
        <w:rPr>
          <w:rFonts w:ascii="Times New Roman" w:hAnsi="Times New Roman" w:cs="Times New Roman"/>
          <w:b/>
          <w:bCs/>
          <w:i w:val="0"/>
          <w:iCs w:val="0"/>
          <w:color w:val="000000" w:themeColor="text1"/>
          <w:sz w:val="20"/>
          <w:szCs w:val="20"/>
        </w:rPr>
        <w:fldChar w:fldCharType="end"/>
      </w:r>
      <w:r w:rsidRPr="00E82E6F">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 xml:space="preserve">Gminy objęte partnerstwem </w:t>
      </w:r>
      <w:bookmarkEnd w:id="12"/>
      <w:r w:rsidR="008413B6">
        <w:rPr>
          <w:rFonts w:ascii="Times New Roman" w:hAnsi="Times New Roman" w:cs="Times New Roman"/>
          <w:b/>
          <w:bCs/>
          <w:i w:val="0"/>
          <w:iCs w:val="0"/>
          <w:color w:val="000000" w:themeColor="text1"/>
          <w:sz w:val="20"/>
          <w:szCs w:val="20"/>
        </w:rPr>
        <w:t>Bialskopodlaska LGD</w:t>
      </w:r>
      <w:bookmarkEnd w:id="13"/>
    </w:p>
    <w:p w14:paraId="575DB729" w14:textId="1213E17E" w:rsidR="008413B6" w:rsidRPr="008413B6" w:rsidRDefault="008413B6" w:rsidP="008413B6">
      <w:pPr>
        <w:spacing w:after="0"/>
        <w:jc w:val="center"/>
      </w:pPr>
      <w:r>
        <w:rPr>
          <w:noProof/>
        </w:rPr>
        <w:drawing>
          <wp:inline distT="0" distB="0" distL="0" distR="0" wp14:anchorId="05BB73DA" wp14:editId="590F1149">
            <wp:extent cx="4019550" cy="3622269"/>
            <wp:effectExtent l="0" t="0" r="0" b="0"/>
            <wp:docPr id="4" name="Obraz 4"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mapa&#10;&#10;Opis wygenerowany automatyczni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68" r="17679" b="3326"/>
                    <a:stretch/>
                  </pic:blipFill>
                  <pic:spPr bwMode="auto">
                    <a:xfrm>
                      <a:off x="0" y="0"/>
                      <a:ext cx="4038170" cy="3639049"/>
                    </a:xfrm>
                    <a:prstGeom prst="rect">
                      <a:avLst/>
                    </a:prstGeom>
                    <a:noFill/>
                    <a:ln>
                      <a:noFill/>
                    </a:ln>
                    <a:extLst>
                      <a:ext uri="{53640926-AAD7-44D8-BBD7-CCE9431645EC}">
                        <a14:shadowObscured xmlns:a14="http://schemas.microsoft.com/office/drawing/2010/main"/>
                      </a:ext>
                    </a:extLst>
                  </pic:spPr>
                </pic:pic>
              </a:graphicData>
            </a:graphic>
          </wp:inline>
        </w:drawing>
      </w:r>
    </w:p>
    <w:p w14:paraId="4A2919AB" w14:textId="661AADB4" w:rsidR="00B84E0F" w:rsidRDefault="00A17173" w:rsidP="00B84E0F">
      <w:pPr>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bookmarkStart w:id="14" w:name="_Toc115335591"/>
      <w:r w:rsidR="00B84E0F">
        <w:rPr>
          <w:rFonts w:ascii="Times New Roman" w:hAnsi="Times New Roman" w:cs="Times New Roman"/>
          <w:i/>
          <w:iCs/>
          <w:sz w:val="20"/>
          <w:szCs w:val="20"/>
        </w:rPr>
        <w:br w:type="page"/>
      </w:r>
    </w:p>
    <w:p w14:paraId="36410623" w14:textId="1358A11A" w:rsidR="00A17173" w:rsidRDefault="00A17173" w:rsidP="00B84E0F">
      <w:pPr>
        <w:jc w:val="center"/>
        <w:rPr>
          <w:rFonts w:ascii="Times New Roman" w:hAnsi="Times New Roman" w:cs="Times New Roman"/>
          <w:b/>
          <w:bCs/>
          <w:i/>
          <w:iCs/>
          <w:color w:val="000000" w:themeColor="text1"/>
          <w:sz w:val="20"/>
          <w:szCs w:val="20"/>
        </w:rPr>
      </w:pPr>
      <w:bookmarkStart w:id="15" w:name="_Toc135896543"/>
      <w:r w:rsidRPr="00E82E6F">
        <w:rPr>
          <w:rFonts w:ascii="Times New Roman" w:hAnsi="Times New Roman" w:cs="Times New Roman"/>
          <w:b/>
          <w:bCs/>
          <w:color w:val="000000" w:themeColor="text1"/>
          <w:sz w:val="20"/>
          <w:szCs w:val="20"/>
        </w:rPr>
        <w:lastRenderedPageBreak/>
        <w:t xml:space="preserve">Tabela </w:t>
      </w:r>
      <w:r w:rsidRPr="00E82E6F">
        <w:rPr>
          <w:rFonts w:ascii="Times New Roman" w:hAnsi="Times New Roman" w:cs="Times New Roman"/>
          <w:b/>
          <w:bCs/>
          <w:i/>
          <w:iCs/>
          <w:color w:val="000000" w:themeColor="text1"/>
          <w:sz w:val="20"/>
          <w:szCs w:val="20"/>
        </w:rPr>
        <w:fldChar w:fldCharType="begin"/>
      </w:r>
      <w:r w:rsidRPr="00E82E6F">
        <w:rPr>
          <w:rFonts w:ascii="Times New Roman" w:hAnsi="Times New Roman" w:cs="Times New Roman"/>
          <w:b/>
          <w:bCs/>
          <w:color w:val="000000" w:themeColor="text1"/>
          <w:sz w:val="20"/>
          <w:szCs w:val="20"/>
        </w:rPr>
        <w:instrText xml:space="preserve"> SEQ Tabela \* ARABIC </w:instrText>
      </w:r>
      <w:r w:rsidRPr="00E82E6F">
        <w:rPr>
          <w:rFonts w:ascii="Times New Roman" w:hAnsi="Times New Roman" w:cs="Times New Roman"/>
          <w:b/>
          <w:bCs/>
          <w:i/>
          <w:iCs/>
          <w:color w:val="000000" w:themeColor="text1"/>
          <w:sz w:val="20"/>
          <w:szCs w:val="20"/>
        </w:rPr>
        <w:fldChar w:fldCharType="separate"/>
      </w:r>
      <w:r w:rsidR="007359D0">
        <w:rPr>
          <w:rFonts w:ascii="Times New Roman" w:hAnsi="Times New Roman" w:cs="Times New Roman"/>
          <w:b/>
          <w:bCs/>
          <w:noProof/>
          <w:color w:val="000000" w:themeColor="text1"/>
          <w:sz w:val="20"/>
          <w:szCs w:val="20"/>
        </w:rPr>
        <w:t>1</w:t>
      </w:r>
      <w:r w:rsidRPr="00E82E6F">
        <w:rPr>
          <w:rFonts w:ascii="Times New Roman" w:hAnsi="Times New Roman" w:cs="Times New Roman"/>
          <w:b/>
          <w:bCs/>
          <w:i/>
          <w:iCs/>
          <w:color w:val="000000" w:themeColor="text1"/>
          <w:sz w:val="20"/>
          <w:szCs w:val="20"/>
        </w:rPr>
        <w:fldChar w:fldCharType="end"/>
      </w:r>
      <w:r w:rsidRPr="00E82E6F">
        <w:rPr>
          <w:rFonts w:ascii="Times New Roman" w:hAnsi="Times New Roman" w:cs="Times New Roman"/>
          <w:b/>
          <w:bCs/>
          <w:color w:val="000000" w:themeColor="text1"/>
          <w:sz w:val="20"/>
          <w:szCs w:val="20"/>
        </w:rPr>
        <w:t xml:space="preserve"> </w:t>
      </w:r>
      <w:r w:rsidRPr="001F75C9">
        <w:rPr>
          <w:rFonts w:ascii="Times New Roman" w:hAnsi="Times New Roman" w:cs="Times New Roman"/>
          <w:b/>
          <w:bCs/>
          <w:color w:val="000000" w:themeColor="text1"/>
          <w:sz w:val="20"/>
          <w:szCs w:val="20"/>
        </w:rPr>
        <w:t xml:space="preserve">Podstawowe dane </w:t>
      </w:r>
      <w:r>
        <w:rPr>
          <w:rFonts w:ascii="Times New Roman" w:hAnsi="Times New Roman" w:cs="Times New Roman"/>
          <w:b/>
          <w:bCs/>
          <w:color w:val="000000" w:themeColor="text1"/>
          <w:sz w:val="20"/>
          <w:szCs w:val="20"/>
        </w:rPr>
        <w:t>o gminach z obszaru</w:t>
      </w:r>
      <w:r w:rsidRPr="001F75C9">
        <w:rPr>
          <w:rFonts w:ascii="Times New Roman" w:hAnsi="Times New Roman" w:cs="Times New Roman"/>
          <w:b/>
          <w:bCs/>
          <w:color w:val="000000" w:themeColor="text1"/>
          <w:sz w:val="20"/>
          <w:szCs w:val="20"/>
        </w:rPr>
        <w:t xml:space="preserve"> </w:t>
      </w:r>
      <w:bookmarkEnd w:id="14"/>
      <w:r w:rsidR="008413B6">
        <w:rPr>
          <w:rFonts w:ascii="Times New Roman" w:hAnsi="Times New Roman" w:cs="Times New Roman"/>
          <w:b/>
          <w:bCs/>
          <w:color w:val="000000" w:themeColor="text1"/>
          <w:sz w:val="20"/>
          <w:szCs w:val="20"/>
        </w:rPr>
        <w:t>Bialskopodlaska LGD</w:t>
      </w:r>
      <w:bookmarkEnd w:id="15"/>
    </w:p>
    <w:tbl>
      <w:tblPr>
        <w:tblW w:w="5000" w:type="pct"/>
        <w:tblCellMar>
          <w:left w:w="70" w:type="dxa"/>
          <w:right w:w="70" w:type="dxa"/>
        </w:tblCellMar>
        <w:tblLook w:val="04A0" w:firstRow="1" w:lastRow="0" w:firstColumn="1" w:lastColumn="0" w:noHBand="0" w:noVBand="1"/>
      </w:tblPr>
      <w:tblGrid>
        <w:gridCol w:w="5220"/>
        <w:gridCol w:w="1441"/>
        <w:gridCol w:w="1759"/>
        <w:gridCol w:w="1774"/>
      </w:tblGrid>
      <w:tr w:rsidR="008413B6" w:rsidRPr="002C1EF4" w14:paraId="49B21DCF" w14:textId="77777777" w:rsidTr="00F74AAB">
        <w:trPr>
          <w:trHeight w:val="340"/>
        </w:trPr>
        <w:tc>
          <w:tcPr>
            <w:tcW w:w="256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DD38A50" w14:textId="77777777" w:rsidR="008413B6" w:rsidRPr="002C1EF4" w:rsidRDefault="008413B6" w:rsidP="00F74AAB">
            <w:pPr>
              <w:spacing w:after="0" w:line="240" w:lineRule="auto"/>
              <w:rPr>
                <w:rFonts w:ascii="Times New Roman" w:eastAsia="Times New Roman" w:hAnsi="Times New Roman" w:cs="Times New Roman"/>
                <w:b/>
                <w:bCs/>
                <w:color w:val="000000"/>
                <w:sz w:val="20"/>
                <w:szCs w:val="20"/>
                <w:lang w:eastAsia="pl-PL"/>
              </w:rPr>
            </w:pPr>
            <w:r w:rsidRPr="002C1EF4">
              <w:rPr>
                <w:rFonts w:ascii="Times New Roman" w:eastAsia="Times New Roman" w:hAnsi="Times New Roman" w:cs="Times New Roman"/>
                <w:b/>
                <w:bCs/>
                <w:color w:val="000000"/>
                <w:sz w:val="20"/>
                <w:szCs w:val="20"/>
                <w:lang w:eastAsia="pl-PL"/>
              </w:rPr>
              <w:t>Nazwa gminy</w:t>
            </w:r>
          </w:p>
        </w:tc>
        <w:tc>
          <w:tcPr>
            <w:tcW w:w="707" w:type="pct"/>
            <w:tcBorders>
              <w:top w:val="single" w:sz="4" w:space="0" w:color="auto"/>
              <w:left w:val="nil"/>
              <w:bottom w:val="single" w:sz="4" w:space="0" w:color="auto"/>
              <w:right w:val="single" w:sz="4" w:space="0" w:color="auto"/>
            </w:tcBorders>
            <w:shd w:val="clear" w:color="000000" w:fill="F2F2F2"/>
            <w:vAlign w:val="center"/>
            <w:hideMark/>
          </w:tcPr>
          <w:p w14:paraId="276DE067" w14:textId="77777777" w:rsidR="008413B6" w:rsidRPr="002C1EF4" w:rsidRDefault="008413B6" w:rsidP="00F74AAB">
            <w:pPr>
              <w:spacing w:after="0" w:line="240" w:lineRule="auto"/>
              <w:jc w:val="center"/>
              <w:rPr>
                <w:rFonts w:ascii="Times New Roman" w:eastAsia="Times New Roman" w:hAnsi="Times New Roman" w:cs="Times New Roman"/>
                <w:b/>
                <w:bCs/>
                <w:color w:val="000000"/>
                <w:sz w:val="20"/>
                <w:szCs w:val="20"/>
                <w:lang w:eastAsia="pl-PL"/>
              </w:rPr>
            </w:pPr>
            <w:r w:rsidRPr="002C1EF4">
              <w:rPr>
                <w:rFonts w:ascii="Times New Roman" w:eastAsia="Times New Roman" w:hAnsi="Times New Roman" w:cs="Times New Roman"/>
                <w:b/>
                <w:bCs/>
                <w:color w:val="000000"/>
                <w:sz w:val="20"/>
                <w:szCs w:val="20"/>
                <w:lang w:eastAsia="pl-PL"/>
              </w:rPr>
              <w:t>Typ gminy</w:t>
            </w:r>
          </w:p>
        </w:tc>
        <w:tc>
          <w:tcPr>
            <w:tcW w:w="862" w:type="pct"/>
            <w:tcBorders>
              <w:top w:val="single" w:sz="4" w:space="0" w:color="auto"/>
              <w:left w:val="nil"/>
              <w:bottom w:val="single" w:sz="4" w:space="0" w:color="auto"/>
              <w:right w:val="single" w:sz="4" w:space="0" w:color="auto"/>
            </w:tcBorders>
            <w:shd w:val="clear" w:color="000000" w:fill="F2F2F2"/>
            <w:vAlign w:val="center"/>
            <w:hideMark/>
          </w:tcPr>
          <w:p w14:paraId="3D4691E1" w14:textId="77777777" w:rsidR="008413B6" w:rsidRPr="002C1EF4" w:rsidRDefault="008413B6" w:rsidP="00F74AAB">
            <w:pPr>
              <w:spacing w:after="0" w:line="240" w:lineRule="auto"/>
              <w:jc w:val="center"/>
              <w:rPr>
                <w:rFonts w:ascii="Times New Roman" w:eastAsia="Times New Roman" w:hAnsi="Times New Roman" w:cs="Times New Roman"/>
                <w:b/>
                <w:bCs/>
                <w:color w:val="000000"/>
                <w:sz w:val="20"/>
                <w:szCs w:val="20"/>
                <w:lang w:eastAsia="pl-PL"/>
              </w:rPr>
            </w:pPr>
            <w:r w:rsidRPr="002C1EF4">
              <w:rPr>
                <w:rFonts w:ascii="Times New Roman" w:eastAsia="Times New Roman" w:hAnsi="Times New Roman" w:cs="Times New Roman"/>
                <w:b/>
                <w:bCs/>
                <w:color w:val="000000"/>
                <w:sz w:val="20"/>
                <w:szCs w:val="20"/>
                <w:lang w:eastAsia="pl-PL"/>
              </w:rPr>
              <w:t>Identyfikator gminy</w:t>
            </w:r>
          </w:p>
        </w:tc>
        <w:tc>
          <w:tcPr>
            <w:tcW w:w="870" w:type="pct"/>
            <w:tcBorders>
              <w:top w:val="single" w:sz="4" w:space="0" w:color="auto"/>
              <w:left w:val="nil"/>
              <w:bottom w:val="single" w:sz="4" w:space="0" w:color="auto"/>
              <w:right w:val="single" w:sz="4" w:space="0" w:color="auto"/>
            </w:tcBorders>
            <w:shd w:val="clear" w:color="000000" w:fill="F2F2F2"/>
            <w:vAlign w:val="center"/>
            <w:hideMark/>
          </w:tcPr>
          <w:p w14:paraId="575742FF" w14:textId="77777777" w:rsidR="008413B6" w:rsidRPr="002C1EF4" w:rsidRDefault="008413B6" w:rsidP="00F74AAB">
            <w:pPr>
              <w:spacing w:after="0" w:line="240" w:lineRule="auto"/>
              <w:jc w:val="center"/>
              <w:rPr>
                <w:rFonts w:ascii="Times New Roman" w:eastAsia="Times New Roman" w:hAnsi="Times New Roman" w:cs="Times New Roman"/>
                <w:b/>
                <w:bCs/>
                <w:color w:val="000000"/>
                <w:sz w:val="20"/>
                <w:szCs w:val="20"/>
                <w:lang w:eastAsia="pl-PL"/>
              </w:rPr>
            </w:pPr>
            <w:r w:rsidRPr="002C1EF4">
              <w:rPr>
                <w:rFonts w:ascii="Times New Roman" w:eastAsia="Times New Roman" w:hAnsi="Times New Roman" w:cs="Times New Roman"/>
                <w:b/>
                <w:bCs/>
                <w:color w:val="000000"/>
                <w:sz w:val="20"/>
                <w:szCs w:val="20"/>
                <w:lang w:eastAsia="pl-PL"/>
              </w:rPr>
              <w:t>Powierzchnia (km</w:t>
            </w:r>
            <w:r w:rsidRPr="002C1EF4">
              <w:rPr>
                <w:rFonts w:ascii="Times New Roman" w:eastAsia="Times New Roman" w:hAnsi="Times New Roman" w:cs="Times New Roman"/>
                <w:b/>
                <w:bCs/>
                <w:color w:val="000000"/>
                <w:sz w:val="20"/>
                <w:szCs w:val="20"/>
                <w:vertAlign w:val="superscript"/>
                <w:lang w:eastAsia="pl-PL"/>
              </w:rPr>
              <w:t>2</w:t>
            </w:r>
            <w:r w:rsidRPr="002C1EF4">
              <w:rPr>
                <w:rFonts w:ascii="Times New Roman" w:eastAsia="Times New Roman" w:hAnsi="Times New Roman" w:cs="Times New Roman"/>
                <w:b/>
                <w:bCs/>
                <w:color w:val="000000"/>
                <w:sz w:val="20"/>
                <w:szCs w:val="20"/>
                <w:lang w:eastAsia="pl-PL"/>
              </w:rPr>
              <w:t>)</w:t>
            </w:r>
          </w:p>
        </w:tc>
      </w:tr>
      <w:tr w:rsidR="008413B6" w:rsidRPr="002C1EF4" w14:paraId="66E26D8D"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512E5AA0"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Międzyrzec Podlaski</w:t>
            </w:r>
          </w:p>
        </w:tc>
        <w:tc>
          <w:tcPr>
            <w:tcW w:w="707" w:type="pct"/>
            <w:tcBorders>
              <w:top w:val="nil"/>
              <w:left w:val="nil"/>
              <w:bottom w:val="single" w:sz="4" w:space="0" w:color="auto"/>
              <w:right w:val="single" w:sz="4" w:space="0" w:color="auto"/>
            </w:tcBorders>
            <w:shd w:val="clear" w:color="auto" w:fill="auto"/>
            <w:vAlign w:val="center"/>
            <w:hideMark/>
          </w:tcPr>
          <w:p w14:paraId="7A579073"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miejska</w:t>
            </w:r>
          </w:p>
        </w:tc>
        <w:tc>
          <w:tcPr>
            <w:tcW w:w="862" w:type="pct"/>
            <w:tcBorders>
              <w:top w:val="nil"/>
              <w:left w:val="nil"/>
              <w:bottom w:val="single" w:sz="4" w:space="0" w:color="auto"/>
              <w:right w:val="single" w:sz="4" w:space="0" w:color="auto"/>
            </w:tcBorders>
            <w:shd w:val="clear" w:color="auto" w:fill="auto"/>
            <w:noWrap/>
            <w:vAlign w:val="center"/>
            <w:hideMark/>
          </w:tcPr>
          <w:p w14:paraId="0C4D944D"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0601011</w:t>
            </w:r>
          </w:p>
        </w:tc>
        <w:tc>
          <w:tcPr>
            <w:tcW w:w="870" w:type="pct"/>
            <w:tcBorders>
              <w:top w:val="nil"/>
              <w:left w:val="nil"/>
              <w:bottom w:val="single" w:sz="4" w:space="0" w:color="auto"/>
              <w:right w:val="single" w:sz="4" w:space="0" w:color="auto"/>
            </w:tcBorders>
            <w:shd w:val="clear" w:color="auto" w:fill="auto"/>
            <w:noWrap/>
            <w:vAlign w:val="center"/>
            <w:hideMark/>
          </w:tcPr>
          <w:p w14:paraId="173EFFA7"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20</w:t>
            </w:r>
          </w:p>
        </w:tc>
      </w:tr>
      <w:tr w:rsidR="008413B6" w:rsidRPr="002C1EF4" w14:paraId="7CF498C4"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1791A9CB"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Terespol </w:t>
            </w:r>
          </w:p>
        </w:tc>
        <w:tc>
          <w:tcPr>
            <w:tcW w:w="707" w:type="pct"/>
            <w:tcBorders>
              <w:top w:val="nil"/>
              <w:left w:val="nil"/>
              <w:bottom w:val="single" w:sz="4" w:space="0" w:color="auto"/>
              <w:right w:val="single" w:sz="4" w:space="0" w:color="auto"/>
            </w:tcBorders>
            <w:shd w:val="clear" w:color="auto" w:fill="auto"/>
            <w:vAlign w:val="center"/>
            <w:hideMark/>
          </w:tcPr>
          <w:p w14:paraId="4A2B95FB"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miejska</w:t>
            </w:r>
          </w:p>
        </w:tc>
        <w:tc>
          <w:tcPr>
            <w:tcW w:w="862" w:type="pct"/>
            <w:tcBorders>
              <w:top w:val="nil"/>
              <w:left w:val="nil"/>
              <w:bottom w:val="single" w:sz="4" w:space="0" w:color="auto"/>
              <w:right w:val="single" w:sz="4" w:space="0" w:color="auto"/>
            </w:tcBorders>
            <w:shd w:val="clear" w:color="auto" w:fill="auto"/>
            <w:noWrap/>
            <w:vAlign w:val="center"/>
            <w:hideMark/>
          </w:tcPr>
          <w:p w14:paraId="052591BC"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0601021</w:t>
            </w:r>
          </w:p>
        </w:tc>
        <w:tc>
          <w:tcPr>
            <w:tcW w:w="870" w:type="pct"/>
            <w:tcBorders>
              <w:top w:val="nil"/>
              <w:left w:val="nil"/>
              <w:bottom w:val="single" w:sz="4" w:space="0" w:color="auto"/>
              <w:right w:val="single" w:sz="4" w:space="0" w:color="auto"/>
            </w:tcBorders>
            <w:shd w:val="clear" w:color="auto" w:fill="auto"/>
            <w:noWrap/>
            <w:vAlign w:val="center"/>
            <w:hideMark/>
          </w:tcPr>
          <w:p w14:paraId="0D547AB8"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10</w:t>
            </w:r>
          </w:p>
        </w:tc>
      </w:tr>
      <w:tr w:rsidR="008413B6" w:rsidRPr="002C1EF4" w14:paraId="37CAC25C"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4E9592AF"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Biała Podlaska</w:t>
            </w:r>
          </w:p>
        </w:tc>
        <w:tc>
          <w:tcPr>
            <w:tcW w:w="707" w:type="pct"/>
            <w:tcBorders>
              <w:top w:val="nil"/>
              <w:left w:val="nil"/>
              <w:bottom w:val="single" w:sz="4" w:space="0" w:color="auto"/>
              <w:right w:val="single" w:sz="4" w:space="0" w:color="auto"/>
            </w:tcBorders>
            <w:shd w:val="clear" w:color="auto" w:fill="auto"/>
            <w:vAlign w:val="center"/>
            <w:hideMark/>
          </w:tcPr>
          <w:p w14:paraId="5B292A99"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5554266B"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0601032</w:t>
            </w:r>
          </w:p>
        </w:tc>
        <w:tc>
          <w:tcPr>
            <w:tcW w:w="870" w:type="pct"/>
            <w:tcBorders>
              <w:top w:val="nil"/>
              <w:left w:val="nil"/>
              <w:bottom w:val="single" w:sz="4" w:space="0" w:color="auto"/>
              <w:right w:val="single" w:sz="4" w:space="0" w:color="auto"/>
            </w:tcBorders>
            <w:shd w:val="clear" w:color="auto" w:fill="auto"/>
            <w:noWrap/>
            <w:vAlign w:val="center"/>
            <w:hideMark/>
          </w:tcPr>
          <w:p w14:paraId="1852B3DC"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325</w:t>
            </w:r>
          </w:p>
        </w:tc>
      </w:tr>
      <w:tr w:rsidR="008413B6" w:rsidRPr="002C1EF4" w14:paraId="1FFC844A"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788F092D"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Drelów</w:t>
            </w:r>
          </w:p>
        </w:tc>
        <w:tc>
          <w:tcPr>
            <w:tcW w:w="707" w:type="pct"/>
            <w:tcBorders>
              <w:top w:val="nil"/>
              <w:left w:val="nil"/>
              <w:bottom w:val="single" w:sz="4" w:space="0" w:color="auto"/>
              <w:right w:val="single" w:sz="4" w:space="0" w:color="auto"/>
            </w:tcBorders>
            <w:shd w:val="clear" w:color="auto" w:fill="auto"/>
            <w:vAlign w:val="center"/>
            <w:hideMark/>
          </w:tcPr>
          <w:p w14:paraId="226007AC"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591322EE"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0601042</w:t>
            </w:r>
          </w:p>
        </w:tc>
        <w:tc>
          <w:tcPr>
            <w:tcW w:w="870" w:type="pct"/>
            <w:tcBorders>
              <w:top w:val="nil"/>
              <w:left w:val="nil"/>
              <w:bottom w:val="single" w:sz="4" w:space="0" w:color="auto"/>
              <w:right w:val="single" w:sz="4" w:space="0" w:color="auto"/>
            </w:tcBorders>
            <w:shd w:val="clear" w:color="auto" w:fill="auto"/>
            <w:noWrap/>
            <w:vAlign w:val="center"/>
            <w:hideMark/>
          </w:tcPr>
          <w:p w14:paraId="4E2FEF4F"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228</w:t>
            </w:r>
          </w:p>
        </w:tc>
      </w:tr>
      <w:tr w:rsidR="008413B6" w:rsidRPr="002C1EF4" w14:paraId="3085B0D4"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356BD583"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Janów Podlaski </w:t>
            </w:r>
          </w:p>
        </w:tc>
        <w:tc>
          <w:tcPr>
            <w:tcW w:w="707" w:type="pct"/>
            <w:tcBorders>
              <w:top w:val="nil"/>
              <w:left w:val="nil"/>
              <w:bottom w:val="single" w:sz="4" w:space="0" w:color="auto"/>
              <w:right w:val="single" w:sz="4" w:space="0" w:color="auto"/>
            </w:tcBorders>
            <w:shd w:val="clear" w:color="auto" w:fill="auto"/>
            <w:vAlign w:val="center"/>
            <w:hideMark/>
          </w:tcPr>
          <w:p w14:paraId="04EAD923"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4098BF53"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0601052</w:t>
            </w:r>
          </w:p>
        </w:tc>
        <w:tc>
          <w:tcPr>
            <w:tcW w:w="870" w:type="pct"/>
            <w:tcBorders>
              <w:top w:val="nil"/>
              <w:left w:val="nil"/>
              <w:bottom w:val="single" w:sz="4" w:space="0" w:color="auto"/>
              <w:right w:val="single" w:sz="4" w:space="0" w:color="auto"/>
            </w:tcBorders>
            <w:shd w:val="clear" w:color="auto" w:fill="auto"/>
            <w:noWrap/>
            <w:vAlign w:val="center"/>
            <w:hideMark/>
          </w:tcPr>
          <w:p w14:paraId="3EF0A20D"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136</w:t>
            </w:r>
          </w:p>
        </w:tc>
      </w:tr>
      <w:tr w:rsidR="008413B6" w:rsidRPr="002C1EF4" w14:paraId="7402B67F"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13DD8245"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Kodeń </w:t>
            </w:r>
          </w:p>
        </w:tc>
        <w:tc>
          <w:tcPr>
            <w:tcW w:w="707" w:type="pct"/>
            <w:tcBorders>
              <w:top w:val="nil"/>
              <w:left w:val="nil"/>
              <w:bottom w:val="single" w:sz="4" w:space="0" w:color="auto"/>
              <w:right w:val="single" w:sz="4" w:space="0" w:color="auto"/>
            </w:tcBorders>
            <w:shd w:val="clear" w:color="auto" w:fill="auto"/>
            <w:vAlign w:val="center"/>
            <w:hideMark/>
          </w:tcPr>
          <w:p w14:paraId="33DB4EF5"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7F70E830"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0601062</w:t>
            </w:r>
          </w:p>
        </w:tc>
        <w:tc>
          <w:tcPr>
            <w:tcW w:w="870" w:type="pct"/>
            <w:tcBorders>
              <w:top w:val="nil"/>
              <w:left w:val="nil"/>
              <w:bottom w:val="single" w:sz="4" w:space="0" w:color="auto"/>
              <w:right w:val="single" w:sz="4" w:space="0" w:color="auto"/>
            </w:tcBorders>
            <w:shd w:val="clear" w:color="auto" w:fill="auto"/>
            <w:noWrap/>
            <w:vAlign w:val="center"/>
            <w:hideMark/>
          </w:tcPr>
          <w:p w14:paraId="29887BD0"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151</w:t>
            </w:r>
          </w:p>
        </w:tc>
      </w:tr>
      <w:tr w:rsidR="008413B6" w:rsidRPr="002C1EF4" w14:paraId="77228E25"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27202178"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Konstantynów </w:t>
            </w:r>
          </w:p>
        </w:tc>
        <w:tc>
          <w:tcPr>
            <w:tcW w:w="707" w:type="pct"/>
            <w:tcBorders>
              <w:top w:val="nil"/>
              <w:left w:val="nil"/>
              <w:bottom w:val="single" w:sz="4" w:space="0" w:color="auto"/>
              <w:right w:val="single" w:sz="4" w:space="0" w:color="auto"/>
            </w:tcBorders>
            <w:shd w:val="clear" w:color="auto" w:fill="auto"/>
            <w:vAlign w:val="center"/>
            <w:hideMark/>
          </w:tcPr>
          <w:p w14:paraId="16B0D1D6"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186EBF09"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0601072</w:t>
            </w:r>
          </w:p>
        </w:tc>
        <w:tc>
          <w:tcPr>
            <w:tcW w:w="870" w:type="pct"/>
            <w:tcBorders>
              <w:top w:val="nil"/>
              <w:left w:val="nil"/>
              <w:bottom w:val="single" w:sz="4" w:space="0" w:color="auto"/>
              <w:right w:val="single" w:sz="4" w:space="0" w:color="auto"/>
            </w:tcBorders>
            <w:shd w:val="clear" w:color="auto" w:fill="auto"/>
            <w:noWrap/>
            <w:vAlign w:val="center"/>
            <w:hideMark/>
          </w:tcPr>
          <w:p w14:paraId="6BA369E6"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87</w:t>
            </w:r>
          </w:p>
        </w:tc>
      </w:tr>
      <w:tr w:rsidR="008413B6" w:rsidRPr="002C1EF4" w14:paraId="3EC8E621"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03B4095F"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Leśna Podlaska </w:t>
            </w:r>
          </w:p>
        </w:tc>
        <w:tc>
          <w:tcPr>
            <w:tcW w:w="707" w:type="pct"/>
            <w:tcBorders>
              <w:top w:val="nil"/>
              <w:left w:val="nil"/>
              <w:bottom w:val="single" w:sz="4" w:space="0" w:color="auto"/>
              <w:right w:val="single" w:sz="4" w:space="0" w:color="auto"/>
            </w:tcBorders>
            <w:shd w:val="clear" w:color="auto" w:fill="auto"/>
            <w:vAlign w:val="center"/>
            <w:hideMark/>
          </w:tcPr>
          <w:p w14:paraId="2CD83297"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7D19A3B8"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0601082</w:t>
            </w:r>
          </w:p>
        </w:tc>
        <w:tc>
          <w:tcPr>
            <w:tcW w:w="870" w:type="pct"/>
            <w:tcBorders>
              <w:top w:val="nil"/>
              <w:left w:val="nil"/>
              <w:bottom w:val="single" w:sz="4" w:space="0" w:color="auto"/>
              <w:right w:val="single" w:sz="4" w:space="0" w:color="auto"/>
            </w:tcBorders>
            <w:shd w:val="clear" w:color="auto" w:fill="auto"/>
            <w:noWrap/>
            <w:vAlign w:val="center"/>
            <w:hideMark/>
          </w:tcPr>
          <w:p w14:paraId="5BAAB404"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98</w:t>
            </w:r>
          </w:p>
        </w:tc>
      </w:tr>
      <w:tr w:rsidR="008413B6" w:rsidRPr="002C1EF4" w14:paraId="5A7818FD"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3C315050"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Łomazy </w:t>
            </w:r>
          </w:p>
        </w:tc>
        <w:tc>
          <w:tcPr>
            <w:tcW w:w="707" w:type="pct"/>
            <w:tcBorders>
              <w:top w:val="nil"/>
              <w:left w:val="nil"/>
              <w:bottom w:val="single" w:sz="4" w:space="0" w:color="auto"/>
              <w:right w:val="single" w:sz="4" w:space="0" w:color="auto"/>
            </w:tcBorders>
            <w:shd w:val="clear" w:color="auto" w:fill="auto"/>
            <w:vAlign w:val="center"/>
            <w:hideMark/>
          </w:tcPr>
          <w:p w14:paraId="4AE2DC1D"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7C231036"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0601092</w:t>
            </w:r>
          </w:p>
        </w:tc>
        <w:tc>
          <w:tcPr>
            <w:tcW w:w="870" w:type="pct"/>
            <w:tcBorders>
              <w:top w:val="nil"/>
              <w:left w:val="nil"/>
              <w:bottom w:val="single" w:sz="4" w:space="0" w:color="auto"/>
              <w:right w:val="single" w:sz="4" w:space="0" w:color="auto"/>
            </w:tcBorders>
            <w:shd w:val="clear" w:color="auto" w:fill="auto"/>
            <w:noWrap/>
            <w:vAlign w:val="center"/>
            <w:hideMark/>
          </w:tcPr>
          <w:p w14:paraId="6831D2FD"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199</w:t>
            </w:r>
          </w:p>
        </w:tc>
      </w:tr>
      <w:tr w:rsidR="008413B6" w:rsidRPr="002C1EF4" w14:paraId="4D04E3B8"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4C637D06"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Międzyrzec Podlaski </w:t>
            </w:r>
          </w:p>
        </w:tc>
        <w:tc>
          <w:tcPr>
            <w:tcW w:w="707" w:type="pct"/>
            <w:tcBorders>
              <w:top w:val="nil"/>
              <w:left w:val="nil"/>
              <w:bottom w:val="single" w:sz="4" w:space="0" w:color="auto"/>
              <w:right w:val="single" w:sz="4" w:space="0" w:color="auto"/>
            </w:tcBorders>
            <w:shd w:val="clear" w:color="auto" w:fill="auto"/>
            <w:vAlign w:val="center"/>
            <w:hideMark/>
          </w:tcPr>
          <w:p w14:paraId="1FC0243A"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293A7EC4"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0601102</w:t>
            </w:r>
          </w:p>
        </w:tc>
        <w:tc>
          <w:tcPr>
            <w:tcW w:w="870" w:type="pct"/>
            <w:tcBorders>
              <w:top w:val="nil"/>
              <w:left w:val="nil"/>
              <w:bottom w:val="single" w:sz="4" w:space="0" w:color="auto"/>
              <w:right w:val="single" w:sz="4" w:space="0" w:color="auto"/>
            </w:tcBorders>
            <w:shd w:val="clear" w:color="auto" w:fill="auto"/>
            <w:noWrap/>
            <w:vAlign w:val="center"/>
            <w:hideMark/>
          </w:tcPr>
          <w:p w14:paraId="441DF9CC"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261</w:t>
            </w:r>
          </w:p>
        </w:tc>
      </w:tr>
      <w:tr w:rsidR="008413B6" w:rsidRPr="002C1EF4" w14:paraId="4F073574"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4FA0F72A"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Piszczac </w:t>
            </w:r>
          </w:p>
        </w:tc>
        <w:tc>
          <w:tcPr>
            <w:tcW w:w="707" w:type="pct"/>
            <w:tcBorders>
              <w:top w:val="nil"/>
              <w:left w:val="nil"/>
              <w:bottom w:val="single" w:sz="4" w:space="0" w:color="auto"/>
              <w:right w:val="single" w:sz="4" w:space="0" w:color="auto"/>
            </w:tcBorders>
            <w:shd w:val="clear" w:color="auto" w:fill="auto"/>
            <w:vAlign w:val="center"/>
            <w:hideMark/>
          </w:tcPr>
          <w:p w14:paraId="6D36E09E"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6D540FD9"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0601112</w:t>
            </w:r>
          </w:p>
        </w:tc>
        <w:tc>
          <w:tcPr>
            <w:tcW w:w="870" w:type="pct"/>
            <w:tcBorders>
              <w:top w:val="nil"/>
              <w:left w:val="nil"/>
              <w:bottom w:val="single" w:sz="4" w:space="0" w:color="auto"/>
              <w:right w:val="single" w:sz="4" w:space="0" w:color="auto"/>
            </w:tcBorders>
            <w:shd w:val="clear" w:color="auto" w:fill="auto"/>
            <w:noWrap/>
            <w:vAlign w:val="center"/>
            <w:hideMark/>
          </w:tcPr>
          <w:p w14:paraId="4CF0DAD0"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170</w:t>
            </w:r>
          </w:p>
        </w:tc>
      </w:tr>
      <w:tr w:rsidR="008413B6" w:rsidRPr="002C1EF4" w14:paraId="485917CB"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629A7F73"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Rokitno </w:t>
            </w:r>
          </w:p>
        </w:tc>
        <w:tc>
          <w:tcPr>
            <w:tcW w:w="707" w:type="pct"/>
            <w:tcBorders>
              <w:top w:val="nil"/>
              <w:left w:val="nil"/>
              <w:bottom w:val="single" w:sz="4" w:space="0" w:color="auto"/>
              <w:right w:val="single" w:sz="4" w:space="0" w:color="auto"/>
            </w:tcBorders>
            <w:shd w:val="clear" w:color="auto" w:fill="auto"/>
            <w:vAlign w:val="center"/>
            <w:hideMark/>
          </w:tcPr>
          <w:p w14:paraId="5C185696"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2CBEA357"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0601122</w:t>
            </w:r>
          </w:p>
        </w:tc>
        <w:tc>
          <w:tcPr>
            <w:tcW w:w="870" w:type="pct"/>
            <w:tcBorders>
              <w:top w:val="nil"/>
              <w:left w:val="nil"/>
              <w:bottom w:val="single" w:sz="4" w:space="0" w:color="auto"/>
              <w:right w:val="single" w:sz="4" w:space="0" w:color="auto"/>
            </w:tcBorders>
            <w:shd w:val="clear" w:color="auto" w:fill="auto"/>
            <w:noWrap/>
            <w:vAlign w:val="center"/>
            <w:hideMark/>
          </w:tcPr>
          <w:p w14:paraId="288D1B32"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141</w:t>
            </w:r>
          </w:p>
        </w:tc>
      </w:tr>
      <w:tr w:rsidR="008413B6" w:rsidRPr="002C1EF4" w14:paraId="2B20BEED"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1CF29D4A"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Rossosz </w:t>
            </w:r>
          </w:p>
        </w:tc>
        <w:tc>
          <w:tcPr>
            <w:tcW w:w="707" w:type="pct"/>
            <w:tcBorders>
              <w:top w:val="nil"/>
              <w:left w:val="nil"/>
              <w:bottom w:val="single" w:sz="4" w:space="0" w:color="auto"/>
              <w:right w:val="single" w:sz="4" w:space="0" w:color="auto"/>
            </w:tcBorders>
            <w:shd w:val="clear" w:color="auto" w:fill="auto"/>
            <w:vAlign w:val="center"/>
            <w:hideMark/>
          </w:tcPr>
          <w:p w14:paraId="2288F1DB"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7AB32D74"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0601132</w:t>
            </w:r>
          </w:p>
        </w:tc>
        <w:tc>
          <w:tcPr>
            <w:tcW w:w="870" w:type="pct"/>
            <w:tcBorders>
              <w:top w:val="nil"/>
              <w:left w:val="nil"/>
              <w:bottom w:val="single" w:sz="4" w:space="0" w:color="auto"/>
              <w:right w:val="single" w:sz="4" w:space="0" w:color="auto"/>
            </w:tcBorders>
            <w:shd w:val="clear" w:color="auto" w:fill="auto"/>
            <w:noWrap/>
            <w:vAlign w:val="center"/>
            <w:hideMark/>
          </w:tcPr>
          <w:p w14:paraId="46E3C59C"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76</w:t>
            </w:r>
          </w:p>
        </w:tc>
      </w:tr>
      <w:tr w:rsidR="008413B6" w:rsidRPr="002C1EF4" w14:paraId="731AA8FF"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224947FE"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Sławatycze </w:t>
            </w:r>
          </w:p>
        </w:tc>
        <w:tc>
          <w:tcPr>
            <w:tcW w:w="707" w:type="pct"/>
            <w:tcBorders>
              <w:top w:val="nil"/>
              <w:left w:val="nil"/>
              <w:bottom w:val="single" w:sz="4" w:space="0" w:color="auto"/>
              <w:right w:val="single" w:sz="4" w:space="0" w:color="auto"/>
            </w:tcBorders>
            <w:shd w:val="clear" w:color="auto" w:fill="auto"/>
            <w:vAlign w:val="center"/>
            <w:hideMark/>
          </w:tcPr>
          <w:p w14:paraId="705B9018"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03B3EB19"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0601142</w:t>
            </w:r>
          </w:p>
        </w:tc>
        <w:tc>
          <w:tcPr>
            <w:tcW w:w="870" w:type="pct"/>
            <w:tcBorders>
              <w:top w:val="nil"/>
              <w:left w:val="nil"/>
              <w:bottom w:val="single" w:sz="4" w:space="0" w:color="auto"/>
              <w:right w:val="single" w:sz="4" w:space="0" w:color="auto"/>
            </w:tcBorders>
            <w:shd w:val="clear" w:color="auto" w:fill="auto"/>
            <w:noWrap/>
            <w:vAlign w:val="center"/>
            <w:hideMark/>
          </w:tcPr>
          <w:p w14:paraId="284ED3A8"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72</w:t>
            </w:r>
          </w:p>
        </w:tc>
      </w:tr>
      <w:tr w:rsidR="008413B6" w:rsidRPr="002C1EF4" w14:paraId="72A603BC"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60D23E17"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Sosnówka </w:t>
            </w:r>
          </w:p>
        </w:tc>
        <w:tc>
          <w:tcPr>
            <w:tcW w:w="707" w:type="pct"/>
            <w:tcBorders>
              <w:top w:val="nil"/>
              <w:left w:val="nil"/>
              <w:bottom w:val="single" w:sz="4" w:space="0" w:color="auto"/>
              <w:right w:val="single" w:sz="4" w:space="0" w:color="auto"/>
            </w:tcBorders>
            <w:shd w:val="clear" w:color="auto" w:fill="auto"/>
            <w:vAlign w:val="center"/>
            <w:hideMark/>
          </w:tcPr>
          <w:p w14:paraId="7CA4D124"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59F85BA5"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0601152</w:t>
            </w:r>
          </w:p>
        </w:tc>
        <w:tc>
          <w:tcPr>
            <w:tcW w:w="870" w:type="pct"/>
            <w:tcBorders>
              <w:top w:val="nil"/>
              <w:left w:val="nil"/>
              <w:bottom w:val="single" w:sz="4" w:space="0" w:color="auto"/>
              <w:right w:val="single" w:sz="4" w:space="0" w:color="auto"/>
            </w:tcBorders>
            <w:shd w:val="clear" w:color="auto" w:fill="auto"/>
            <w:noWrap/>
            <w:vAlign w:val="center"/>
            <w:hideMark/>
          </w:tcPr>
          <w:p w14:paraId="27E0B5AA"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148</w:t>
            </w:r>
          </w:p>
        </w:tc>
      </w:tr>
      <w:tr w:rsidR="008413B6" w:rsidRPr="002C1EF4" w14:paraId="32A6E4E7"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65EA405A"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Terespol </w:t>
            </w:r>
          </w:p>
        </w:tc>
        <w:tc>
          <w:tcPr>
            <w:tcW w:w="707" w:type="pct"/>
            <w:tcBorders>
              <w:top w:val="nil"/>
              <w:left w:val="nil"/>
              <w:bottom w:val="single" w:sz="4" w:space="0" w:color="auto"/>
              <w:right w:val="single" w:sz="4" w:space="0" w:color="auto"/>
            </w:tcBorders>
            <w:shd w:val="clear" w:color="auto" w:fill="auto"/>
            <w:vAlign w:val="center"/>
            <w:hideMark/>
          </w:tcPr>
          <w:p w14:paraId="66B39CAD"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138E8CD7"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0601162</w:t>
            </w:r>
          </w:p>
        </w:tc>
        <w:tc>
          <w:tcPr>
            <w:tcW w:w="870" w:type="pct"/>
            <w:tcBorders>
              <w:top w:val="nil"/>
              <w:left w:val="nil"/>
              <w:bottom w:val="single" w:sz="4" w:space="0" w:color="auto"/>
              <w:right w:val="single" w:sz="4" w:space="0" w:color="auto"/>
            </w:tcBorders>
            <w:shd w:val="clear" w:color="auto" w:fill="auto"/>
            <w:noWrap/>
            <w:vAlign w:val="center"/>
            <w:hideMark/>
          </w:tcPr>
          <w:p w14:paraId="5EBDCE79"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142</w:t>
            </w:r>
          </w:p>
        </w:tc>
      </w:tr>
      <w:tr w:rsidR="008413B6" w:rsidRPr="002C1EF4" w14:paraId="4662A428"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47A84FCE"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Tuczna </w:t>
            </w:r>
          </w:p>
        </w:tc>
        <w:tc>
          <w:tcPr>
            <w:tcW w:w="707" w:type="pct"/>
            <w:tcBorders>
              <w:top w:val="nil"/>
              <w:left w:val="nil"/>
              <w:bottom w:val="single" w:sz="4" w:space="0" w:color="auto"/>
              <w:right w:val="single" w:sz="4" w:space="0" w:color="auto"/>
            </w:tcBorders>
            <w:shd w:val="clear" w:color="auto" w:fill="auto"/>
            <w:vAlign w:val="center"/>
            <w:hideMark/>
          </w:tcPr>
          <w:p w14:paraId="1F0A5C2B"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6B7E984A"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0601172</w:t>
            </w:r>
          </w:p>
        </w:tc>
        <w:tc>
          <w:tcPr>
            <w:tcW w:w="870" w:type="pct"/>
            <w:tcBorders>
              <w:top w:val="nil"/>
              <w:left w:val="nil"/>
              <w:bottom w:val="single" w:sz="4" w:space="0" w:color="auto"/>
              <w:right w:val="single" w:sz="4" w:space="0" w:color="auto"/>
            </w:tcBorders>
            <w:shd w:val="clear" w:color="auto" w:fill="auto"/>
            <w:noWrap/>
            <w:vAlign w:val="center"/>
            <w:hideMark/>
          </w:tcPr>
          <w:p w14:paraId="72A53156"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170</w:t>
            </w:r>
          </w:p>
        </w:tc>
      </w:tr>
      <w:tr w:rsidR="008413B6" w:rsidRPr="002C1EF4" w14:paraId="04E70143"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51406C5F"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Wisznice </w:t>
            </w:r>
          </w:p>
        </w:tc>
        <w:tc>
          <w:tcPr>
            <w:tcW w:w="707" w:type="pct"/>
            <w:tcBorders>
              <w:top w:val="nil"/>
              <w:left w:val="nil"/>
              <w:bottom w:val="single" w:sz="4" w:space="0" w:color="auto"/>
              <w:right w:val="single" w:sz="4" w:space="0" w:color="auto"/>
            </w:tcBorders>
            <w:shd w:val="clear" w:color="auto" w:fill="auto"/>
            <w:vAlign w:val="center"/>
            <w:hideMark/>
          </w:tcPr>
          <w:p w14:paraId="2F8A4A2F"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674CC676"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0601182</w:t>
            </w:r>
          </w:p>
        </w:tc>
        <w:tc>
          <w:tcPr>
            <w:tcW w:w="870" w:type="pct"/>
            <w:tcBorders>
              <w:top w:val="nil"/>
              <w:left w:val="nil"/>
              <w:bottom w:val="single" w:sz="4" w:space="0" w:color="auto"/>
              <w:right w:val="single" w:sz="4" w:space="0" w:color="auto"/>
            </w:tcBorders>
            <w:shd w:val="clear" w:color="auto" w:fill="auto"/>
            <w:noWrap/>
            <w:vAlign w:val="center"/>
            <w:hideMark/>
          </w:tcPr>
          <w:p w14:paraId="07669176"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173</w:t>
            </w:r>
          </w:p>
        </w:tc>
      </w:tr>
      <w:tr w:rsidR="008413B6" w:rsidRPr="002C1EF4" w14:paraId="3140A710" w14:textId="77777777" w:rsidTr="00F74AAB">
        <w:trPr>
          <w:trHeight w:val="340"/>
        </w:trPr>
        <w:tc>
          <w:tcPr>
            <w:tcW w:w="2560" w:type="pct"/>
            <w:tcBorders>
              <w:top w:val="nil"/>
              <w:left w:val="single" w:sz="4" w:space="0" w:color="auto"/>
              <w:bottom w:val="single" w:sz="4" w:space="0" w:color="auto"/>
              <w:right w:val="single" w:sz="4" w:space="0" w:color="auto"/>
            </w:tcBorders>
            <w:shd w:val="clear" w:color="auto" w:fill="auto"/>
            <w:noWrap/>
            <w:vAlign w:val="center"/>
            <w:hideMark/>
          </w:tcPr>
          <w:p w14:paraId="2D280CF5" w14:textId="77777777" w:rsidR="008413B6" w:rsidRPr="002C1EF4" w:rsidRDefault="008413B6" w:rsidP="00F74AAB">
            <w:pPr>
              <w:spacing w:after="0" w:line="240" w:lineRule="auto"/>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 xml:space="preserve">Zalesie </w:t>
            </w:r>
          </w:p>
        </w:tc>
        <w:tc>
          <w:tcPr>
            <w:tcW w:w="707" w:type="pct"/>
            <w:tcBorders>
              <w:top w:val="nil"/>
              <w:left w:val="nil"/>
              <w:bottom w:val="single" w:sz="4" w:space="0" w:color="auto"/>
              <w:right w:val="single" w:sz="4" w:space="0" w:color="auto"/>
            </w:tcBorders>
            <w:shd w:val="clear" w:color="auto" w:fill="auto"/>
            <w:vAlign w:val="center"/>
            <w:hideMark/>
          </w:tcPr>
          <w:p w14:paraId="7485CD85"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wiejska</w:t>
            </w:r>
          </w:p>
        </w:tc>
        <w:tc>
          <w:tcPr>
            <w:tcW w:w="862" w:type="pct"/>
            <w:tcBorders>
              <w:top w:val="nil"/>
              <w:left w:val="nil"/>
              <w:bottom w:val="single" w:sz="4" w:space="0" w:color="auto"/>
              <w:right w:val="single" w:sz="4" w:space="0" w:color="auto"/>
            </w:tcBorders>
            <w:shd w:val="clear" w:color="auto" w:fill="auto"/>
            <w:noWrap/>
            <w:vAlign w:val="center"/>
            <w:hideMark/>
          </w:tcPr>
          <w:p w14:paraId="4C2A6233" w14:textId="77777777" w:rsidR="008413B6" w:rsidRPr="002C1EF4" w:rsidRDefault="008413B6" w:rsidP="00F74AAB">
            <w:pPr>
              <w:spacing w:after="0" w:line="240" w:lineRule="auto"/>
              <w:jc w:val="center"/>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0601192</w:t>
            </w:r>
          </w:p>
        </w:tc>
        <w:tc>
          <w:tcPr>
            <w:tcW w:w="870" w:type="pct"/>
            <w:tcBorders>
              <w:top w:val="nil"/>
              <w:left w:val="nil"/>
              <w:bottom w:val="single" w:sz="4" w:space="0" w:color="auto"/>
              <w:right w:val="single" w:sz="4" w:space="0" w:color="auto"/>
            </w:tcBorders>
            <w:shd w:val="clear" w:color="auto" w:fill="auto"/>
            <w:noWrap/>
            <w:vAlign w:val="center"/>
            <w:hideMark/>
          </w:tcPr>
          <w:p w14:paraId="1106142C" w14:textId="77777777" w:rsidR="008413B6" w:rsidRPr="002C1EF4" w:rsidRDefault="008413B6" w:rsidP="00F74AAB">
            <w:pPr>
              <w:spacing w:after="0" w:line="240" w:lineRule="auto"/>
              <w:jc w:val="right"/>
              <w:rPr>
                <w:rFonts w:ascii="Times New Roman" w:eastAsia="Times New Roman" w:hAnsi="Times New Roman" w:cs="Times New Roman"/>
                <w:color w:val="000000"/>
                <w:sz w:val="20"/>
                <w:szCs w:val="20"/>
                <w:lang w:eastAsia="pl-PL"/>
              </w:rPr>
            </w:pPr>
            <w:r w:rsidRPr="002C1EF4">
              <w:rPr>
                <w:rFonts w:ascii="Times New Roman" w:eastAsia="Times New Roman" w:hAnsi="Times New Roman" w:cs="Times New Roman"/>
                <w:color w:val="000000"/>
                <w:sz w:val="20"/>
                <w:szCs w:val="20"/>
                <w:lang w:eastAsia="pl-PL"/>
              </w:rPr>
              <w:t>147</w:t>
            </w:r>
          </w:p>
        </w:tc>
      </w:tr>
      <w:tr w:rsidR="008413B6" w:rsidRPr="002C1EF4" w14:paraId="11ACE8C8" w14:textId="77777777" w:rsidTr="00F74AAB">
        <w:trPr>
          <w:trHeight w:val="340"/>
        </w:trPr>
        <w:tc>
          <w:tcPr>
            <w:tcW w:w="413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55EACE" w14:textId="77777777" w:rsidR="008413B6" w:rsidRPr="002C1EF4" w:rsidRDefault="008413B6" w:rsidP="00F74AAB">
            <w:pPr>
              <w:spacing w:after="0" w:line="240" w:lineRule="auto"/>
              <w:rPr>
                <w:rFonts w:ascii="Times New Roman" w:eastAsia="Times New Roman" w:hAnsi="Times New Roman" w:cs="Times New Roman"/>
                <w:b/>
                <w:bCs/>
                <w:color w:val="000000"/>
                <w:sz w:val="20"/>
                <w:szCs w:val="20"/>
                <w:lang w:eastAsia="pl-PL"/>
              </w:rPr>
            </w:pPr>
            <w:r w:rsidRPr="002C1EF4">
              <w:rPr>
                <w:rFonts w:ascii="Times New Roman" w:eastAsia="Times New Roman" w:hAnsi="Times New Roman" w:cs="Times New Roman"/>
                <w:b/>
                <w:bCs/>
                <w:color w:val="000000"/>
                <w:sz w:val="20"/>
                <w:szCs w:val="20"/>
                <w:lang w:eastAsia="pl-PL"/>
              </w:rPr>
              <w:t>RAZEM LGD</w:t>
            </w:r>
          </w:p>
        </w:tc>
        <w:tc>
          <w:tcPr>
            <w:tcW w:w="870" w:type="pct"/>
            <w:tcBorders>
              <w:top w:val="nil"/>
              <w:left w:val="nil"/>
              <w:bottom w:val="single" w:sz="4" w:space="0" w:color="auto"/>
              <w:right w:val="single" w:sz="4" w:space="0" w:color="auto"/>
            </w:tcBorders>
            <w:shd w:val="clear" w:color="auto" w:fill="auto"/>
            <w:noWrap/>
            <w:vAlign w:val="center"/>
            <w:hideMark/>
          </w:tcPr>
          <w:p w14:paraId="331D9A15" w14:textId="77777777" w:rsidR="008413B6" w:rsidRPr="002C1EF4" w:rsidRDefault="008413B6" w:rsidP="00F74AAB">
            <w:pPr>
              <w:spacing w:after="0" w:line="240" w:lineRule="auto"/>
              <w:jc w:val="right"/>
              <w:rPr>
                <w:rFonts w:ascii="Times New Roman" w:eastAsia="Times New Roman" w:hAnsi="Times New Roman" w:cs="Times New Roman"/>
                <w:b/>
                <w:bCs/>
                <w:color w:val="000000"/>
                <w:lang w:eastAsia="pl-PL"/>
              </w:rPr>
            </w:pPr>
            <w:r w:rsidRPr="002C1EF4">
              <w:rPr>
                <w:rFonts w:ascii="Times New Roman" w:eastAsia="Times New Roman" w:hAnsi="Times New Roman" w:cs="Times New Roman"/>
                <w:b/>
                <w:bCs/>
                <w:color w:val="000000"/>
                <w:lang w:eastAsia="pl-PL"/>
              </w:rPr>
              <w:t>2 754</w:t>
            </w:r>
          </w:p>
        </w:tc>
      </w:tr>
    </w:tbl>
    <w:p w14:paraId="0D23A547" w14:textId="3E2AAC77" w:rsidR="00A17173" w:rsidRPr="001F75C9" w:rsidRDefault="00A17173" w:rsidP="00A17173">
      <w:pPr>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p>
    <w:p w14:paraId="2709E813" w14:textId="770A8A68" w:rsidR="00A17173" w:rsidRPr="00B84E0F" w:rsidRDefault="00A17173" w:rsidP="0094673B">
      <w:pPr>
        <w:spacing w:after="80" w:line="276" w:lineRule="auto"/>
        <w:ind w:firstLine="708"/>
        <w:jc w:val="both"/>
        <w:rPr>
          <w:rFonts w:ascii="Times New Roman" w:hAnsi="Times New Roman" w:cs="Times New Roman"/>
          <w:i/>
          <w:iCs/>
          <w:color w:val="000000" w:themeColor="text1"/>
        </w:rPr>
      </w:pPr>
      <w:r w:rsidRPr="00EF7F22">
        <w:rPr>
          <w:rFonts w:ascii="Times New Roman" w:hAnsi="Times New Roman" w:cs="Times New Roman"/>
          <w:color w:val="000000" w:themeColor="text1"/>
        </w:rPr>
        <w:t xml:space="preserve">Niniejsza Strategia Rozwoju Lokalnego Kierowanego przez Społeczność jest strategią </w:t>
      </w:r>
      <w:r w:rsidR="00F053D6">
        <w:rPr>
          <w:rFonts w:ascii="Times New Roman" w:hAnsi="Times New Roman" w:cs="Times New Roman"/>
          <w:color w:val="000000" w:themeColor="text1"/>
        </w:rPr>
        <w:t>jednofunduszową</w:t>
      </w:r>
      <w:r w:rsidRPr="00EF7F22">
        <w:rPr>
          <w:rFonts w:ascii="Times New Roman" w:hAnsi="Times New Roman" w:cs="Times New Roman"/>
          <w:color w:val="000000" w:themeColor="text1"/>
        </w:rPr>
        <w:t>, finansowaną w ramach Europejskiego Funduszu Rolnego na rzecz Rozwoju Obszarów Wiejskich w ramach</w:t>
      </w:r>
      <w:r w:rsidR="00D541D2">
        <w:rPr>
          <w:rFonts w:ascii="Times New Roman" w:hAnsi="Times New Roman" w:cs="Times New Roman"/>
          <w:color w:val="000000" w:themeColor="text1"/>
        </w:rPr>
        <w:t xml:space="preserve"> programu</w:t>
      </w:r>
      <w:r w:rsidRPr="00EF7F22">
        <w:rPr>
          <w:rFonts w:ascii="Times New Roman" w:hAnsi="Times New Roman" w:cs="Times New Roman"/>
          <w:color w:val="000000" w:themeColor="text1"/>
        </w:rPr>
        <w:t xml:space="preserve"> </w:t>
      </w:r>
      <w:r w:rsidRPr="00B84E0F">
        <w:rPr>
          <w:rFonts w:ascii="Times New Roman" w:hAnsi="Times New Roman" w:cs="Times New Roman"/>
          <w:i/>
          <w:iCs/>
          <w:color w:val="000000" w:themeColor="text1"/>
        </w:rPr>
        <w:t>Plan Strategiczny dla Wspólnej Polityki Rolnej na lata 2023–2027</w:t>
      </w:r>
      <w:r w:rsidR="00F053D6" w:rsidRPr="00B84E0F">
        <w:rPr>
          <w:rFonts w:ascii="Times New Roman" w:hAnsi="Times New Roman" w:cs="Times New Roman"/>
          <w:i/>
          <w:iCs/>
          <w:color w:val="000000" w:themeColor="text1"/>
        </w:rPr>
        <w:t>.</w:t>
      </w:r>
    </w:p>
    <w:p w14:paraId="4218F2B9" w14:textId="77777777" w:rsidR="00A17173" w:rsidRDefault="00A17173" w:rsidP="0094673B">
      <w:pPr>
        <w:pStyle w:val="podnagowek"/>
        <w:numPr>
          <w:ilvl w:val="0"/>
          <w:numId w:val="10"/>
        </w:numPr>
        <w:spacing w:after="80"/>
        <w:ind w:left="782" w:hanging="357"/>
        <w:rPr>
          <w:sz w:val="22"/>
          <w:szCs w:val="22"/>
        </w:rPr>
      </w:pPr>
      <w:bookmarkStart w:id="16" w:name="_Toc135896893"/>
      <w:r w:rsidRPr="0026248A">
        <w:rPr>
          <w:sz w:val="22"/>
          <w:szCs w:val="22"/>
        </w:rPr>
        <w:t>Wyróżniki, potencjał i spójność obszaru</w:t>
      </w:r>
      <w:bookmarkEnd w:id="16"/>
      <w:r w:rsidRPr="0026248A">
        <w:rPr>
          <w:sz w:val="22"/>
          <w:szCs w:val="22"/>
        </w:rPr>
        <w:t xml:space="preserve"> </w:t>
      </w:r>
    </w:p>
    <w:p w14:paraId="4355E49D" w14:textId="6A6CBD60" w:rsidR="00401E54" w:rsidRDefault="00401E54" w:rsidP="00401E54">
      <w:pPr>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Administracyjnie wszystkie gminy Bialskopodlask</w:t>
      </w:r>
      <w:r w:rsidR="00D541D2">
        <w:rPr>
          <w:rFonts w:ascii="Times New Roman" w:hAnsi="Times New Roman" w:cs="Times New Roman"/>
          <w:color w:val="000000" w:themeColor="text1"/>
        </w:rPr>
        <w:t>iej</w:t>
      </w:r>
      <w:r>
        <w:rPr>
          <w:rFonts w:ascii="Times New Roman" w:hAnsi="Times New Roman" w:cs="Times New Roman"/>
          <w:color w:val="000000" w:themeColor="text1"/>
        </w:rPr>
        <w:t xml:space="preserve"> LGD należą do powiatu bialskiego w województwie lubelskim. </w:t>
      </w:r>
      <w:r w:rsidRPr="0055013F">
        <w:rPr>
          <w:rFonts w:ascii="Times New Roman" w:hAnsi="Times New Roman" w:cs="Times New Roman"/>
          <w:color w:val="000000" w:themeColor="text1"/>
        </w:rPr>
        <w:t xml:space="preserve">Gminy </w:t>
      </w:r>
      <w:r>
        <w:rPr>
          <w:rFonts w:ascii="Times New Roman" w:hAnsi="Times New Roman" w:cs="Times New Roman"/>
          <w:color w:val="000000" w:themeColor="text1"/>
        </w:rPr>
        <w:t>obszaru</w:t>
      </w:r>
      <w:r w:rsidRPr="0055013F">
        <w:rPr>
          <w:rFonts w:ascii="Times New Roman" w:hAnsi="Times New Roman" w:cs="Times New Roman"/>
          <w:color w:val="000000" w:themeColor="text1"/>
        </w:rPr>
        <w:t xml:space="preserve"> charakteryzują się spójnością geograficzną pod względem położenia i</w:t>
      </w:r>
      <w:r>
        <w:rPr>
          <w:rFonts w:ascii="Times New Roman" w:hAnsi="Times New Roman" w:cs="Times New Roman"/>
          <w:color w:val="000000" w:themeColor="text1"/>
        </w:rPr>
        <w:t> </w:t>
      </w:r>
      <w:r w:rsidRPr="0055013F">
        <w:rPr>
          <w:rFonts w:ascii="Times New Roman" w:hAnsi="Times New Roman" w:cs="Times New Roman"/>
          <w:color w:val="000000" w:themeColor="text1"/>
        </w:rPr>
        <w:t>ukształtowania terenu</w:t>
      </w:r>
      <w:r>
        <w:rPr>
          <w:rFonts w:ascii="Times New Roman" w:hAnsi="Times New Roman" w:cs="Times New Roman"/>
          <w:color w:val="000000" w:themeColor="text1"/>
        </w:rPr>
        <w:t xml:space="preserve">. </w:t>
      </w:r>
      <w:r w:rsidRPr="0055013F">
        <w:rPr>
          <w:rFonts w:ascii="Times New Roman" w:hAnsi="Times New Roman" w:cs="Times New Roman"/>
          <w:color w:val="000000" w:themeColor="text1"/>
        </w:rPr>
        <w:t>Pod względem fizycznogeograficznym analizowany obszar położony jest w</w:t>
      </w:r>
      <w:r>
        <w:rPr>
          <w:rFonts w:ascii="Times New Roman" w:hAnsi="Times New Roman" w:cs="Times New Roman"/>
          <w:color w:val="000000" w:themeColor="text1"/>
        </w:rPr>
        <w:t xml:space="preserve"> </w:t>
      </w:r>
      <w:r w:rsidRPr="00C24581">
        <w:rPr>
          <w:rFonts w:ascii="Times New Roman" w:hAnsi="Times New Roman" w:cs="Times New Roman"/>
          <w:szCs w:val="20"/>
        </w:rPr>
        <w:t>megaregio</w:t>
      </w:r>
      <w:r>
        <w:rPr>
          <w:rFonts w:ascii="Times New Roman" w:hAnsi="Times New Roman" w:cs="Times New Roman"/>
          <w:szCs w:val="20"/>
        </w:rPr>
        <w:t>nach Pozaalpejska Europa Środkowa i Niż Wschodnioeuropejski, prowincjach Niż Środkowoeuropejski oraz Niż Wschodniobałtycko-Białoruski, podprowincjach Niziny Środkowopolskie i Polesie, w makroregionach: Nizina Południowopodlaska oraz Polesie Zachodnie, w mezoregionach: Podlaski Przełom Bugu, Równina Łukowska, Polesie Brzeskie, Równina Kodeńska, Zaklęsłość Łomaska</w:t>
      </w:r>
      <w:r>
        <w:rPr>
          <w:rStyle w:val="Odwoanieprzypisudolnego"/>
          <w:color w:val="000000" w:themeColor="text1"/>
        </w:rPr>
        <w:footnoteReference w:id="1"/>
      </w:r>
      <w:r>
        <w:rPr>
          <w:rFonts w:ascii="Times New Roman" w:hAnsi="Times New Roman" w:cs="Times New Roman"/>
          <w:color w:val="000000" w:themeColor="text1"/>
        </w:rPr>
        <w:t>.</w:t>
      </w:r>
      <w:r w:rsidRPr="0055013F">
        <w:rPr>
          <w:rFonts w:ascii="Times New Roman" w:hAnsi="Times New Roman" w:cs="Times New Roman"/>
          <w:color w:val="000000" w:themeColor="text1"/>
        </w:rPr>
        <w:t xml:space="preserve"> Obszar odznacza się dużą spójnością przyrodniczą, która wynika ze zbliżonych bądź tożsamych uwarunkowań poszczególnych elementów środowiska</w:t>
      </w:r>
      <w:r>
        <w:rPr>
          <w:rFonts w:ascii="Times New Roman" w:hAnsi="Times New Roman" w:cs="Times New Roman"/>
          <w:color w:val="000000" w:themeColor="text1"/>
        </w:rPr>
        <w:t xml:space="preserve">: </w:t>
      </w:r>
    </w:p>
    <w:p w14:paraId="513044C2" w14:textId="77777777" w:rsidR="00401E54" w:rsidRDefault="00401E54" w:rsidP="00CD2D87">
      <w:pPr>
        <w:pStyle w:val="Akapitzlist"/>
        <w:numPr>
          <w:ilvl w:val="0"/>
          <w:numId w:val="46"/>
        </w:numPr>
        <w:spacing w:after="0" w:line="276"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region głównie równinny;</w:t>
      </w:r>
    </w:p>
    <w:p w14:paraId="43CAABA1" w14:textId="77777777" w:rsidR="00401E54" w:rsidRPr="00CD3B9D" w:rsidRDefault="00401E54" w:rsidP="00CD2D87">
      <w:pPr>
        <w:pStyle w:val="Akapitzlist"/>
        <w:numPr>
          <w:ilvl w:val="0"/>
          <w:numId w:val="46"/>
        </w:numPr>
        <w:spacing w:after="0" w:line="276" w:lineRule="auto"/>
        <w:ind w:left="709"/>
        <w:jc w:val="both"/>
        <w:rPr>
          <w:rFonts w:ascii="Times New Roman" w:hAnsi="Times New Roman" w:cs="Times New Roman"/>
          <w:color w:val="000000" w:themeColor="text1"/>
        </w:rPr>
      </w:pPr>
      <w:r w:rsidRPr="0081031B">
        <w:rPr>
          <w:rFonts w:ascii="Times New Roman" w:hAnsi="Times New Roman" w:cs="Times New Roman"/>
          <w:color w:val="000000" w:themeColor="text1"/>
        </w:rPr>
        <w:t>obszar jest urozmaicony pod kątem budowy geologicznej i różnorodności skał występujących często na powierzchni terenu.</w:t>
      </w:r>
      <w:r>
        <w:rPr>
          <w:rFonts w:ascii="Times New Roman" w:hAnsi="Times New Roman" w:cs="Times New Roman"/>
          <w:color w:val="000000" w:themeColor="text1"/>
        </w:rPr>
        <w:t xml:space="preserve"> Piaski i żwiry </w:t>
      </w:r>
      <w:r w:rsidRPr="0081031B">
        <w:rPr>
          <w:rFonts w:ascii="Times New Roman" w:hAnsi="Times New Roman" w:cs="Times New Roman"/>
          <w:color w:val="000000" w:themeColor="text1"/>
        </w:rPr>
        <w:t>występują na terenie</w:t>
      </w:r>
      <w:r>
        <w:rPr>
          <w:rFonts w:ascii="Times New Roman" w:hAnsi="Times New Roman" w:cs="Times New Roman"/>
          <w:color w:val="000000" w:themeColor="text1"/>
        </w:rPr>
        <w:t xml:space="preserve"> wszystkich </w:t>
      </w:r>
      <w:r w:rsidRPr="0081031B">
        <w:rPr>
          <w:rFonts w:ascii="Times New Roman" w:hAnsi="Times New Roman" w:cs="Times New Roman"/>
          <w:color w:val="000000" w:themeColor="text1"/>
        </w:rPr>
        <w:t>gmin wchodzących w skład LGD. Ważną pozycję w bilansie zasobów</w:t>
      </w:r>
      <w:r>
        <w:rPr>
          <w:rFonts w:ascii="Times New Roman" w:hAnsi="Times New Roman" w:cs="Times New Roman"/>
          <w:color w:val="000000" w:themeColor="text1"/>
        </w:rPr>
        <w:t xml:space="preserve"> zajmują również gliny zwałowe oraz piaski i żwiry lodowcowe, a także</w:t>
      </w:r>
      <w:r w:rsidRPr="000556DC">
        <w:rPr>
          <w:rFonts w:ascii="Times New Roman" w:hAnsi="Times New Roman" w:cs="Times New Roman"/>
          <w:color w:val="000000" w:themeColor="text1"/>
        </w:rPr>
        <w:t xml:space="preserve"> mady </w:t>
      </w:r>
      <w:r w:rsidRPr="00CD3B9D">
        <w:rPr>
          <w:rFonts w:ascii="Times New Roman" w:hAnsi="Times New Roman" w:cs="Times New Roman"/>
          <w:color w:val="000000" w:themeColor="text1"/>
        </w:rPr>
        <w:t>rzeczne oraz torfy i namuły</w:t>
      </w:r>
      <w:r w:rsidRPr="00CD3B9D">
        <w:rPr>
          <w:rStyle w:val="Odwoanieprzypisudolnego"/>
          <w:color w:val="000000" w:themeColor="text1"/>
        </w:rPr>
        <w:footnoteReference w:id="2"/>
      </w:r>
      <w:r w:rsidRPr="00CD3B9D">
        <w:rPr>
          <w:rFonts w:ascii="Times New Roman" w:hAnsi="Times New Roman" w:cs="Times New Roman"/>
          <w:color w:val="000000" w:themeColor="text1"/>
        </w:rPr>
        <w:t xml:space="preserve">; </w:t>
      </w:r>
    </w:p>
    <w:p w14:paraId="51272192" w14:textId="77777777" w:rsidR="00401E54" w:rsidRPr="00CD3B9D" w:rsidRDefault="00401E54" w:rsidP="00CD2D87">
      <w:pPr>
        <w:pStyle w:val="Akapitzlist"/>
        <w:numPr>
          <w:ilvl w:val="0"/>
          <w:numId w:val="46"/>
        </w:numPr>
        <w:spacing w:after="0" w:line="276" w:lineRule="auto"/>
        <w:ind w:left="709"/>
        <w:jc w:val="both"/>
        <w:rPr>
          <w:rFonts w:ascii="Times New Roman" w:hAnsi="Times New Roman" w:cs="Times New Roman"/>
          <w:color w:val="000000" w:themeColor="text1"/>
        </w:rPr>
      </w:pPr>
      <w:r w:rsidRPr="00CD3B9D">
        <w:rPr>
          <w:rFonts w:ascii="Times New Roman" w:hAnsi="Times New Roman" w:cs="Times New Roman"/>
          <w:color w:val="000000" w:themeColor="text1"/>
        </w:rPr>
        <w:lastRenderedPageBreak/>
        <w:t>obszar nie jest bogaty w surowce mineralne, występują tutaj tereny i obszary górnicze, w których wydobywa się piaski i żwiry</w:t>
      </w:r>
      <w:r w:rsidRPr="00CD3B9D">
        <w:rPr>
          <w:rStyle w:val="Odwoanieprzypisudolnego"/>
          <w:color w:val="000000" w:themeColor="text1"/>
        </w:rPr>
        <w:footnoteReference w:id="3"/>
      </w:r>
      <w:r w:rsidRPr="00CD3B9D">
        <w:rPr>
          <w:rFonts w:ascii="Times New Roman" w:hAnsi="Times New Roman" w:cs="Times New Roman"/>
          <w:color w:val="000000" w:themeColor="text1"/>
        </w:rPr>
        <w:t>;</w:t>
      </w:r>
    </w:p>
    <w:p w14:paraId="653FAEF6" w14:textId="77777777" w:rsidR="00401E54" w:rsidRPr="00CD3B9D" w:rsidRDefault="00401E54" w:rsidP="00CD2D87">
      <w:pPr>
        <w:pStyle w:val="Akapitzlist"/>
        <w:numPr>
          <w:ilvl w:val="0"/>
          <w:numId w:val="46"/>
        </w:numPr>
        <w:spacing w:after="0" w:line="276" w:lineRule="auto"/>
        <w:ind w:left="709"/>
        <w:jc w:val="both"/>
        <w:rPr>
          <w:rFonts w:ascii="Times New Roman" w:hAnsi="Times New Roman" w:cs="Times New Roman"/>
          <w:color w:val="000000" w:themeColor="text1"/>
        </w:rPr>
      </w:pPr>
      <w:r w:rsidRPr="00CD3B9D">
        <w:rPr>
          <w:rFonts w:ascii="Times New Roman" w:hAnsi="Times New Roman" w:cs="Times New Roman"/>
          <w:color w:val="000000" w:themeColor="text1"/>
        </w:rPr>
        <w:t>obszar położony jest w regionie wodnym doliny Bugu, na jego części występują obszary szczególnego zagrożenia powodzią</w:t>
      </w:r>
      <w:r w:rsidRPr="00CD3B9D">
        <w:rPr>
          <w:rStyle w:val="Odwoanieprzypisudolnego"/>
          <w:color w:val="000000" w:themeColor="text1"/>
        </w:rPr>
        <w:footnoteReference w:id="4"/>
      </w:r>
      <w:r w:rsidRPr="00CD3B9D">
        <w:rPr>
          <w:rFonts w:ascii="Times New Roman" w:hAnsi="Times New Roman" w:cs="Times New Roman"/>
          <w:color w:val="000000" w:themeColor="text1"/>
        </w:rPr>
        <w:t xml:space="preserve">; </w:t>
      </w:r>
    </w:p>
    <w:p w14:paraId="5727F3CC" w14:textId="77777777" w:rsidR="00401E54" w:rsidRPr="00CD3B9D" w:rsidRDefault="00401E54" w:rsidP="00CD2D87">
      <w:pPr>
        <w:pStyle w:val="Akapitzlist"/>
        <w:numPr>
          <w:ilvl w:val="0"/>
          <w:numId w:val="46"/>
        </w:numPr>
        <w:spacing w:after="0" w:line="276" w:lineRule="auto"/>
        <w:ind w:left="709"/>
        <w:jc w:val="both"/>
        <w:rPr>
          <w:rFonts w:ascii="Times New Roman" w:hAnsi="Times New Roman" w:cs="Times New Roman"/>
          <w:color w:val="000000" w:themeColor="text1"/>
        </w:rPr>
      </w:pPr>
      <w:r w:rsidRPr="00CD3B9D">
        <w:rPr>
          <w:rFonts w:ascii="Times New Roman" w:hAnsi="Times New Roman" w:cs="Times New Roman"/>
          <w:color w:val="000000" w:themeColor="text1"/>
        </w:rPr>
        <w:t>zdecydowana większość obszaru LGD to ONW z ograniczeniami naturalnymi;</w:t>
      </w:r>
    </w:p>
    <w:p w14:paraId="32C0D08C" w14:textId="77777777" w:rsidR="00401E54" w:rsidRPr="00CD3B9D" w:rsidRDefault="00401E54" w:rsidP="00CD2D87">
      <w:pPr>
        <w:pStyle w:val="Akapitzlist"/>
        <w:numPr>
          <w:ilvl w:val="0"/>
          <w:numId w:val="46"/>
        </w:numPr>
        <w:spacing w:after="0" w:line="276" w:lineRule="auto"/>
        <w:ind w:left="709"/>
        <w:jc w:val="both"/>
        <w:rPr>
          <w:rFonts w:ascii="Times New Roman" w:hAnsi="Times New Roman" w:cs="Times New Roman"/>
          <w:color w:val="000000" w:themeColor="text1"/>
        </w:rPr>
      </w:pPr>
      <w:r w:rsidRPr="00CD3B9D">
        <w:rPr>
          <w:rFonts w:ascii="Times New Roman" w:hAnsi="Times New Roman" w:cs="Times New Roman"/>
          <w:color w:val="000000" w:themeColor="text1"/>
        </w:rPr>
        <w:t>na obszarze LGD występują głównie gleby brunatne, bielicowe, skrytobielicowe i aluwialne;</w:t>
      </w:r>
    </w:p>
    <w:p w14:paraId="2A0D52DE" w14:textId="77777777" w:rsidR="00401E54" w:rsidRPr="00CD3B9D" w:rsidRDefault="00401E54" w:rsidP="00CD2D87">
      <w:pPr>
        <w:pStyle w:val="Akapitzlist"/>
        <w:numPr>
          <w:ilvl w:val="0"/>
          <w:numId w:val="46"/>
        </w:numPr>
        <w:spacing w:after="0" w:line="276" w:lineRule="auto"/>
        <w:ind w:left="709"/>
        <w:jc w:val="both"/>
        <w:rPr>
          <w:rFonts w:ascii="Times New Roman" w:hAnsi="Times New Roman" w:cs="Times New Roman"/>
          <w:color w:val="000000" w:themeColor="text1"/>
        </w:rPr>
      </w:pPr>
      <w:r w:rsidRPr="00CD3B9D">
        <w:rPr>
          <w:rFonts w:ascii="Times New Roman" w:hAnsi="Times New Roman" w:cs="Times New Roman"/>
          <w:color w:val="000000" w:themeColor="text1"/>
        </w:rPr>
        <w:t>występowanie na wszystkich obszarach różnych form ochrony przyrody, które wpływają na atrakcyjność turystyczną regionu.</w:t>
      </w:r>
    </w:p>
    <w:p w14:paraId="5C30D77A" w14:textId="7D2D95B8" w:rsidR="00401E54" w:rsidRPr="00CD3B9D" w:rsidRDefault="000826AC" w:rsidP="00401E54">
      <w:pPr>
        <w:spacing w:after="0" w:line="276" w:lineRule="auto"/>
        <w:ind w:firstLine="709"/>
        <w:jc w:val="both"/>
        <w:rPr>
          <w:szCs w:val="20"/>
        </w:rPr>
      </w:pPr>
      <w:r w:rsidRPr="00CD3B9D">
        <w:rPr>
          <w:rFonts w:ascii="Times New Roman" w:hAnsi="Times New Roman" w:cs="Times New Roman"/>
          <w:color w:val="000000" w:themeColor="text1"/>
        </w:rPr>
        <w:t>O s</w:t>
      </w:r>
      <w:r w:rsidR="00401E54" w:rsidRPr="00CD3B9D">
        <w:rPr>
          <w:rFonts w:ascii="Times New Roman" w:hAnsi="Times New Roman" w:cs="Times New Roman"/>
          <w:color w:val="000000" w:themeColor="text1"/>
        </w:rPr>
        <w:t>pójnoś</w:t>
      </w:r>
      <w:r w:rsidRPr="00CD3B9D">
        <w:rPr>
          <w:rFonts w:ascii="Times New Roman" w:hAnsi="Times New Roman" w:cs="Times New Roman"/>
          <w:color w:val="000000" w:themeColor="text1"/>
        </w:rPr>
        <w:t>ci</w:t>
      </w:r>
      <w:r w:rsidR="00401E54" w:rsidRPr="00CD3B9D">
        <w:rPr>
          <w:rFonts w:ascii="Times New Roman" w:hAnsi="Times New Roman" w:cs="Times New Roman"/>
          <w:color w:val="000000" w:themeColor="text1"/>
        </w:rPr>
        <w:t xml:space="preserve"> obszaru LGD pod względem ekonomicznym </w:t>
      </w:r>
      <w:r w:rsidRPr="00CD3B9D">
        <w:rPr>
          <w:rFonts w:ascii="Times New Roman" w:hAnsi="Times New Roman" w:cs="Times New Roman"/>
          <w:color w:val="000000" w:themeColor="text1"/>
        </w:rPr>
        <w:t>świadczy</w:t>
      </w:r>
      <w:r w:rsidR="00401E54" w:rsidRPr="00CD3B9D">
        <w:rPr>
          <w:rFonts w:ascii="Times New Roman" w:hAnsi="Times New Roman" w:cs="Times New Roman"/>
          <w:color w:val="000000" w:themeColor="text1"/>
        </w:rPr>
        <w:t xml:space="preserve"> ilość gospodarstw rolnych o podobnej strukturze. Obszar gmin LGD jest nastawiony na rozwój rolnictwa, dlatego też powierzchnia gospodarstw rolnych </w:t>
      </w:r>
      <w:r w:rsidR="00401E54" w:rsidRPr="00CD3B9D">
        <w:rPr>
          <w:rFonts w:ascii="Times New Roman" w:hAnsi="Times New Roman" w:cs="Times New Roman"/>
          <w:color w:val="000000" w:themeColor="text1"/>
        </w:rPr>
        <w:br/>
        <w:t xml:space="preserve">w powierzchni ogółem jest znacznie wyższa niż średnia dla kraju oraz nieznacznie niższa niż średnia dla województwa. </w:t>
      </w:r>
    </w:p>
    <w:p w14:paraId="58C75270" w14:textId="77777777" w:rsidR="00401E54" w:rsidRPr="00CD3B9D" w:rsidRDefault="00401E54" w:rsidP="00401E54">
      <w:pPr>
        <w:spacing w:after="0" w:line="276" w:lineRule="auto"/>
        <w:ind w:firstLine="708"/>
        <w:jc w:val="both"/>
        <w:rPr>
          <w:rFonts w:ascii="Times New Roman" w:hAnsi="Times New Roman" w:cs="Times New Roman"/>
          <w:color w:val="000000" w:themeColor="text1"/>
        </w:rPr>
      </w:pPr>
      <w:r w:rsidRPr="00CD3B9D">
        <w:rPr>
          <w:rFonts w:ascii="Times New Roman" w:hAnsi="Times New Roman" w:cs="Times New Roman"/>
          <w:color w:val="000000" w:themeColor="text1"/>
        </w:rPr>
        <w:t xml:space="preserve">Wszystkie gminy obszaru charakteryzują się wysokim udziałem podmiotów gospodarczych zarejestrowanych w grupie „przemysł i budownictwo”. Najwyższe wartości osiągają gminy Konstantynów oraz Rossosz. Jednocześnie wszystkie z gmin obszaru LGD posiadają znaczny udział podmiotów zakwalifikowanych do grupy „pozostała działalność”, natomiast w większości gmin, a także w przypadku średniej dla LGD jest on niższy niż wynik województwa i kraju. Wyższy niż średnia dla województwa i kraju udział podmiotów zakwalifikowanych do tej grupy osiąga Miasto Terespol oraz gminy Kodeń, Leśna Podlaska, Terespol. </w:t>
      </w:r>
    </w:p>
    <w:p w14:paraId="71B27AD6" w14:textId="58D5BF82" w:rsidR="00401E54" w:rsidRPr="00CD3B9D" w:rsidRDefault="00401E54" w:rsidP="00401E54">
      <w:pPr>
        <w:spacing w:after="0" w:line="276" w:lineRule="auto"/>
        <w:ind w:firstLine="708"/>
        <w:jc w:val="both"/>
        <w:rPr>
          <w:rFonts w:ascii="Times New Roman" w:hAnsi="Times New Roman" w:cs="Times New Roman"/>
          <w:color w:val="000000" w:themeColor="text1"/>
        </w:rPr>
      </w:pPr>
      <w:r w:rsidRPr="00CD3B9D">
        <w:rPr>
          <w:rFonts w:ascii="Times New Roman" w:hAnsi="Times New Roman" w:cs="Times New Roman"/>
          <w:color w:val="000000" w:themeColor="text1"/>
        </w:rPr>
        <w:t>Udział podmiotów w grupie „rolnictwo, leśnictwo, łowiectwo i rybactwo” jest na obszarze LGD znacznie wyższy niż w przypadku województwa i kraju – w 2021 r. osiągnął wartość 4,6%, przy średniej dla województwa 1,8% i kraju 1,5</w:t>
      </w:r>
      <w:r w:rsidR="000826AC" w:rsidRPr="00CD3B9D">
        <w:rPr>
          <w:rFonts w:ascii="Times New Roman" w:hAnsi="Times New Roman" w:cs="Times New Roman"/>
          <w:color w:val="000000" w:themeColor="text1"/>
        </w:rPr>
        <w:t>%</w:t>
      </w:r>
      <w:r w:rsidRPr="00CD3B9D">
        <w:rPr>
          <w:rFonts w:ascii="Times New Roman" w:hAnsi="Times New Roman" w:cs="Times New Roman"/>
          <w:color w:val="000000" w:themeColor="text1"/>
        </w:rPr>
        <w:t xml:space="preserve">. Wysokie wartości (wyższe od średniej wojewódzkiej i krajowej) występują we wszystkich gminach, z wyjątkiem Miasta Terespol i Gminy Leśna Podlaska, natomiast zdecydowanie najwyższy udział podmiotów gospodarczych zarejestrowanych w tej grupie występuje w gminach Międzyrzec Podlaski oraz Sosnówka – odpowiednio 10,2% i 10,1%. Najwięcej podmiotów gospodarczych według sekcji PKD na całym obszarze LGD </w:t>
      </w:r>
      <w:r w:rsidRPr="00CD3B9D">
        <w:rPr>
          <w:rFonts w:ascii="Times New Roman" w:hAnsi="Times New Roman" w:cs="Times New Roman"/>
          <w:color w:val="000000" w:themeColor="text1"/>
        </w:rPr>
        <w:br/>
      </w:r>
      <w:r w:rsidRPr="00CD3B9D">
        <w:rPr>
          <w:rFonts w:ascii="Times New Roman" w:hAnsi="Times New Roman" w:cs="Times New Roman"/>
        </w:rPr>
        <w:t xml:space="preserve">w 2021 r. było zarejestrowanych w sekcjach: G „Handel hurtowy i detaliczny; naprawa pojazdów samochodowych, włączając motocykle” (21,0%), F „Budownictwo” (17,1%) oraz H „Transport i gospodarka magazynowa” (10,2%). Udział działalności związanej z zakwaterowaniem i usługami gastronomicznymi to 2,2% – mniej niż średnio </w:t>
      </w:r>
      <w:r w:rsidRPr="00CD3B9D">
        <w:rPr>
          <w:rFonts w:ascii="Times New Roman" w:hAnsi="Times New Roman" w:cs="Times New Roman"/>
        </w:rPr>
        <w:br/>
        <w:t xml:space="preserve">w województwie (2,7%) i kraju (3,3%), przy czym w gminach Kodeń, Leśna Podlaska, Sławatycze oraz w Mieście Terespol wartość wskaźnika była wyższa od tych średnich. </w:t>
      </w:r>
    </w:p>
    <w:p w14:paraId="316EDF6A" w14:textId="77777777" w:rsidR="00FB2F5C" w:rsidRPr="00CD3B9D" w:rsidRDefault="00401E54" w:rsidP="00401E54">
      <w:pPr>
        <w:spacing w:after="0" w:line="276" w:lineRule="auto"/>
        <w:ind w:firstLine="708"/>
        <w:jc w:val="both"/>
        <w:rPr>
          <w:rFonts w:ascii="Times New Roman" w:hAnsi="Times New Roman" w:cs="Times New Roman"/>
        </w:rPr>
      </w:pPr>
      <w:r w:rsidRPr="00CD3B9D">
        <w:rPr>
          <w:rFonts w:ascii="Times New Roman" w:hAnsi="Times New Roman" w:cs="Times New Roman"/>
        </w:rPr>
        <w:t xml:space="preserve">Obszar LGD cechuje wynikająca z uwarunkowań historycznych wielokulturowość i wielowyznaniowość. Ziemie te były przez długie lata terenami pograniczami, co powodowało, że ścierały się na nich wpływy Polski, Rusi oraz Litwy, ale swoją obecność zaznaczyli również Jadźwingowie, Krzyżacy i Tatarzy. Ze względu na krzyżowanie się kultur oraz religii, teren obszaru pokryty jest obiektami dziedzictwa kulturowego, które jest unikatowe w skali kraju, ponieważ wpływ na obecny kulturowy krajobraz miały żyjące obok siebie ludy chrześcijańskie obrządku rzymskokatolickiego, grekokatolickiego i prawosławnego, ale na terenach gmin obszaru LGD mieszkali również Żydzi i muzułmanie, a także Tatarzy, Niemcy, Rusini, Polacy, co znajduje odzwierciedlenie w różnorodności zabytkowej architektury o charakterze świeckim i sakralnym. </w:t>
      </w:r>
    </w:p>
    <w:p w14:paraId="04E97770" w14:textId="749F645E" w:rsidR="00B84E0F" w:rsidRPr="00CD3B9D" w:rsidRDefault="00B84E0F" w:rsidP="00401E54">
      <w:pPr>
        <w:spacing w:after="0" w:line="276" w:lineRule="auto"/>
        <w:ind w:firstLine="708"/>
        <w:jc w:val="both"/>
        <w:rPr>
          <w:rFonts w:ascii="Times New Roman" w:hAnsi="Times New Roman" w:cs="Times New Roman"/>
        </w:rPr>
      </w:pPr>
      <w:r w:rsidRPr="00CD3B9D">
        <w:rPr>
          <w:rFonts w:ascii="Times New Roman" w:hAnsi="Times New Roman" w:cs="Times New Roman"/>
        </w:rPr>
        <w:br w:type="page"/>
      </w:r>
    </w:p>
    <w:p w14:paraId="0C7CD593" w14:textId="77777777" w:rsidR="00A17173" w:rsidRPr="00CD3B9D" w:rsidRDefault="00A17173" w:rsidP="00A17173">
      <w:pPr>
        <w:pStyle w:val="Gwne"/>
        <w:ind w:left="1077" w:hanging="510"/>
        <w:rPr>
          <w:sz w:val="22"/>
          <w:szCs w:val="22"/>
        </w:rPr>
      </w:pPr>
      <w:bookmarkStart w:id="17" w:name="_Toc115298343"/>
      <w:bookmarkStart w:id="18" w:name="_Toc135896894"/>
      <w:r w:rsidRPr="00CD3B9D">
        <w:rPr>
          <w:sz w:val="22"/>
          <w:szCs w:val="22"/>
        </w:rPr>
        <w:lastRenderedPageBreak/>
        <w:t>P</w:t>
      </w:r>
      <w:bookmarkEnd w:id="17"/>
      <w:r w:rsidRPr="00CD3B9D">
        <w:rPr>
          <w:sz w:val="22"/>
          <w:szCs w:val="22"/>
        </w:rPr>
        <w:t>ARTYCYPACYJNY CHARAKTER LSR</w:t>
      </w:r>
      <w:bookmarkEnd w:id="18"/>
    </w:p>
    <w:p w14:paraId="2C1A1789" w14:textId="77777777" w:rsidR="00A17173" w:rsidRDefault="00A17173" w:rsidP="0094673B">
      <w:pPr>
        <w:pStyle w:val="Gwne"/>
        <w:numPr>
          <w:ilvl w:val="0"/>
          <w:numId w:val="0"/>
        </w:numPr>
        <w:spacing w:after="80" w:line="276" w:lineRule="auto"/>
        <w:ind w:firstLine="709"/>
        <w:outlineLvl w:val="9"/>
        <w:rPr>
          <w:b w:val="0"/>
          <w:bCs w:val="0"/>
          <w:sz w:val="22"/>
          <w:szCs w:val="22"/>
        </w:rPr>
      </w:pPr>
      <w:r w:rsidRPr="00CD3B9D">
        <w:rPr>
          <w:b w:val="0"/>
          <w:bCs w:val="0"/>
          <w:sz w:val="22"/>
          <w:szCs w:val="22"/>
        </w:rPr>
        <w:t>Oddolność to jedna z siedmiu podstawowych cech metody LEADER. Oddolność tworzenia niniejszej LSR została zapewniona poprzez angażowanie partnerów lokalnych oraz rzeczywisty, partycypacyjny udział mieszkańców w procesie jej powstawania. Aktywność podmiotów</w:t>
      </w:r>
      <w:r w:rsidRPr="00F916D5">
        <w:rPr>
          <w:b w:val="0"/>
          <w:bCs w:val="0"/>
          <w:sz w:val="22"/>
          <w:szCs w:val="22"/>
        </w:rPr>
        <w:t xml:space="preserve"> zaangażowanych w przygotowanie LSR będzie kontynuowana również w trakcie jej wdrażania. </w:t>
      </w:r>
    </w:p>
    <w:p w14:paraId="21F09252" w14:textId="77777777" w:rsidR="00745EAA" w:rsidRPr="00A616D5" w:rsidRDefault="00745EAA" w:rsidP="00745EAA">
      <w:pPr>
        <w:spacing w:after="120" w:line="276" w:lineRule="auto"/>
        <w:ind w:firstLine="708"/>
        <w:jc w:val="both"/>
        <w:rPr>
          <w:rFonts w:ascii="Times New Roman" w:hAnsi="Times New Roman" w:cs="Times New Roman"/>
          <w:color w:val="000000" w:themeColor="text1"/>
        </w:rPr>
      </w:pPr>
      <w:r w:rsidRPr="00A616D5">
        <w:rPr>
          <w:rFonts w:ascii="Times New Roman" w:hAnsi="Times New Roman" w:cs="Times New Roman"/>
          <w:color w:val="000000" w:themeColor="text1"/>
        </w:rPr>
        <w:t xml:space="preserve">Zarówno na etapie tworzenia jak i realizacji LSR uwzględniano/będzie się uwzględniać zasady horyzontalne określone w </w:t>
      </w:r>
      <w:r>
        <w:rPr>
          <w:rFonts w:ascii="Times New Roman" w:hAnsi="Times New Roman" w:cs="Times New Roman"/>
          <w:color w:val="000000" w:themeColor="text1"/>
        </w:rPr>
        <w:t>art</w:t>
      </w:r>
      <w:r w:rsidRPr="00A616D5">
        <w:rPr>
          <w:rFonts w:ascii="Times New Roman" w:hAnsi="Times New Roman" w:cs="Times New Roman"/>
          <w:color w:val="000000" w:themeColor="text1"/>
        </w:rPr>
        <w:t>. 9 rozporządzenia 2021/1060, w tym:</w:t>
      </w:r>
    </w:p>
    <w:p w14:paraId="252A21A4" w14:textId="77777777" w:rsidR="00745EAA" w:rsidRPr="00C23DFC" w:rsidRDefault="00745EAA" w:rsidP="00745EAA">
      <w:pPr>
        <w:pStyle w:val="Akapitzlist"/>
        <w:numPr>
          <w:ilvl w:val="2"/>
          <w:numId w:val="20"/>
        </w:numPr>
        <w:spacing w:after="120" w:line="276" w:lineRule="auto"/>
        <w:ind w:left="851"/>
        <w:jc w:val="both"/>
        <w:rPr>
          <w:rFonts w:ascii="Times New Roman" w:hAnsi="Times New Roman" w:cs="Times New Roman"/>
          <w:color w:val="000000" w:themeColor="text1"/>
        </w:rPr>
      </w:pPr>
      <w:r>
        <w:rPr>
          <w:rFonts w:ascii="Times New Roman" w:hAnsi="Times New Roman" w:cs="Times New Roman"/>
          <w:color w:val="000000" w:themeColor="text1"/>
        </w:rPr>
        <w:t>p</w:t>
      </w:r>
      <w:r w:rsidRPr="00C23DFC">
        <w:rPr>
          <w:rFonts w:ascii="Times New Roman" w:hAnsi="Times New Roman" w:cs="Times New Roman"/>
          <w:color w:val="000000" w:themeColor="text1"/>
        </w:rPr>
        <w:t>oszanowanie i przestrzeganie praw podstawowych zapisanych w Karcie praw podstawowych Unii Europejskiej</w:t>
      </w:r>
      <w:r>
        <w:rPr>
          <w:rFonts w:ascii="Times New Roman" w:hAnsi="Times New Roman" w:cs="Times New Roman"/>
          <w:color w:val="000000" w:themeColor="text1"/>
        </w:rPr>
        <w:t>;</w:t>
      </w:r>
    </w:p>
    <w:p w14:paraId="5C595FDA" w14:textId="77777777" w:rsidR="00745EAA" w:rsidRPr="00A616D5" w:rsidRDefault="00745EAA" w:rsidP="00745EAA">
      <w:pPr>
        <w:pStyle w:val="Akapitzlist"/>
        <w:numPr>
          <w:ilvl w:val="2"/>
          <w:numId w:val="20"/>
        </w:numPr>
        <w:spacing w:after="120" w:line="276" w:lineRule="auto"/>
        <w:ind w:left="851"/>
        <w:jc w:val="both"/>
        <w:rPr>
          <w:rFonts w:ascii="Times New Roman" w:hAnsi="Times New Roman" w:cs="Times New Roman"/>
          <w:color w:val="000000" w:themeColor="text1"/>
        </w:rPr>
      </w:pPr>
      <w:r w:rsidRPr="00A616D5">
        <w:rPr>
          <w:rFonts w:ascii="Times New Roman" w:hAnsi="Times New Roman" w:cs="Times New Roman"/>
          <w:color w:val="000000" w:themeColor="text1"/>
        </w:rPr>
        <w:t>zasady równości kobiet i mężczyzn;</w:t>
      </w:r>
    </w:p>
    <w:p w14:paraId="6BBF0EC7" w14:textId="77777777" w:rsidR="00745EAA" w:rsidRPr="00A616D5" w:rsidRDefault="00745EAA" w:rsidP="00745EAA">
      <w:pPr>
        <w:pStyle w:val="Akapitzlist"/>
        <w:numPr>
          <w:ilvl w:val="2"/>
          <w:numId w:val="20"/>
        </w:numPr>
        <w:spacing w:after="120" w:line="276" w:lineRule="auto"/>
        <w:ind w:left="851"/>
        <w:jc w:val="both"/>
        <w:rPr>
          <w:rFonts w:ascii="Times New Roman" w:hAnsi="Times New Roman" w:cs="Times New Roman"/>
          <w:color w:val="000000" w:themeColor="text1"/>
        </w:rPr>
      </w:pPr>
      <w:r w:rsidRPr="00A616D5">
        <w:rPr>
          <w:rFonts w:ascii="Times New Roman" w:hAnsi="Times New Roman" w:cs="Times New Roman"/>
          <w:color w:val="000000" w:themeColor="text1"/>
        </w:rPr>
        <w:t>zasady równości szans i niedyskryminacji ze względu na płeć, rasę lub pochodzenie etniczne, religię lub światopogląd, niepełnosprawność, wiek lub orientację seksualną, w tym zasadę dostępności dla osób z niepełnosprawnościami;</w:t>
      </w:r>
    </w:p>
    <w:p w14:paraId="28B8A857" w14:textId="2D8A4252" w:rsidR="00745EAA" w:rsidRDefault="00745EAA" w:rsidP="00745EAA">
      <w:pPr>
        <w:pStyle w:val="Akapitzlist"/>
        <w:numPr>
          <w:ilvl w:val="2"/>
          <w:numId w:val="20"/>
        </w:numPr>
        <w:spacing w:after="120" w:line="276" w:lineRule="auto"/>
        <w:ind w:left="851"/>
        <w:jc w:val="both"/>
        <w:rPr>
          <w:rFonts w:ascii="Times New Roman" w:hAnsi="Times New Roman" w:cs="Times New Roman"/>
          <w:color w:val="000000" w:themeColor="text1"/>
        </w:rPr>
      </w:pPr>
      <w:r w:rsidRPr="00A616D5">
        <w:rPr>
          <w:rFonts w:ascii="Times New Roman" w:hAnsi="Times New Roman" w:cs="Times New Roman"/>
          <w:color w:val="000000" w:themeColor="text1"/>
        </w:rPr>
        <w:t xml:space="preserve">zgodności działań z celem wspierania zrównoważonego rozwoju określonego w </w:t>
      </w:r>
      <w:r>
        <w:rPr>
          <w:rFonts w:ascii="Times New Roman" w:hAnsi="Times New Roman" w:cs="Times New Roman"/>
          <w:color w:val="000000" w:themeColor="text1"/>
        </w:rPr>
        <w:t>art</w:t>
      </w:r>
      <w:r w:rsidRPr="00A616D5">
        <w:rPr>
          <w:rFonts w:ascii="Times New Roman" w:hAnsi="Times New Roman" w:cs="Times New Roman"/>
          <w:color w:val="000000" w:themeColor="text1"/>
        </w:rPr>
        <w:t>. 11 TFUE oraz z uwzględnieniem celów ONZ dotyczących zrównoważonego rozwoju, a także porozumienia paryskiego i zasady „nie czyń poważnych szkód”.</w:t>
      </w:r>
    </w:p>
    <w:p w14:paraId="52223A75" w14:textId="77777777" w:rsidR="00D20329" w:rsidRPr="00745EAA" w:rsidRDefault="00D20329" w:rsidP="008546D9">
      <w:pPr>
        <w:pStyle w:val="Akapitzlist"/>
        <w:spacing w:after="120" w:line="276" w:lineRule="auto"/>
        <w:ind w:left="851"/>
        <w:jc w:val="both"/>
        <w:rPr>
          <w:rFonts w:ascii="Times New Roman" w:hAnsi="Times New Roman" w:cs="Times New Roman"/>
          <w:color w:val="000000" w:themeColor="text1"/>
        </w:rPr>
      </w:pPr>
    </w:p>
    <w:p w14:paraId="00059FEA" w14:textId="77777777" w:rsidR="00A17173" w:rsidRPr="005439E9" w:rsidRDefault="00A17173" w:rsidP="001972CD">
      <w:pPr>
        <w:pStyle w:val="Akapitzlist"/>
        <w:numPr>
          <w:ilvl w:val="0"/>
          <w:numId w:val="18"/>
        </w:numPr>
        <w:spacing w:after="80" w:line="276" w:lineRule="auto"/>
        <w:jc w:val="both"/>
        <w:outlineLvl w:val="1"/>
        <w:rPr>
          <w:rFonts w:ascii="Times New Roman" w:hAnsi="Times New Roman" w:cs="Times New Roman"/>
          <w:b/>
          <w:bCs/>
        </w:rPr>
      </w:pPr>
      <w:bookmarkStart w:id="19" w:name="_Toc124403888"/>
      <w:bookmarkStart w:id="20" w:name="_Toc135896895"/>
      <w:r w:rsidRPr="005439E9">
        <w:rPr>
          <w:rFonts w:ascii="Times New Roman" w:hAnsi="Times New Roman" w:cs="Times New Roman"/>
          <w:b/>
          <w:bCs/>
        </w:rPr>
        <w:t>Etap opracowania LSR</w:t>
      </w:r>
      <w:bookmarkEnd w:id="19"/>
      <w:bookmarkEnd w:id="20"/>
    </w:p>
    <w:p w14:paraId="72D48FDF" w14:textId="5FC8D844" w:rsidR="00A17173" w:rsidRDefault="00A17173" w:rsidP="00247CB2">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Strategia Rozwoju Lokalnego Kierowanego przez Społeczność opracowywana była ze szczególnym udziałem lokalnej społeczności. W celu zapewnienia oddolnego charakteru wprowadzono szeroką partycypację przedstawicieli sektorów: p</w:t>
      </w:r>
      <w:r w:rsidRPr="00670C10">
        <w:rPr>
          <w:rFonts w:ascii="Times New Roman" w:hAnsi="Times New Roman" w:cs="Times New Roman"/>
          <w:color w:val="000000" w:themeColor="text1"/>
        </w:rPr>
        <w:t>ublicznego, społecznego, gospodarczego oraz mieszkańców z każdej</w:t>
      </w:r>
      <w:r>
        <w:rPr>
          <w:rFonts w:ascii="Times New Roman" w:hAnsi="Times New Roman" w:cs="Times New Roman"/>
          <w:color w:val="000000" w:themeColor="text1"/>
        </w:rPr>
        <w:t xml:space="preserve"> </w:t>
      </w:r>
      <w:r w:rsidRPr="00670C10">
        <w:rPr>
          <w:rFonts w:ascii="Times New Roman" w:hAnsi="Times New Roman" w:cs="Times New Roman"/>
          <w:color w:val="000000" w:themeColor="text1"/>
        </w:rPr>
        <w:t>z gmin wchodzących w skład LGD. Podczas prac nad dokumentem na każdym etapie zapewniono</w:t>
      </w:r>
      <w:r>
        <w:rPr>
          <w:rFonts w:ascii="Times New Roman" w:hAnsi="Times New Roman" w:cs="Times New Roman"/>
          <w:color w:val="000000" w:themeColor="text1"/>
        </w:rPr>
        <w:t xml:space="preserve"> </w:t>
      </w:r>
      <w:r w:rsidRPr="00670C10">
        <w:rPr>
          <w:rFonts w:ascii="Times New Roman" w:hAnsi="Times New Roman" w:cs="Times New Roman"/>
          <w:color w:val="000000" w:themeColor="text1"/>
        </w:rPr>
        <w:t>maksymalny udział społeczności lokalnej poprzez wykorzystanie różnorodnych środków</w:t>
      </w:r>
      <w:r>
        <w:rPr>
          <w:rFonts w:ascii="Times New Roman" w:hAnsi="Times New Roman" w:cs="Times New Roman"/>
          <w:color w:val="000000" w:themeColor="text1"/>
        </w:rPr>
        <w:t xml:space="preserve"> </w:t>
      </w:r>
      <w:r w:rsidRPr="00670C10">
        <w:rPr>
          <w:rFonts w:ascii="Times New Roman" w:hAnsi="Times New Roman" w:cs="Times New Roman"/>
          <w:color w:val="000000" w:themeColor="text1"/>
        </w:rPr>
        <w:t xml:space="preserve">partycypacji. Do opracowywania poszczególnych elementów Strategii powołano Zespół ds. </w:t>
      </w:r>
      <w:r w:rsidR="00D20329">
        <w:rPr>
          <w:rFonts w:ascii="Times New Roman" w:hAnsi="Times New Roman" w:cs="Times New Roman"/>
          <w:color w:val="000000" w:themeColor="text1"/>
        </w:rPr>
        <w:t xml:space="preserve">opracowania </w:t>
      </w:r>
      <w:r w:rsidRPr="00670C10">
        <w:rPr>
          <w:rFonts w:ascii="Times New Roman" w:hAnsi="Times New Roman" w:cs="Times New Roman"/>
          <w:color w:val="000000" w:themeColor="text1"/>
        </w:rPr>
        <w:t>LSR,</w:t>
      </w:r>
      <w:r>
        <w:rPr>
          <w:rFonts w:ascii="Times New Roman" w:hAnsi="Times New Roman" w:cs="Times New Roman"/>
          <w:color w:val="000000" w:themeColor="text1"/>
        </w:rPr>
        <w:t xml:space="preserve"> </w:t>
      </w:r>
      <w:r w:rsidRPr="00670C10">
        <w:rPr>
          <w:rFonts w:ascii="Times New Roman" w:hAnsi="Times New Roman" w:cs="Times New Roman"/>
          <w:color w:val="000000" w:themeColor="text1"/>
        </w:rPr>
        <w:t>który czuwał nad uporządkowaniem wszystkich zebranych materiałów</w:t>
      </w:r>
      <w:r>
        <w:rPr>
          <w:rFonts w:ascii="Times New Roman" w:hAnsi="Times New Roman" w:cs="Times New Roman"/>
          <w:color w:val="000000" w:themeColor="text1"/>
        </w:rPr>
        <w:t xml:space="preserve">. W skład zespołu weszli przedstawiciele 3 sektorów: publicznego, gospodarczego </w:t>
      </w:r>
      <w:r w:rsidR="00D30F94">
        <w:rPr>
          <w:rFonts w:ascii="Times New Roman" w:hAnsi="Times New Roman" w:cs="Times New Roman"/>
          <w:color w:val="000000" w:themeColor="text1"/>
        </w:rPr>
        <w:t>o</w:t>
      </w:r>
      <w:r>
        <w:rPr>
          <w:rFonts w:ascii="Times New Roman" w:hAnsi="Times New Roman" w:cs="Times New Roman"/>
          <w:color w:val="000000" w:themeColor="text1"/>
        </w:rPr>
        <w:t>raz społecznego</w:t>
      </w:r>
      <w:r w:rsidRPr="00670C10">
        <w:rPr>
          <w:rFonts w:ascii="Times New Roman" w:hAnsi="Times New Roman" w:cs="Times New Roman"/>
          <w:color w:val="000000" w:themeColor="text1"/>
        </w:rPr>
        <w:t>. Prace nad tworzeniem</w:t>
      </w:r>
      <w:r>
        <w:rPr>
          <w:rFonts w:ascii="Times New Roman" w:hAnsi="Times New Roman" w:cs="Times New Roman"/>
          <w:color w:val="000000" w:themeColor="text1"/>
        </w:rPr>
        <w:t xml:space="preserve"> </w:t>
      </w:r>
      <w:r w:rsidRPr="00670C10">
        <w:rPr>
          <w:rFonts w:ascii="Times New Roman" w:hAnsi="Times New Roman" w:cs="Times New Roman"/>
          <w:color w:val="000000" w:themeColor="text1"/>
        </w:rPr>
        <w:t xml:space="preserve">LSR składały się z </w:t>
      </w:r>
      <w:r w:rsidR="00990735">
        <w:rPr>
          <w:rFonts w:ascii="Times New Roman" w:hAnsi="Times New Roman" w:cs="Times New Roman"/>
          <w:color w:val="000000" w:themeColor="text1"/>
        </w:rPr>
        <w:t xml:space="preserve">kilku </w:t>
      </w:r>
      <w:r w:rsidRPr="00670C10">
        <w:rPr>
          <w:rFonts w:ascii="Times New Roman" w:hAnsi="Times New Roman" w:cs="Times New Roman"/>
          <w:color w:val="000000" w:themeColor="text1"/>
        </w:rPr>
        <w:t>etapów</w:t>
      </w:r>
      <w:r w:rsidR="00D20329">
        <w:rPr>
          <w:rFonts w:ascii="Times New Roman" w:hAnsi="Times New Roman" w:cs="Times New Roman"/>
          <w:color w:val="000000" w:themeColor="text1"/>
        </w:rPr>
        <w:t>,</w:t>
      </w:r>
      <w:r w:rsidRPr="00670C10">
        <w:rPr>
          <w:rFonts w:ascii="Times New Roman" w:hAnsi="Times New Roman" w:cs="Times New Roman"/>
          <w:color w:val="000000" w:themeColor="text1"/>
        </w:rPr>
        <w:t xml:space="preserve"> na których zastosowano </w:t>
      </w:r>
      <w:r>
        <w:rPr>
          <w:rFonts w:ascii="Times New Roman" w:hAnsi="Times New Roman" w:cs="Times New Roman"/>
          <w:color w:val="000000" w:themeColor="text1"/>
        </w:rPr>
        <w:t>różne</w:t>
      </w:r>
      <w:r w:rsidRPr="00670C10">
        <w:rPr>
          <w:rFonts w:ascii="Times New Roman" w:hAnsi="Times New Roman" w:cs="Times New Roman"/>
          <w:color w:val="000000" w:themeColor="text1"/>
        </w:rPr>
        <w:t xml:space="preserve"> metod</w:t>
      </w:r>
      <w:r>
        <w:rPr>
          <w:rFonts w:ascii="Times New Roman" w:hAnsi="Times New Roman" w:cs="Times New Roman"/>
          <w:color w:val="000000" w:themeColor="text1"/>
        </w:rPr>
        <w:t>y</w:t>
      </w:r>
      <w:r w:rsidRPr="00670C10">
        <w:rPr>
          <w:rFonts w:ascii="Times New Roman" w:hAnsi="Times New Roman" w:cs="Times New Roman"/>
          <w:color w:val="000000" w:themeColor="text1"/>
        </w:rPr>
        <w:t xml:space="preserve"> partycypacji</w:t>
      </w:r>
      <w:r>
        <w:rPr>
          <w:rFonts w:ascii="Times New Roman" w:hAnsi="Times New Roman" w:cs="Times New Roman"/>
          <w:color w:val="000000" w:themeColor="text1"/>
        </w:rPr>
        <w:t>:</w:t>
      </w:r>
    </w:p>
    <w:p w14:paraId="5FA0633C" w14:textId="77777777" w:rsidR="00A17173" w:rsidRPr="00EA19D6" w:rsidRDefault="00A17173" w:rsidP="00247CB2">
      <w:pPr>
        <w:pStyle w:val="Akapitzlist"/>
        <w:numPr>
          <w:ilvl w:val="0"/>
          <w:numId w:val="19"/>
        </w:numPr>
        <w:spacing w:after="0" w:line="276" w:lineRule="auto"/>
        <w:ind w:left="851"/>
        <w:jc w:val="both"/>
        <w:rPr>
          <w:rFonts w:ascii="Times New Roman" w:hAnsi="Times New Roman" w:cs="Times New Roman"/>
        </w:rPr>
      </w:pPr>
      <w:r>
        <w:rPr>
          <w:rFonts w:ascii="Times New Roman" w:hAnsi="Times New Roman" w:cs="Times New Roman"/>
        </w:rPr>
        <w:t xml:space="preserve">spotkania otwarte w każdej z gmin obszaru </w:t>
      </w:r>
      <w:r w:rsidRPr="00EA19D6">
        <w:rPr>
          <w:rFonts w:ascii="Times New Roman" w:hAnsi="Times New Roman" w:cs="Times New Roman"/>
        </w:rPr>
        <w:t>LGD (etap diagnostyczny);</w:t>
      </w:r>
    </w:p>
    <w:p w14:paraId="270BDAED" w14:textId="77777777" w:rsidR="00A17173" w:rsidRDefault="00A17173" w:rsidP="00247CB2">
      <w:pPr>
        <w:pStyle w:val="Akapitzlist"/>
        <w:numPr>
          <w:ilvl w:val="0"/>
          <w:numId w:val="19"/>
        </w:numPr>
        <w:spacing w:after="0" w:line="276" w:lineRule="auto"/>
        <w:ind w:left="851"/>
        <w:jc w:val="both"/>
        <w:rPr>
          <w:rFonts w:ascii="Times New Roman" w:hAnsi="Times New Roman" w:cs="Times New Roman"/>
        </w:rPr>
      </w:pPr>
      <w:r>
        <w:rPr>
          <w:rFonts w:ascii="Times New Roman" w:hAnsi="Times New Roman" w:cs="Times New Roman"/>
        </w:rPr>
        <w:t>badania ankietowe (etap diagnostyczny i etap planistyczny);</w:t>
      </w:r>
    </w:p>
    <w:p w14:paraId="0CDA7FAE" w14:textId="77777777" w:rsidR="00A17173" w:rsidRDefault="00A17173" w:rsidP="00247CB2">
      <w:pPr>
        <w:pStyle w:val="Akapitzlist"/>
        <w:numPr>
          <w:ilvl w:val="0"/>
          <w:numId w:val="19"/>
        </w:numPr>
        <w:spacing w:after="0" w:line="276" w:lineRule="auto"/>
        <w:ind w:left="851"/>
        <w:jc w:val="both"/>
        <w:rPr>
          <w:rFonts w:ascii="Times New Roman" w:hAnsi="Times New Roman" w:cs="Times New Roman"/>
        </w:rPr>
      </w:pPr>
      <w:r>
        <w:rPr>
          <w:rFonts w:ascii="Times New Roman" w:hAnsi="Times New Roman" w:cs="Times New Roman"/>
        </w:rPr>
        <w:t>fiszka projektowa – możliwość zgłoszenia propozycji projektu (etap planistyczny);</w:t>
      </w:r>
    </w:p>
    <w:p w14:paraId="3560F7ED" w14:textId="14C9451E" w:rsidR="00A17173" w:rsidRDefault="00A17173" w:rsidP="00247CB2">
      <w:pPr>
        <w:pStyle w:val="Akapitzlist"/>
        <w:numPr>
          <w:ilvl w:val="0"/>
          <w:numId w:val="19"/>
        </w:numPr>
        <w:spacing w:after="0" w:line="276" w:lineRule="auto"/>
        <w:ind w:left="851"/>
        <w:jc w:val="both"/>
        <w:rPr>
          <w:rFonts w:ascii="Times New Roman" w:hAnsi="Times New Roman" w:cs="Times New Roman"/>
        </w:rPr>
      </w:pPr>
      <w:r>
        <w:rPr>
          <w:rFonts w:ascii="Times New Roman" w:hAnsi="Times New Roman" w:cs="Times New Roman"/>
        </w:rPr>
        <w:t xml:space="preserve">wywiad z Zespołem ds. </w:t>
      </w:r>
      <w:r w:rsidR="00D20329">
        <w:rPr>
          <w:rFonts w:ascii="Times New Roman" w:hAnsi="Times New Roman" w:cs="Times New Roman"/>
        </w:rPr>
        <w:t xml:space="preserve">opracowania </w:t>
      </w:r>
      <w:r>
        <w:rPr>
          <w:rFonts w:ascii="Times New Roman" w:hAnsi="Times New Roman" w:cs="Times New Roman"/>
        </w:rPr>
        <w:t xml:space="preserve">LSR (etap </w:t>
      </w:r>
      <w:r w:rsidRPr="00EA19D6">
        <w:rPr>
          <w:rFonts w:ascii="Times New Roman" w:hAnsi="Times New Roman" w:cs="Times New Roman"/>
        </w:rPr>
        <w:t>diagnostyczny i etap planistyczny</w:t>
      </w:r>
      <w:r>
        <w:rPr>
          <w:rFonts w:ascii="Times New Roman" w:hAnsi="Times New Roman" w:cs="Times New Roman"/>
        </w:rPr>
        <w:t>);</w:t>
      </w:r>
    </w:p>
    <w:p w14:paraId="6413FE09" w14:textId="77777777" w:rsidR="00A17173" w:rsidRPr="006903EB" w:rsidRDefault="00A17173" w:rsidP="00247CB2">
      <w:pPr>
        <w:pStyle w:val="Akapitzlist"/>
        <w:numPr>
          <w:ilvl w:val="0"/>
          <w:numId w:val="19"/>
        </w:numPr>
        <w:spacing w:after="0" w:line="276" w:lineRule="auto"/>
        <w:ind w:left="851"/>
        <w:jc w:val="both"/>
        <w:rPr>
          <w:rFonts w:ascii="Times New Roman" w:hAnsi="Times New Roman" w:cs="Times New Roman"/>
        </w:rPr>
      </w:pPr>
      <w:r w:rsidRPr="006903EB">
        <w:rPr>
          <w:rFonts w:ascii="Times New Roman" w:hAnsi="Times New Roman" w:cs="Times New Roman"/>
        </w:rPr>
        <w:t>prace warsztatowe w grupach (etap planistyczny);</w:t>
      </w:r>
    </w:p>
    <w:p w14:paraId="6E058F49" w14:textId="77777777" w:rsidR="00A17173" w:rsidRPr="006903EB" w:rsidRDefault="00A17173" w:rsidP="00247CB2">
      <w:pPr>
        <w:pStyle w:val="Akapitzlist"/>
        <w:numPr>
          <w:ilvl w:val="0"/>
          <w:numId w:val="19"/>
        </w:numPr>
        <w:spacing w:after="0" w:line="276" w:lineRule="auto"/>
        <w:ind w:left="851"/>
        <w:jc w:val="both"/>
        <w:rPr>
          <w:rFonts w:ascii="Times New Roman" w:hAnsi="Times New Roman" w:cs="Times New Roman"/>
        </w:rPr>
      </w:pPr>
      <w:r w:rsidRPr="006903EB">
        <w:rPr>
          <w:rFonts w:ascii="Times New Roman" w:hAnsi="Times New Roman" w:cs="Times New Roman"/>
        </w:rPr>
        <w:t>dyżury pracownika online (etap diagnostyczny i etap planistyczny);</w:t>
      </w:r>
    </w:p>
    <w:p w14:paraId="6656D290" w14:textId="77777777" w:rsidR="00A17173" w:rsidRPr="006903EB" w:rsidRDefault="00A17173" w:rsidP="00247CB2">
      <w:pPr>
        <w:pStyle w:val="Akapitzlist"/>
        <w:numPr>
          <w:ilvl w:val="0"/>
          <w:numId w:val="19"/>
        </w:numPr>
        <w:spacing w:after="0" w:line="276" w:lineRule="auto"/>
        <w:ind w:left="851"/>
        <w:jc w:val="both"/>
        <w:rPr>
          <w:rFonts w:ascii="Times New Roman" w:hAnsi="Times New Roman" w:cs="Times New Roman"/>
        </w:rPr>
      </w:pPr>
      <w:r w:rsidRPr="006903EB">
        <w:rPr>
          <w:rFonts w:ascii="Times New Roman" w:hAnsi="Times New Roman" w:cs="Times New Roman"/>
        </w:rPr>
        <w:t>punkt konsultacyjny (etap diagnostyczny i etap planistyczny);</w:t>
      </w:r>
    </w:p>
    <w:p w14:paraId="2BD8BFA5" w14:textId="77777777" w:rsidR="00A17173" w:rsidRDefault="00A17173" w:rsidP="00247CB2">
      <w:pPr>
        <w:pStyle w:val="Akapitzlist"/>
        <w:numPr>
          <w:ilvl w:val="0"/>
          <w:numId w:val="19"/>
        </w:numPr>
        <w:spacing w:after="0" w:line="276" w:lineRule="auto"/>
        <w:ind w:left="851"/>
        <w:jc w:val="both"/>
        <w:rPr>
          <w:rFonts w:ascii="Times New Roman" w:hAnsi="Times New Roman" w:cs="Times New Roman"/>
        </w:rPr>
      </w:pPr>
      <w:r w:rsidRPr="006903EB">
        <w:rPr>
          <w:rFonts w:ascii="Times New Roman" w:hAnsi="Times New Roman" w:cs="Times New Roman"/>
        </w:rPr>
        <w:t>formularze uwag (etap opiniowania projektu LSR)</w:t>
      </w:r>
      <w:r>
        <w:rPr>
          <w:rFonts w:ascii="Times New Roman" w:hAnsi="Times New Roman" w:cs="Times New Roman"/>
        </w:rPr>
        <w:t>;</w:t>
      </w:r>
    </w:p>
    <w:p w14:paraId="353CF4E9" w14:textId="77777777" w:rsidR="00A17173" w:rsidRPr="006903EB" w:rsidRDefault="00A17173" w:rsidP="00247CB2">
      <w:pPr>
        <w:pStyle w:val="Akapitzlist"/>
        <w:numPr>
          <w:ilvl w:val="0"/>
          <w:numId w:val="19"/>
        </w:numPr>
        <w:spacing w:after="0" w:line="276" w:lineRule="auto"/>
        <w:ind w:left="851"/>
        <w:jc w:val="both"/>
        <w:rPr>
          <w:rFonts w:ascii="Times New Roman" w:hAnsi="Times New Roman" w:cs="Times New Roman"/>
        </w:rPr>
      </w:pPr>
      <w:r>
        <w:rPr>
          <w:rFonts w:ascii="Times New Roman" w:hAnsi="Times New Roman" w:cs="Times New Roman"/>
        </w:rPr>
        <w:t>prezentacja projektu LSR na WZC.</w:t>
      </w:r>
    </w:p>
    <w:p w14:paraId="08A2E1D5" w14:textId="4C4C67A5" w:rsidR="00C36141" w:rsidRDefault="00990735" w:rsidP="00247CB2">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W dniach 12–27.07.2022 </w:t>
      </w:r>
      <w:r w:rsidR="00A17173">
        <w:rPr>
          <w:rFonts w:ascii="Times New Roman" w:hAnsi="Times New Roman" w:cs="Times New Roman"/>
          <w:color w:val="000000" w:themeColor="text1"/>
        </w:rPr>
        <w:t xml:space="preserve">w każdej z gmin wchodzących w skład LGD odbyły się otwarte spotkania informacyjno-warsztatowe. W trakcie spotkań, mieszkańcy zostali zapoznani z </w:t>
      </w:r>
      <w:r w:rsidR="005A56EF">
        <w:rPr>
          <w:rFonts w:ascii="Times New Roman" w:hAnsi="Times New Roman" w:cs="Times New Roman"/>
          <w:color w:val="000000" w:themeColor="text1"/>
        </w:rPr>
        <w:t xml:space="preserve">dotychczasową działalnością BLGD oraz </w:t>
      </w:r>
      <w:r w:rsidR="00A17173">
        <w:rPr>
          <w:rFonts w:ascii="Times New Roman" w:hAnsi="Times New Roman" w:cs="Times New Roman"/>
          <w:color w:val="000000" w:themeColor="text1"/>
        </w:rPr>
        <w:t xml:space="preserve">założeniami programu </w:t>
      </w:r>
      <w:r w:rsidR="008F37C5">
        <w:rPr>
          <w:rFonts w:ascii="Times New Roman" w:hAnsi="Times New Roman" w:cs="Times New Roman"/>
          <w:color w:val="000000" w:themeColor="text1"/>
        </w:rPr>
        <w:t>LEADER</w:t>
      </w:r>
      <w:r w:rsidR="00A17173">
        <w:rPr>
          <w:rFonts w:ascii="Times New Roman" w:hAnsi="Times New Roman" w:cs="Times New Roman"/>
          <w:color w:val="000000" w:themeColor="text1"/>
        </w:rPr>
        <w:t xml:space="preserve">. </w:t>
      </w:r>
      <w:r w:rsidR="00C36141">
        <w:rPr>
          <w:rFonts w:ascii="Times New Roman" w:hAnsi="Times New Roman" w:cs="Times New Roman"/>
          <w:color w:val="000000" w:themeColor="text1"/>
        </w:rPr>
        <w:t xml:space="preserve">Uczestnicy spotkań wypełniali również ankietę papierową składającą się z 16 pytań. Ankieta dotyczyła opinii na temat dotychczasowej działalności LGD oraz budowy nowej LSR. </w:t>
      </w:r>
      <w:r w:rsidR="00E708E4">
        <w:rPr>
          <w:rFonts w:ascii="Times New Roman" w:hAnsi="Times New Roman" w:cs="Times New Roman"/>
          <w:color w:val="000000" w:themeColor="text1"/>
        </w:rPr>
        <w:t>Jedno z pytań dotyczyło realizacji projektów dofinansowywanych przez LGD</w:t>
      </w:r>
      <w:r w:rsidR="00244E2C">
        <w:rPr>
          <w:rFonts w:ascii="Times New Roman" w:hAnsi="Times New Roman" w:cs="Times New Roman"/>
          <w:color w:val="000000" w:themeColor="text1"/>
        </w:rPr>
        <w:t xml:space="preserve"> –</w:t>
      </w:r>
      <w:r w:rsidR="00C36141" w:rsidRPr="00C36141">
        <w:rPr>
          <w:rFonts w:ascii="Times New Roman" w:hAnsi="Times New Roman" w:cs="Times New Roman"/>
          <w:color w:val="000000" w:themeColor="text1"/>
        </w:rPr>
        <w:t xml:space="preserve"> </w:t>
      </w:r>
      <w:r w:rsidR="00E708E4">
        <w:rPr>
          <w:rFonts w:ascii="Times New Roman" w:hAnsi="Times New Roman" w:cs="Times New Roman"/>
          <w:color w:val="000000" w:themeColor="text1"/>
        </w:rPr>
        <w:t>101 osób</w:t>
      </w:r>
      <w:r w:rsidR="00244E2C">
        <w:rPr>
          <w:rFonts w:ascii="Times New Roman" w:hAnsi="Times New Roman" w:cs="Times New Roman"/>
          <w:color w:val="000000" w:themeColor="text1"/>
        </w:rPr>
        <w:t>,</w:t>
      </w:r>
      <w:r w:rsidR="00E708E4">
        <w:rPr>
          <w:rFonts w:ascii="Times New Roman" w:hAnsi="Times New Roman" w:cs="Times New Roman"/>
          <w:color w:val="000000" w:themeColor="text1"/>
        </w:rPr>
        <w:t xml:space="preserve"> spośród wszystkich uczestniczących w spotkaniach (43%)</w:t>
      </w:r>
      <w:r w:rsidR="00244E2C">
        <w:rPr>
          <w:rFonts w:ascii="Times New Roman" w:hAnsi="Times New Roman" w:cs="Times New Roman"/>
          <w:color w:val="000000" w:themeColor="text1"/>
        </w:rPr>
        <w:t>,</w:t>
      </w:r>
      <w:r w:rsidR="00E708E4">
        <w:rPr>
          <w:rFonts w:ascii="Times New Roman" w:hAnsi="Times New Roman" w:cs="Times New Roman"/>
          <w:color w:val="000000" w:themeColor="text1"/>
        </w:rPr>
        <w:t xml:space="preserve"> odpowiedziało, iż</w:t>
      </w:r>
      <w:r w:rsidR="00C36141" w:rsidRPr="00C36141">
        <w:rPr>
          <w:rFonts w:ascii="Times New Roman" w:hAnsi="Times New Roman" w:cs="Times New Roman"/>
          <w:color w:val="000000" w:themeColor="text1"/>
        </w:rPr>
        <w:t xml:space="preserve"> </w:t>
      </w:r>
      <w:r w:rsidR="00E708E4">
        <w:rPr>
          <w:rFonts w:ascii="Times New Roman" w:hAnsi="Times New Roman" w:cs="Times New Roman"/>
          <w:color w:val="000000" w:themeColor="text1"/>
        </w:rPr>
        <w:t>korzystali z dofinansowania w ramach wdrażania LSR. Kolejne pytanie dotyczyło</w:t>
      </w:r>
      <w:r w:rsidR="00C36141" w:rsidRPr="00C36141">
        <w:rPr>
          <w:rFonts w:ascii="Times New Roman" w:hAnsi="Times New Roman" w:cs="Times New Roman"/>
          <w:color w:val="000000" w:themeColor="text1"/>
        </w:rPr>
        <w:t xml:space="preserve"> zadowoleni</w:t>
      </w:r>
      <w:r w:rsidR="00E708E4">
        <w:rPr>
          <w:rFonts w:ascii="Times New Roman" w:hAnsi="Times New Roman" w:cs="Times New Roman"/>
          <w:color w:val="000000" w:themeColor="text1"/>
        </w:rPr>
        <w:t>a</w:t>
      </w:r>
      <w:r w:rsidR="00C36141" w:rsidRPr="00C36141">
        <w:rPr>
          <w:rFonts w:ascii="Times New Roman" w:hAnsi="Times New Roman" w:cs="Times New Roman"/>
          <w:color w:val="000000" w:themeColor="text1"/>
        </w:rPr>
        <w:t xml:space="preserve"> z życia na obszarze działania </w:t>
      </w:r>
      <w:r w:rsidR="00E708E4">
        <w:rPr>
          <w:rFonts w:ascii="Times New Roman" w:hAnsi="Times New Roman" w:cs="Times New Roman"/>
          <w:color w:val="000000" w:themeColor="text1"/>
        </w:rPr>
        <w:t>BLGD</w:t>
      </w:r>
      <w:r w:rsidR="00244E2C">
        <w:rPr>
          <w:rFonts w:ascii="Times New Roman" w:hAnsi="Times New Roman" w:cs="Times New Roman"/>
          <w:color w:val="000000" w:themeColor="text1"/>
        </w:rPr>
        <w:t xml:space="preserve"> –</w:t>
      </w:r>
      <w:r w:rsidR="00E708E4">
        <w:rPr>
          <w:rFonts w:ascii="Times New Roman" w:hAnsi="Times New Roman" w:cs="Times New Roman"/>
          <w:color w:val="000000" w:themeColor="text1"/>
        </w:rPr>
        <w:t xml:space="preserve"> </w:t>
      </w:r>
      <w:r w:rsidR="00C36141" w:rsidRPr="00C36141">
        <w:rPr>
          <w:rFonts w:ascii="Times New Roman" w:hAnsi="Times New Roman" w:cs="Times New Roman"/>
          <w:color w:val="000000" w:themeColor="text1"/>
        </w:rPr>
        <w:t>163 osoby (70%)</w:t>
      </w:r>
      <w:r w:rsidR="00E708E4">
        <w:rPr>
          <w:rFonts w:ascii="Times New Roman" w:hAnsi="Times New Roman" w:cs="Times New Roman"/>
          <w:color w:val="000000" w:themeColor="text1"/>
        </w:rPr>
        <w:t xml:space="preserve"> wskazało pozytywną odpowiedź</w:t>
      </w:r>
      <w:r w:rsidR="00C36141" w:rsidRPr="00C36141">
        <w:rPr>
          <w:rFonts w:ascii="Times New Roman" w:hAnsi="Times New Roman" w:cs="Times New Roman"/>
          <w:color w:val="000000" w:themeColor="text1"/>
        </w:rPr>
        <w:t xml:space="preserve">. </w:t>
      </w:r>
      <w:r>
        <w:rPr>
          <w:rFonts w:ascii="Times New Roman" w:hAnsi="Times New Roman" w:cs="Times New Roman"/>
          <w:color w:val="000000" w:themeColor="text1"/>
        </w:rPr>
        <w:br/>
      </w:r>
      <w:r w:rsidR="00C36141" w:rsidRPr="00C36141">
        <w:rPr>
          <w:rFonts w:ascii="Times New Roman" w:hAnsi="Times New Roman" w:cs="Times New Roman"/>
          <w:color w:val="000000" w:themeColor="text1"/>
        </w:rPr>
        <w:t>W</w:t>
      </w:r>
      <w:r w:rsidR="00244E2C">
        <w:rPr>
          <w:rFonts w:ascii="Times New Roman" w:hAnsi="Times New Roman" w:cs="Times New Roman"/>
          <w:color w:val="000000" w:themeColor="text1"/>
        </w:rPr>
        <w:t xml:space="preserve"> </w:t>
      </w:r>
      <w:r w:rsidR="00C36141" w:rsidRPr="00C36141">
        <w:rPr>
          <w:rFonts w:ascii="Times New Roman" w:hAnsi="Times New Roman" w:cs="Times New Roman"/>
          <w:color w:val="000000" w:themeColor="text1"/>
        </w:rPr>
        <w:t>ciągu ostatniego roku z nowo</w:t>
      </w:r>
      <w:r w:rsidR="00E708E4">
        <w:rPr>
          <w:rFonts w:ascii="Times New Roman" w:hAnsi="Times New Roman" w:cs="Times New Roman"/>
          <w:color w:val="000000" w:themeColor="text1"/>
        </w:rPr>
        <w:t xml:space="preserve"> </w:t>
      </w:r>
      <w:r w:rsidR="00C36141" w:rsidRPr="00C36141">
        <w:rPr>
          <w:rFonts w:ascii="Times New Roman" w:hAnsi="Times New Roman" w:cs="Times New Roman"/>
          <w:color w:val="000000" w:themeColor="text1"/>
        </w:rPr>
        <w:t>powstałych lub zmodernizowanych obiektów kultury, turystyki i rekreacji oraz usług turystycznych na</w:t>
      </w:r>
      <w:r w:rsidR="00E708E4">
        <w:rPr>
          <w:rFonts w:ascii="Times New Roman" w:hAnsi="Times New Roman" w:cs="Times New Roman"/>
          <w:color w:val="000000" w:themeColor="text1"/>
        </w:rPr>
        <w:t xml:space="preserve"> </w:t>
      </w:r>
      <w:r w:rsidR="00C36141" w:rsidRPr="00C36141">
        <w:rPr>
          <w:rFonts w:ascii="Times New Roman" w:hAnsi="Times New Roman" w:cs="Times New Roman"/>
          <w:color w:val="000000" w:themeColor="text1"/>
        </w:rPr>
        <w:t>terenie BLGD korzystało 148 osób (63%)</w:t>
      </w:r>
      <w:r w:rsidR="00E708E4">
        <w:rPr>
          <w:rFonts w:ascii="Times New Roman" w:hAnsi="Times New Roman" w:cs="Times New Roman"/>
          <w:color w:val="000000" w:themeColor="text1"/>
        </w:rPr>
        <w:t xml:space="preserve"> spośród ankietowanych. </w:t>
      </w:r>
      <w:r w:rsidR="00C36141" w:rsidRPr="00C36141">
        <w:rPr>
          <w:rFonts w:ascii="Times New Roman" w:hAnsi="Times New Roman" w:cs="Times New Roman"/>
          <w:color w:val="000000" w:themeColor="text1"/>
        </w:rPr>
        <w:t>Zmiany jakie zaszły na obszarze funkcjonowania</w:t>
      </w:r>
      <w:r w:rsidR="00E708E4">
        <w:rPr>
          <w:rFonts w:ascii="Times New Roman" w:hAnsi="Times New Roman" w:cs="Times New Roman"/>
          <w:color w:val="000000" w:themeColor="text1"/>
        </w:rPr>
        <w:t xml:space="preserve"> </w:t>
      </w:r>
      <w:r w:rsidR="00C36141" w:rsidRPr="00C36141">
        <w:rPr>
          <w:rFonts w:ascii="Times New Roman" w:hAnsi="Times New Roman" w:cs="Times New Roman"/>
          <w:color w:val="000000" w:themeColor="text1"/>
        </w:rPr>
        <w:t xml:space="preserve">Bialskopodlaskiej Lokalnej Grupy Działania </w:t>
      </w:r>
      <w:r w:rsidR="00E708E4">
        <w:rPr>
          <w:rFonts w:ascii="Times New Roman" w:hAnsi="Times New Roman" w:cs="Times New Roman"/>
          <w:color w:val="000000" w:themeColor="text1"/>
        </w:rPr>
        <w:t>pozytywnie oceni</w:t>
      </w:r>
      <w:r w:rsidR="00244E2C">
        <w:rPr>
          <w:rFonts w:ascii="Times New Roman" w:hAnsi="Times New Roman" w:cs="Times New Roman"/>
          <w:color w:val="000000" w:themeColor="text1"/>
        </w:rPr>
        <w:t>ło</w:t>
      </w:r>
      <w:r w:rsidR="00E708E4">
        <w:rPr>
          <w:rFonts w:ascii="Times New Roman" w:hAnsi="Times New Roman" w:cs="Times New Roman"/>
          <w:color w:val="000000" w:themeColor="text1"/>
        </w:rPr>
        <w:t xml:space="preserve"> </w:t>
      </w:r>
      <w:r w:rsidR="00C36141" w:rsidRPr="00C36141">
        <w:rPr>
          <w:rFonts w:ascii="Times New Roman" w:hAnsi="Times New Roman" w:cs="Times New Roman"/>
          <w:color w:val="000000" w:themeColor="text1"/>
        </w:rPr>
        <w:t>178 respondentów (76%)</w:t>
      </w:r>
      <w:r w:rsidR="00E708E4">
        <w:rPr>
          <w:rFonts w:ascii="Times New Roman" w:hAnsi="Times New Roman" w:cs="Times New Roman"/>
          <w:color w:val="000000" w:themeColor="text1"/>
        </w:rPr>
        <w:t xml:space="preserve">. </w:t>
      </w:r>
      <w:r w:rsidR="00C36141" w:rsidRPr="00C36141">
        <w:rPr>
          <w:rFonts w:ascii="Times New Roman" w:hAnsi="Times New Roman" w:cs="Times New Roman"/>
          <w:color w:val="000000" w:themeColor="text1"/>
        </w:rPr>
        <w:t>Według osób ankietowanych</w:t>
      </w:r>
      <w:r w:rsidR="00244E2C">
        <w:rPr>
          <w:rFonts w:ascii="Times New Roman" w:hAnsi="Times New Roman" w:cs="Times New Roman"/>
          <w:color w:val="000000" w:themeColor="text1"/>
        </w:rPr>
        <w:t>,</w:t>
      </w:r>
      <w:r w:rsidR="00C36141" w:rsidRPr="00C36141">
        <w:rPr>
          <w:rFonts w:ascii="Times New Roman" w:hAnsi="Times New Roman" w:cs="Times New Roman"/>
          <w:color w:val="000000" w:themeColor="text1"/>
        </w:rPr>
        <w:t xml:space="preserve"> na największe wsparcie zasługują takie grupy jak: osoby pomiędzy 18</w:t>
      </w:r>
      <w:r w:rsidR="00244E2C">
        <w:rPr>
          <w:rFonts w:ascii="Times New Roman" w:hAnsi="Times New Roman" w:cs="Times New Roman"/>
          <w:color w:val="000000" w:themeColor="text1"/>
        </w:rPr>
        <w:t>.</w:t>
      </w:r>
      <w:r w:rsidR="00C36141" w:rsidRPr="00C36141">
        <w:rPr>
          <w:rFonts w:ascii="Times New Roman" w:hAnsi="Times New Roman" w:cs="Times New Roman"/>
          <w:color w:val="000000" w:themeColor="text1"/>
        </w:rPr>
        <w:t xml:space="preserve"> a</w:t>
      </w:r>
      <w:r w:rsidR="00E708E4">
        <w:rPr>
          <w:rFonts w:ascii="Times New Roman" w:hAnsi="Times New Roman" w:cs="Times New Roman"/>
          <w:color w:val="000000" w:themeColor="text1"/>
        </w:rPr>
        <w:t xml:space="preserve"> </w:t>
      </w:r>
      <w:r w:rsidR="00C36141" w:rsidRPr="00C36141">
        <w:rPr>
          <w:rFonts w:ascii="Times New Roman" w:hAnsi="Times New Roman" w:cs="Times New Roman"/>
          <w:color w:val="000000" w:themeColor="text1"/>
        </w:rPr>
        <w:t>26</w:t>
      </w:r>
      <w:r w:rsidR="00244E2C">
        <w:rPr>
          <w:rFonts w:ascii="Times New Roman" w:hAnsi="Times New Roman" w:cs="Times New Roman"/>
          <w:color w:val="000000" w:themeColor="text1"/>
        </w:rPr>
        <w:t>.</w:t>
      </w:r>
      <w:r w:rsidR="00C36141" w:rsidRPr="00C36141">
        <w:rPr>
          <w:rFonts w:ascii="Times New Roman" w:hAnsi="Times New Roman" w:cs="Times New Roman"/>
          <w:color w:val="000000" w:themeColor="text1"/>
        </w:rPr>
        <w:t xml:space="preserve"> rokiem życia, osoby powyżej 50</w:t>
      </w:r>
      <w:r w:rsidR="00244E2C">
        <w:rPr>
          <w:rFonts w:ascii="Times New Roman" w:hAnsi="Times New Roman" w:cs="Times New Roman"/>
          <w:color w:val="000000" w:themeColor="text1"/>
        </w:rPr>
        <w:t>.</w:t>
      </w:r>
      <w:r w:rsidR="00C36141" w:rsidRPr="00C36141">
        <w:rPr>
          <w:rFonts w:ascii="Times New Roman" w:hAnsi="Times New Roman" w:cs="Times New Roman"/>
          <w:color w:val="000000" w:themeColor="text1"/>
        </w:rPr>
        <w:t xml:space="preserve"> roku życia oraz dzieci i młodzież. </w:t>
      </w:r>
      <w:r w:rsidR="00E708E4">
        <w:rPr>
          <w:rFonts w:ascii="Times New Roman" w:hAnsi="Times New Roman" w:cs="Times New Roman"/>
          <w:color w:val="000000" w:themeColor="text1"/>
        </w:rPr>
        <w:t>W</w:t>
      </w:r>
      <w:r w:rsidR="00C36141" w:rsidRPr="00C36141">
        <w:rPr>
          <w:rFonts w:ascii="Times New Roman" w:hAnsi="Times New Roman" w:cs="Times New Roman"/>
          <w:color w:val="000000" w:themeColor="text1"/>
        </w:rPr>
        <w:t xml:space="preserve">edług </w:t>
      </w:r>
      <w:r w:rsidR="00E708E4">
        <w:rPr>
          <w:rFonts w:ascii="Times New Roman" w:hAnsi="Times New Roman" w:cs="Times New Roman"/>
          <w:color w:val="000000" w:themeColor="text1"/>
        </w:rPr>
        <w:t xml:space="preserve">ankietowanych należy wspierać przede wszystkim </w:t>
      </w:r>
      <w:r w:rsidR="00C36141" w:rsidRPr="00C36141">
        <w:rPr>
          <w:rFonts w:ascii="Times New Roman" w:hAnsi="Times New Roman" w:cs="Times New Roman"/>
          <w:color w:val="000000" w:themeColor="text1"/>
        </w:rPr>
        <w:lastRenderedPageBreak/>
        <w:t>inwestycje w poprawę infrastruktury publicznej</w:t>
      </w:r>
      <w:r w:rsidR="00E708E4">
        <w:rPr>
          <w:rFonts w:ascii="Times New Roman" w:hAnsi="Times New Roman" w:cs="Times New Roman"/>
          <w:color w:val="000000" w:themeColor="text1"/>
        </w:rPr>
        <w:t xml:space="preserve"> </w:t>
      </w:r>
      <w:r w:rsidR="00C36141" w:rsidRPr="00C36141">
        <w:rPr>
          <w:rFonts w:ascii="Times New Roman" w:hAnsi="Times New Roman" w:cs="Times New Roman"/>
          <w:color w:val="000000" w:themeColor="text1"/>
        </w:rPr>
        <w:t xml:space="preserve">i społecznej, </w:t>
      </w:r>
      <w:r w:rsidR="00E708E4">
        <w:rPr>
          <w:rFonts w:ascii="Times New Roman" w:hAnsi="Times New Roman" w:cs="Times New Roman"/>
          <w:color w:val="000000" w:themeColor="text1"/>
        </w:rPr>
        <w:t xml:space="preserve">promować </w:t>
      </w:r>
      <w:r w:rsidR="00C36141" w:rsidRPr="00C36141">
        <w:rPr>
          <w:rFonts w:ascii="Times New Roman" w:hAnsi="Times New Roman" w:cs="Times New Roman"/>
          <w:color w:val="000000" w:themeColor="text1"/>
        </w:rPr>
        <w:t>aktywnoś</w:t>
      </w:r>
      <w:r w:rsidR="00E708E4">
        <w:rPr>
          <w:rFonts w:ascii="Times New Roman" w:hAnsi="Times New Roman" w:cs="Times New Roman"/>
          <w:color w:val="000000" w:themeColor="text1"/>
        </w:rPr>
        <w:t>ć</w:t>
      </w:r>
      <w:r w:rsidR="00C36141" w:rsidRPr="00C36141">
        <w:rPr>
          <w:rFonts w:ascii="Times New Roman" w:hAnsi="Times New Roman" w:cs="Times New Roman"/>
          <w:color w:val="000000" w:themeColor="text1"/>
        </w:rPr>
        <w:t xml:space="preserve"> lokal</w:t>
      </w:r>
      <w:r w:rsidR="00E708E4">
        <w:rPr>
          <w:rFonts w:ascii="Times New Roman" w:hAnsi="Times New Roman" w:cs="Times New Roman"/>
          <w:color w:val="000000" w:themeColor="text1"/>
        </w:rPr>
        <w:t>ną</w:t>
      </w:r>
      <w:r w:rsidR="00C36141" w:rsidRPr="00C36141">
        <w:rPr>
          <w:rFonts w:ascii="Times New Roman" w:hAnsi="Times New Roman" w:cs="Times New Roman"/>
          <w:color w:val="000000" w:themeColor="text1"/>
        </w:rPr>
        <w:t xml:space="preserve"> poprzez spotkania, szkolenia, konkursy</w:t>
      </w:r>
      <w:r w:rsidR="00E708E4">
        <w:rPr>
          <w:rFonts w:ascii="Times New Roman" w:hAnsi="Times New Roman" w:cs="Times New Roman"/>
          <w:color w:val="000000" w:themeColor="text1"/>
        </w:rPr>
        <w:t xml:space="preserve"> oraz </w:t>
      </w:r>
      <w:r w:rsidR="00C36141" w:rsidRPr="00C36141">
        <w:rPr>
          <w:rFonts w:ascii="Times New Roman" w:hAnsi="Times New Roman" w:cs="Times New Roman"/>
          <w:color w:val="000000" w:themeColor="text1"/>
        </w:rPr>
        <w:t>imprezy sportowe i rekreacyjne</w:t>
      </w:r>
      <w:r w:rsidR="00E708E4">
        <w:rPr>
          <w:rFonts w:ascii="Times New Roman" w:hAnsi="Times New Roman" w:cs="Times New Roman"/>
          <w:color w:val="000000" w:themeColor="text1"/>
        </w:rPr>
        <w:t>,</w:t>
      </w:r>
      <w:r w:rsidR="00C36141" w:rsidRPr="00C36141">
        <w:rPr>
          <w:rFonts w:ascii="Times New Roman" w:hAnsi="Times New Roman" w:cs="Times New Roman"/>
          <w:color w:val="000000" w:themeColor="text1"/>
        </w:rPr>
        <w:t xml:space="preserve"> a także tworz</w:t>
      </w:r>
      <w:r w:rsidR="00E708E4">
        <w:rPr>
          <w:rFonts w:ascii="Times New Roman" w:hAnsi="Times New Roman" w:cs="Times New Roman"/>
          <w:color w:val="000000" w:themeColor="text1"/>
        </w:rPr>
        <w:t>yć</w:t>
      </w:r>
      <w:r w:rsidR="00C36141" w:rsidRPr="00C36141">
        <w:rPr>
          <w:rFonts w:ascii="Times New Roman" w:hAnsi="Times New Roman" w:cs="Times New Roman"/>
          <w:color w:val="000000" w:themeColor="text1"/>
        </w:rPr>
        <w:t xml:space="preserve"> pozarolnicz</w:t>
      </w:r>
      <w:r w:rsidR="00E708E4">
        <w:rPr>
          <w:rFonts w:ascii="Times New Roman" w:hAnsi="Times New Roman" w:cs="Times New Roman"/>
          <w:color w:val="000000" w:themeColor="text1"/>
        </w:rPr>
        <w:t>e</w:t>
      </w:r>
      <w:r w:rsidR="00C36141" w:rsidRPr="00C36141">
        <w:rPr>
          <w:rFonts w:ascii="Times New Roman" w:hAnsi="Times New Roman" w:cs="Times New Roman"/>
          <w:color w:val="000000" w:themeColor="text1"/>
        </w:rPr>
        <w:t xml:space="preserve"> miejsc</w:t>
      </w:r>
      <w:r w:rsidR="00E708E4">
        <w:rPr>
          <w:rFonts w:ascii="Times New Roman" w:hAnsi="Times New Roman" w:cs="Times New Roman"/>
          <w:color w:val="000000" w:themeColor="text1"/>
        </w:rPr>
        <w:t>a</w:t>
      </w:r>
      <w:r w:rsidR="00C36141" w:rsidRPr="00C36141">
        <w:rPr>
          <w:rFonts w:ascii="Times New Roman" w:hAnsi="Times New Roman" w:cs="Times New Roman"/>
          <w:color w:val="000000" w:themeColor="text1"/>
        </w:rPr>
        <w:t xml:space="preserve"> pracy związan</w:t>
      </w:r>
      <w:r w:rsidR="00E708E4">
        <w:rPr>
          <w:rFonts w:ascii="Times New Roman" w:hAnsi="Times New Roman" w:cs="Times New Roman"/>
          <w:color w:val="000000" w:themeColor="text1"/>
        </w:rPr>
        <w:t xml:space="preserve">e </w:t>
      </w:r>
      <w:r w:rsidR="00C36141" w:rsidRPr="00C36141">
        <w:rPr>
          <w:rFonts w:ascii="Times New Roman" w:hAnsi="Times New Roman" w:cs="Times New Roman"/>
          <w:color w:val="000000" w:themeColor="text1"/>
        </w:rPr>
        <w:t>z agroturystyk</w:t>
      </w:r>
      <w:r w:rsidR="00244E2C">
        <w:rPr>
          <w:rFonts w:ascii="Times New Roman" w:hAnsi="Times New Roman" w:cs="Times New Roman"/>
          <w:color w:val="000000" w:themeColor="text1"/>
        </w:rPr>
        <w:t>ą</w:t>
      </w:r>
      <w:r w:rsidR="00C36141" w:rsidRPr="00C36141">
        <w:rPr>
          <w:rFonts w:ascii="Times New Roman" w:hAnsi="Times New Roman" w:cs="Times New Roman"/>
          <w:color w:val="000000" w:themeColor="text1"/>
        </w:rPr>
        <w:t xml:space="preserve"> i turystyką wiejską.</w:t>
      </w:r>
    </w:p>
    <w:p w14:paraId="7E8C4B8F" w14:textId="43B700CD" w:rsidR="00A17173" w:rsidRDefault="00C36141" w:rsidP="00247CB2">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990735">
        <w:rPr>
          <w:rFonts w:ascii="Times New Roman" w:hAnsi="Times New Roman" w:cs="Times New Roman"/>
          <w:color w:val="000000" w:themeColor="text1"/>
        </w:rPr>
        <w:t>Kolejne dwa spotkania odbyły się w</w:t>
      </w:r>
      <w:r>
        <w:rPr>
          <w:rFonts w:ascii="Times New Roman" w:hAnsi="Times New Roman" w:cs="Times New Roman"/>
          <w:color w:val="000000" w:themeColor="text1"/>
        </w:rPr>
        <w:t xml:space="preserve"> dniu 01.12.2022 </w:t>
      </w:r>
      <w:r w:rsidR="00CE2EDC">
        <w:rPr>
          <w:rFonts w:ascii="Times New Roman" w:hAnsi="Times New Roman" w:cs="Times New Roman"/>
          <w:color w:val="000000" w:themeColor="text1"/>
        </w:rPr>
        <w:t>r.,</w:t>
      </w:r>
      <w:r w:rsidR="00990735">
        <w:rPr>
          <w:rFonts w:ascii="Times New Roman" w:hAnsi="Times New Roman" w:cs="Times New Roman"/>
          <w:color w:val="000000" w:themeColor="text1"/>
        </w:rPr>
        <w:t xml:space="preserve"> u</w:t>
      </w:r>
      <w:r>
        <w:rPr>
          <w:rFonts w:ascii="Times New Roman" w:hAnsi="Times New Roman" w:cs="Times New Roman"/>
          <w:color w:val="000000" w:themeColor="text1"/>
        </w:rPr>
        <w:t xml:space="preserve">czestnikom spotkań przedstawiono </w:t>
      </w:r>
      <w:r w:rsidRPr="0033497E">
        <w:rPr>
          <w:rFonts w:ascii="Times New Roman" w:hAnsi="Times New Roman" w:cs="Times New Roman"/>
          <w:color w:val="000000" w:themeColor="text1"/>
        </w:rPr>
        <w:t>dan</w:t>
      </w:r>
      <w:r>
        <w:rPr>
          <w:rFonts w:ascii="Times New Roman" w:hAnsi="Times New Roman" w:cs="Times New Roman"/>
          <w:color w:val="000000" w:themeColor="text1"/>
        </w:rPr>
        <w:t xml:space="preserve">e </w:t>
      </w:r>
      <w:r w:rsidRPr="0033497E">
        <w:rPr>
          <w:rFonts w:ascii="Times New Roman" w:hAnsi="Times New Roman" w:cs="Times New Roman"/>
          <w:color w:val="000000" w:themeColor="text1"/>
        </w:rPr>
        <w:t>statystyczn</w:t>
      </w:r>
      <w:r>
        <w:rPr>
          <w:rFonts w:ascii="Times New Roman" w:hAnsi="Times New Roman" w:cs="Times New Roman"/>
          <w:color w:val="000000" w:themeColor="text1"/>
        </w:rPr>
        <w:t>e</w:t>
      </w:r>
      <w:r w:rsidRPr="0033497E">
        <w:rPr>
          <w:rFonts w:ascii="Times New Roman" w:hAnsi="Times New Roman" w:cs="Times New Roman"/>
          <w:color w:val="000000" w:themeColor="text1"/>
        </w:rPr>
        <w:t xml:space="preserve"> obrazując</w:t>
      </w:r>
      <w:r>
        <w:rPr>
          <w:rFonts w:ascii="Times New Roman" w:hAnsi="Times New Roman" w:cs="Times New Roman"/>
          <w:color w:val="000000" w:themeColor="text1"/>
        </w:rPr>
        <w:t>e</w:t>
      </w:r>
      <w:r w:rsidRPr="0033497E">
        <w:rPr>
          <w:rFonts w:ascii="Times New Roman" w:hAnsi="Times New Roman" w:cs="Times New Roman"/>
          <w:color w:val="000000" w:themeColor="text1"/>
        </w:rPr>
        <w:t xml:space="preserve"> sytuację obszaru</w:t>
      </w:r>
      <w:r>
        <w:rPr>
          <w:rFonts w:ascii="Times New Roman" w:hAnsi="Times New Roman" w:cs="Times New Roman"/>
          <w:color w:val="000000" w:themeColor="text1"/>
        </w:rPr>
        <w:t>. Podcza</w:t>
      </w:r>
      <w:r w:rsidR="00EA22F0">
        <w:rPr>
          <w:rFonts w:ascii="Times New Roman" w:hAnsi="Times New Roman" w:cs="Times New Roman"/>
          <w:color w:val="000000" w:themeColor="text1"/>
        </w:rPr>
        <w:t>s</w:t>
      </w:r>
      <w:r>
        <w:rPr>
          <w:rFonts w:ascii="Times New Roman" w:hAnsi="Times New Roman" w:cs="Times New Roman"/>
          <w:color w:val="000000" w:themeColor="text1"/>
        </w:rPr>
        <w:t xml:space="preserve"> spotkań</w:t>
      </w:r>
      <w:r w:rsidR="00A17173">
        <w:rPr>
          <w:rFonts w:ascii="Times New Roman" w:hAnsi="Times New Roman" w:cs="Times New Roman"/>
          <w:color w:val="000000" w:themeColor="text1"/>
        </w:rPr>
        <w:t xml:space="preserve"> </w:t>
      </w:r>
      <w:r w:rsidR="00EA22F0">
        <w:rPr>
          <w:rFonts w:ascii="Times New Roman" w:hAnsi="Times New Roman" w:cs="Times New Roman"/>
          <w:color w:val="000000" w:themeColor="text1"/>
        </w:rPr>
        <w:t xml:space="preserve">na obydwu etapach </w:t>
      </w:r>
      <w:r w:rsidR="00A17173">
        <w:rPr>
          <w:rFonts w:ascii="Times New Roman" w:hAnsi="Times New Roman" w:cs="Times New Roman"/>
          <w:color w:val="000000" w:themeColor="text1"/>
        </w:rPr>
        <w:t xml:space="preserve">odbyła się dyskusja na temat problemów z jakimi mierzą się mieszkańcy obszaru oraz szans, które odpowiednio wykorzystane pomogą w rozwoju regionu. </w:t>
      </w:r>
      <w:r w:rsidR="005A56EF">
        <w:rPr>
          <w:rFonts w:ascii="Times New Roman" w:hAnsi="Times New Roman" w:cs="Times New Roman"/>
          <w:color w:val="000000" w:themeColor="text1"/>
        </w:rPr>
        <w:t xml:space="preserve">Podczas dyskusji mieszkańcy </w:t>
      </w:r>
      <w:r>
        <w:rPr>
          <w:rFonts w:ascii="Times New Roman" w:hAnsi="Times New Roman" w:cs="Times New Roman"/>
          <w:color w:val="000000" w:themeColor="text1"/>
        </w:rPr>
        <w:t>rozmawiali również o celach LSR</w:t>
      </w:r>
      <w:r w:rsidR="005A56EF">
        <w:rPr>
          <w:rFonts w:ascii="Times New Roman" w:hAnsi="Times New Roman" w:cs="Times New Roman"/>
          <w:color w:val="000000" w:themeColor="text1"/>
        </w:rPr>
        <w:t xml:space="preserve">, które warto realizować w kolejnej perspektywie. </w:t>
      </w:r>
    </w:p>
    <w:p w14:paraId="673BA0A3" w14:textId="62FAB90F" w:rsidR="00A17173" w:rsidRDefault="00A17173" w:rsidP="00247CB2">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Spotkania pozwoliły nie tylko na zdiagnozowanie potrzeb obszaru, ale również były istotne w określeniu przyszłych kierunków rozwoju. W spotkaniach uczestniczyło łącznie </w:t>
      </w:r>
      <w:r w:rsidR="00C36141">
        <w:rPr>
          <w:rFonts w:ascii="Times New Roman" w:hAnsi="Times New Roman" w:cs="Times New Roman"/>
          <w:color w:val="000000" w:themeColor="text1"/>
        </w:rPr>
        <w:t>237</w:t>
      </w:r>
      <w:r>
        <w:rPr>
          <w:rFonts w:ascii="Times New Roman" w:hAnsi="Times New Roman" w:cs="Times New Roman"/>
          <w:color w:val="000000" w:themeColor="text1"/>
        </w:rPr>
        <w:t xml:space="preserve"> osób, byli to zarówno lokalni przedsiębiorcy, jak i przedstawiciele stowarzyszeń, KWG oraz pracownicy jednostek samorządu terytorialnego. Wśród najczęściej wymienianych problemów przez uczestników spotkań znalazły się m.in.: niskie zarobki oraz brak atrakcyjnych ofert pracy na terenie obszaru, </w:t>
      </w:r>
      <w:r w:rsidR="0004157F">
        <w:rPr>
          <w:rFonts w:ascii="Times New Roman" w:hAnsi="Times New Roman" w:cs="Times New Roman"/>
          <w:color w:val="000000" w:themeColor="text1"/>
        </w:rPr>
        <w:t>depopulacja obszaru i odpływ młodych mieszkańców do większych miast</w:t>
      </w:r>
      <w:r>
        <w:rPr>
          <w:rFonts w:ascii="Times New Roman" w:hAnsi="Times New Roman" w:cs="Times New Roman"/>
          <w:color w:val="000000" w:themeColor="text1"/>
        </w:rPr>
        <w:t xml:space="preserve">, </w:t>
      </w:r>
      <w:r w:rsidR="0004157F">
        <w:rPr>
          <w:rFonts w:ascii="Times New Roman" w:hAnsi="Times New Roman" w:cs="Times New Roman"/>
          <w:color w:val="000000" w:themeColor="text1"/>
        </w:rPr>
        <w:t xml:space="preserve">słaba promocja obszaru, </w:t>
      </w:r>
      <w:r>
        <w:rPr>
          <w:rFonts w:ascii="Times New Roman" w:hAnsi="Times New Roman" w:cs="Times New Roman"/>
          <w:color w:val="000000" w:themeColor="text1"/>
        </w:rPr>
        <w:t>a także niewystarczając</w:t>
      </w:r>
      <w:r w:rsidR="00A760CC">
        <w:rPr>
          <w:rFonts w:ascii="Times New Roman" w:hAnsi="Times New Roman" w:cs="Times New Roman"/>
          <w:color w:val="000000" w:themeColor="text1"/>
        </w:rPr>
        <w:t>a</w:t>
      </w:r>
      <w:r>
        <w:rPr>
          <w:rFonts w:ascii="Times New Roman" w:hAnsi="Times New Roman" w:cs="Times New Roman"/>
          <w:color w:val="000000" w:themeColor="text1"/>
        </w:rPr>
        <w:t xml:space="preserve"> ofert</w:t>
      </w:r>
      <w:r w:rsidR="00A760CC">
        <w:rPr>
          <w:rFonts w:ascii="Times New Roman" w:hAnsi="Times New Roman" w:cs="Times New Roman"/>
          <w:color w:val="000000" w:themeColor="text1"/>
        </w:rPr>
        <w:t>a</w:t>
      </w:r>
      <w:r>
        <w:rPr>
          <w:rFonts w:ascii="Times New Roman" w:hAnsi="Times New Roman" w:cs="Times New Roman"/>
          <w:color w:val="000000" w:themeColor="text1"/>
        </w:rPr>
        <w:t xml:space="preserve"> spędzania czasu wolnego. Z kolei jako potencjał mieszkańcy wskazywali czyste środowisko, kulturę i tradycję lokalnej społeczności, atrakcyjny krajobraz oraz ukształtowanie terenu. Z rozmów z mieszkańcami wynikło, iż największe szanse na rozwój obszaru widzą we wspieraniu </w:t>
      </w:r>
      <w:r w:rsidR="0004157F">
        <w:rPr>
          <w:rFonts w:ascii="Times New Roman" w:hAnsi="Times New Roman" w:cs="Times New Roman"/>
          <w:color w:val="000000" w:themeColor="text1"/>
        </w:rPr>
        <w:t xml:space="preserve">kapitału ludzkiego oraz </w:t>
      </w:r>
      <w:r>
        <w:rPr>
          <w:rFonts w:ascii="Times New Roman" w:hAnsi="Times New Roman" w:cs="Times New Roman"/>
          <w:color w:val="000000" w:themeColor="text1"/>
        </w:rPr>
        <w:t>przedsiębiorczości</w:t>
      </w:r>
      <w:r w:rsidR="0004157F">
        <w:rPr>
          <w:rFonts w:ascii="Times New Roman" w:hAnsi="Times New Roman" w:cs="Times New Roman"/>
          <w:color w:val="000000" w:themeColor="text1"/>
        </w:rPr>
        <w:t>.</w:t>
      </w:r>
    </w:p>
    <w:p w14:paraId="21F20F99" w14:textId="1B0B0255" w:rsidR="008E67DE" w:rsidRPr="008E67DE" w:rsidRDefault="008E67DE" w:rsidP="008E67DE">
      <w:pPr>
        <w:pStyle w:val="podnagowek"/>
        <w:numPr>
          <w:ilvl w:val="0"/>
          <w:numId w:val="0"/>
        </w:numPr>
        <w:spacing w:after="0" w:line="276" w:lineRule="auto"/>
        <w:ind w:firstLine="794"/>
        <w:outlineLvl w:val="9"/>
        <w:rPr>
          <w:b w:val="0"/>
          <w:bCs w:val="0"/>
          <w:color w:val="auto"/>
          <w:sz w:val="22"/>
          <w:szCs w:val="22"/>
        </w:rPr>
      </w:pPr>
      <w:r>
        <w:rPr>
          <w:b w:val="0"/>
          <w:bCs w:val="0"/>
          <w:color w:val="auto"/>
          <w:sz w:val="22"/>
          <w:szCs w:val="22"/>
        </w:rPr>
        <w:t xml:space="preserve">Podczas prac nad LSR przeprowadzono dwa badania ankietowe. </w:t>
      </w:r>
      <w:r w:rsidRPr="00E97C19">
        <w:rPr>
          <w:b w:val="0"/>
          <w:bCs w:val="0"/>
          <w:color w:val="auto"/>
          <w:sz w:val="22"/>
          <w:szCs w:val="22"/>
        </w:rPr>
        <w:t>Ogłoszeni</w:t>
      </w:r>
      <w:r>
        <w:rPr>
          <w:b w:val="0"/>
          <w:bCs w:val="0"/>
          <w:color w:val="auto"/>
          <w:sz w:val="22"/>
          <w:szCs w:val="22"/>
        </w:rPr>
        <w:t>a</w:t>
      </w:r>
      <w:r w:rsidRPr="00E97C19">
        <w:rPr>
          <w:b w:val="0"/>
          <w:bCs w:val="0"/>
          <w:color w:val="auto"/>
          <w:sz w:val="22"/>
          <w:szCs w:val="22"/>
        </w:rPr>
        <w:t xml:space="preserve"> o ankietach został</w:t>
      </w:r>
      <w:r>
        <w:rPr>
          <w:b w:val="0"/>
          <w:bCs w:val="0"/>
          <w:color w:val="auto"/>
          <w:sz w:val="22"/>
          <w:szCs w:val="22"/>
        </w:rPr>
        <w:t xml:space="preserve">y </w:t>
      </w:r>
      <w:r w:rsidRPr="00E97C19">
        <w:rPr>
          <w:b w:val="0"/>
          <w:bCs w:val="0"/>
          <w:color w:val="auto"/>
          <w:sz w:val="22"/>
          <w:szCs w:val="22"/>
        </w:rPr>
        <w:t xml:space="preserve">zamieszczone na stronie </w:t>
      </w:r>
      <w:r>
        <w:rPr>
          <w:b w:val="0"/>
          <w:bCs w:val="0"/>
          <w:color w:val="auto"/>
          <w:sz w:val="22"/>
          <w:szCs w:val="22"/>
        </w:rPr>
        <w:t xml:space="preserve">internetowej </w:t>
      </w:r>
      <w:r w:rsidRPr="00E97C19">
        <w:rPr>
          <w:b w:val="0"/>
          <w:bCs w:val="0"/>
          <w:color w:val="auto"/>
          <w:sz w:val="22"/>
          <w:szCs w:val="22"/>
        </w:rPr>
        <w:t>LGD</w:t>
      </w:r>
      <w:r>
        <w:rPr>
          <w:b w:val="0"/>
          <w:bCs w:val="0"/>
          <w:color w:val="auto"/>
          <w:sz w:val="22"/>
          <w:szCs w:val="22"/>
        </w:rPr>
        <w:t xml:space="preserve"> </w:t>
      </w:r>
      <w:r w:rsidRPr="00E97C19">
        <w:rPr>
          <w:b w:val="0"/>
          <w:bCs w:val="0"/>
          <w:color w:val="auto"/>
          <w:sz w:val="22"/>
          <w:szCs w:val="22"/>
        </w:rPr>
        <w:t>oraz w mediach społecznościowych</w:t>
      </w:r>
      <w:r>
        <w:rPr>
          <w:b w:val="0"/>
          <w:bCs w:val="0"/>
          <w:color w:val="auto"/>
          <w:sz w:val="22"/>
          <w:szCs w:val="22"/>
        </w:rPr>
        <w:t>, na stronach gmin partnerskich</w:t>
      </w:r>
      <w:r w:rsidRPr="00E97C19">
        <w:rPr>
          <w:b w:val="0"/>
          <w:bCs w:val="0"/>
          <w:color w:val="auto"/>
          <w:sz w:val="22"/>
          <w:szCs w:val="22"/>
        </w:rPr>
        <w:t xml:space="preserve">, </w:t>
      </w:r>
      <w:r>
        <w:rPr>
          <w:b w:val="0"/>
          <w:bCs w:val="0"/>
          <w:color w:val="auto"/>
          <w:sz w:val="22"/>
          <w:szCs w:val="22"/>
        </w:rPr>
        <w:br/>
      </w:r>
      <w:r w:rsidRPr="00E97C19">
        <w:rPr>
          <w:b w:val="0"/>
          <w:bCs w:val="0"/>
          <w:color w:val="auto"/>
          <w:sz w:val="22"/>
          <w:szCs w:val="22"/>
        </w:rPr>
        <w:t xml:space="preserve">a także na słupach ogłoszeniowych oraz w budynkach urzędów, </w:t>
      </w:r>
      <w:r>
        <w:rPr>
          <w:b w:val="0"/>
          <w:bCs w:val="0"/>
          <w:color w:val="auto"/>
          <w:sz w:val="22"/>
          <w:szCs w:val="22"/>
        </w:rPr>
        <w:t xml:space="preserve">natomiast </w:t>
      </w:r>
      <w:r w:rsidRPr="00E97C19">
        <w:rPr>
          <w:b w:val="0"/>
          <w:bCs w:val="0"/>
          <w:color w:val="auto"/>
          <w:sz w:val="22"/>
          <w:szCs w:val="22"/>
        </w:rPr>
        <w:t xml:space="preserve">członkowie LGD byli również poinformowani o ankietach wiadomościami </w:t>
      </w:r>
      <w:r>
        <w:rPr>
          <w:b w:val="0"/>
          <w:bCs w:val="0"/>
          <w:color w:val="auto"/>
          <w:sz w:val="22"/>
          <w:szCs w:val="22"/>
        </w:rPr>
        <w:t>email.</w:t>
      </w:r>
      <w:r w:rsidR="00A63AAD">
        <w:rPr>
          <w:b w:val="0"/>
          <w:bCs w:val="0"/>
          <w:color w:val="auto"/>
          <w:sz w:val="22"/>
          <w:szCs w:val="22"/>
        </w:rPr>
        <w:t xml:space="preserve"> Ankiety można było wypełniać online bądź w wersji papierowej.</w:t>
      </w:r>
    </w:p>
    <w:p w14:paraId="758E786F" w14:textId="3DF660EF" w:rsidR="00A17173" w:rsidRDefault="00A63AAD" w:rsidP="00247CB2">
      <w:pPr>
        <w:spacing w:after="0" w:line="276" w:lineRule="auto"/>
        <w:ind w:firstLine="709"/>
        <w:jc w:val="both"/>
        <w:rPr>
          <w:rFonts w:ascii="Times New Roman" w:hAnsi="Times New Roman" w:cs="Times New Roman"/>
          <w:color w:val="000000" w:themeColor="text1"/>
        </w:rPr>
      </w:pPr>
      <w:r w:rsidRPr="00A63AAD">
        <w:rPr>
          <w:rFonts w:ascii="Times New Roman" w:hAnsi="Times New Roman" w:cs="Times New Roman"/>
        </w:rPr>
        <w:t>W dniach 1</w:t>
      </w:r>
      <w:r w:rsidR="006A2253">
        <w:rPr>
          <w:rFonts w:ascii="Times New Roman" w:hAnsi="Times New Roman" w:cs="Times New Roman"/>
        </w:rPr>
        <w:t>6.11</w:t>
      </w:r>
      <w:r w:rsidRPr="00A63AAD">
        <w:rPr>
          <w:rFonts w:ascii="Times New Roman" w:hAnsi="Times New Roman" w:cs="Times New Roman"/>
        </w:rPr>
        <w:t>–</w:t>
      </w:r>
      <w:r w:rsidR="006A2253">
        <w:rPr>
          <w:rFonts w:ascii="Times New Roman" w:hAnsi="Times New Roman" w:cs="Times New Roman"/>
        </w:rPr>
        <w:t>16</w:t>
      </w:r>
      <w:r w:rsidRPr="00A63AAD">
        <w:rPr>
          <w:rFonts w:ascii="Times New Roman" w:hAnsi="Times New Roman" w:cs="Times New Roman"/>
        </w:rPr>
        <w:t>.</w:t>
      </w:r>
      <w:r w:rsidR="006A2253">
        <w:rPr>
          <w:rFonts w:ascii="Times New Roman" w:hAnsi="Times New Roman" w:cs="Times New Roman"/>
        </w:rPr>
        <w:t>12</w:t>
      </w:r>
      <w:r w:rsidRPr="00A63AAD">
        <w:rPr>
          <w:rFonts w:ascii="Times New Roman" w:hAnsi="Times New Roman" w:cs="Times New Roman"/>
        </w:rPr>
        <w:t>.2022 r. przeprowadzono wśród mieszkańców gmin LGD badanie ankietowe</w:t>
      </w:r>
      <w:r w:rsidRPr="003F6AB2">
        <w:t xml:space="preserve">. </w:t>
      </w:r>
      <w:r w:rsidR="006A2253">
        <w:br/>
      </w:r>
      <w:r w:rsidR="00A17173">
        <w:rPr>
          <w:rFonts w:ascii="Times New Roman" w:hAnsi="Times New Roman" w:cs="Times New Roman"/>
          <w:color w:val="000000" w:themeColor="text1"/>
        </w:rPr>
        <w:t xml:space="preserve">W ankiecie udział wzięło </w:t>
      </w:r>
      <w:r w:rsidR="006A1E60">
        <w:rPr>
          <w:rFonts w:ascii="Times New Roman" w:hAnsi="Times New Roman" w:cs="Times New Roman"/>
          <w:color w:val="000000" w:themeColor="text1"/>
        </w:rPr>
        <w:t>8</w:t>
      </w:r>
      <w:r w:rsidR="00A17173">
        <w:rPr>
          <w:rFonts w:ascii="Times New Roman" w:hAnsi="Times New Roman" w:cs="Times New Roman"/>
          <w:color w:val="000000" w:themeColor="text1"/>
        </w:rPr>
        <w:t xml:space="preserve"> os</w:t>
      </w:r>
      <w:r w:rsidR="006A1E60">
        <w:rPr>
          <w:rFonts w:ascii="Times New Roman" w:hAnsi="Times New Roman" w:cs="Times New Roman"/>
          <w:color w:val="000000" w:themeColor="text1"/>
        </w:rPr>
        <w:t>ób</w:t>
      </w:r>
      <w:r w:rsidR="00A17173">
        <w:rPr>
          <w:rFonts w:ascii="Times New Roman" w:hAnsi="Times New Roman" w:cs="Times New Roman"/>
          <w:color w:val="000000" w:themeColor="text1"/>
        </w:rPr>
        <w:t xml:space="preserve">, z których </w:t>
      </w:r>
      <w:r w:rsidR="006A1E60">
        <w:rPr>
          <w:rFonts w:ascii="Times New Roman" w:hAnsi="Times New Roman" w:cs="Times New Roman"/>
          <w:color w:val="000000" w:themeColor="text1"/>
        </w:rPr>
        <w:t>75</w:t>
      </w:r>
      <w:r w:rsidR="00A17173">
        <w:rPr>
          <w:rFonts w:ascii="Times New Roman" w:hAnsi="Times New Roman" w:cs="Times New Roman"/>
          <w:color w:val="000000" w:themeColor="text1"/>
        </w:rPr>
        <w:t xml:space="preserve">%, to osoby w wieku 25–60 lat. </w:t>
      </w:r>
      <w:r w:rsidR="00A17173" w:rsidRPr="00C37064">
        <w:rPr>
          <w:rFonts w:ascii="Times New Roman" w:hAnsi="Times New Roman" w:cs="Times New Roman"/>
          <w:color w:val="000000" w:themeColor="text1"/>
        </w:rPr>
        <w:t>W badaniu ankietowym mieszkańcy mieli wskazać kluczowe mocne strony obszaru LGD</w:t>
      </w:r>
      <w:r w:rsidR="00A760CC">
        <w:rPr>
          <w:rFonts w:ascii="Times New Roman" w:hAnsi="Times New Roman" w:cs="Times New Roman"/>
          <w:color w:val="000000" w:themeColor="text1"/>
        </w:rPr>
        <w:t xml:space="preserve"> –</w:t>
      </w:r>
      <w:r w:rsidR="00A17173" w:rsidRPr="00C37064">
        <w:rPr>
          <w:rFonts w:ascii="Times New Roman" w:hAnsi="Times New Roman" w:cs="Times New Roman"/>
          <w:color w:val="000000" w:themeColor="text1"/>
        </w:rPr>
        <w:t xml:space="preserve"> wśród najczęściej wymienianych odpowiedzi pojawiły </w:t>
      </w:r>
      <w:r w:rsidR="00A760CC">
        <w:rPr>
          <w:rFonts w:ascii="Times New Roman" w:hAnsi="Times New Roman" w:cs="Times New Roman"/>
          <w:color w:val="000000" w:themeColor="text1"/>
        </w:rPr>
        <w:t xml:space="preserve">się: </w:t>
      </w:r>
      <w:r w:rsidR="006A1E60" w:rsidRPr="00C37064">
        <w:rPr>
          <w:rFonts w:ascii="Times New Roman" w:hAnsi="Times New Roman" w:cs="Times New Roman"/>
          <w:color w:val="000000" w:themeColor="text1"/>
        </w:rPr>
        <w:t>ciekawa historia i dziedzictwo kulturowe obszaru, w tym znane osobistości związane z obszarem i cenne zabytki (</w:t>
      </w:r>
      <w:r w:rsidR="006A1E60">
        <w:rPr>
          <w:rFonts w:ascii="Times New Roman" w:hAnsi="Times New Roman" w:cs="Times New Roman"/>
          <w:color w:val="000000" w:themeColor="text1"/>
        </w:rPr>
        <w:t>63</w:t>
      </w:r>
      <w:r w:rsidR="006A1E60" w:rsidRPr="00C37064">
        <w:rPr>
          <w:rFonts w:ascii="Times New Roman" w:hAnsi="Times New Roman" w:cs="Times New Roman"/>
          <w:color w:val="000000" w:themeColor="text1"/>
        </w:rPr>
        <w:t>% odpowiedzi)</w:t>
      </w:r>
      <w:r w:rsidR="006A1E60">
        <w:rPr>
          <w:rFonts w:ascii="Times New Roman" w:hAnsi="Times New Roman" w:cs="Times New Roman"/>
          <w:color w:val="000000" w:themeColor="text1"/>
        </w:rPr>
        <w:t xml:space="preserve"> oraz</w:t>
      </w:r>
      <w:r w:rsidR="00A17173" w:rsidRPr="00C37064">
        <w:rPr>
          <w:rFonts w:ascii="Times New Roman" w:hAnsi="Times New Roman" w:cs="Times New Roman"/>
          <w:color w:val="000000" w:themeColor="text1"/>
        </w:rPr>
        <w:t xml:space="preserve"> unikatowe walory przyrodniczo-krajobrazowe i czyste środowisko naturalne, w tym różnorodne formy ochrony przyrody (</w:t>
      </w:r>
      <w:r w:rsidR="006A1E60">
        <w:rPr>
          <w:rFonts w:ascii="Times New Roman" w:hAnsi="Times New Roman" w:cs="Times New Roman"/>
          <w:color w:val="000000" w:themeColor="text1"/>
        </w:rPr>
        <w:t>50</w:t>
      </w:r>
      <w:r w:rsidR="00A17173" w:rsidRPr="00C37064">
        <w:rPr>
          <w:rFonts w:ascii="Times New Roman" w:hAnsi="Times New Roman" w:cs="Times New Roman"/>
          <w:color w:val="000000" w:themeColor="text1"/>
        </w:rPr>
        <w:t>% odpowiedzi)</w:t>
      </w:r>
      <w:r w:rsidR="006A1E60">
        <w:rPr>
          <w:rFonts w:ascii="Times New Roman" w:hAnsi="Times New Roman" w:cs="Times New Roman"/>
          <w:color w:val="000000" w:themeColor="text1"/>
        </w:rPr>
        <w:t>.</w:t>
      </w:r>
      <w:r w:rsidR="00A17173" w:rsidRPr="00C37064">
        <w:rPr>
          <w:rFonts w:ascii="Times New Roman" w:hAnsi="Times New Roman" w:cs="Times New Roman"/>
          <w:color w:val="000000" w:themeColor="text1"/>
        </w:rPr>
        <w:t xml:space="preserve"> W kolejnym pytaniu ankietowani zostali zapytani o słabe strony obszaru LGD</w:t>
      </w:r>
      <w:r w:rsidR="00A760CC">
        <w:rPr>
          <w:rFonts w:ascii="Times New Roman" w:hAnsi="Times New Roman" w:cs="Times New Roman"/>
          <w:color w:val="000000" w:themeColor="text1"/>
        </w:rPr>
        <w:t xml:space="preserve"> –</w:t>
      </w:r>
      <w:r w:rsidR="00A17173" w:rsidRPr="00C37064">
        <w:rPr>
          <w:rFonts w:ascii="Times New Roman" w:hAnsi="Times New Roman" w:cs="Times New Roman"/>
          <w:color w:val="000000" w:themeColor="text1"/>
        </w:rPr>
        <w:t xml:space="preserve"> najwięcej respondentów wskazało na mało atrakcyjny rynek pracy (</w:t>
      </w:r>
      <w:r w:rsidR="006A1E60">
        <w:rPr>
          <w:rFonts w:ascii="Times New Roman" w:hAnsi="Times New Roman" w:cs="Times New Roman"/>
          <w:color w:val="000000" w:themeColor="text1"/>
        </w:rPr>
        <w:t>88</w:t>
      </w:r>
      <w:r w:rsidR="00A17173" w:rsidRPr="00C37064">
        <w:rPr>
          <w:rFonts w:ascii="Times New Roman" w:hAnsi="Times New Roman" w:cs="Times New Roman"/>
          <w:color w:val="000000" w:themeColor="text1"/>
        </w:rPr>
        <w:t xml:space="preserve">% odpowiedzi), </w:t>
      </w:r>
      <w:r w:rsidR="006A1E60">
        <w:rPr>
          <w:rFonts w:ascii="Times New Roman" w:hAnsi="Times New Roman" w:cs="Times New Roman"/>
          <w:color w:val="000000" w:themeColor="text1"/>
        </w:rPr>
        <w:t>a także niską aktywność społeczną mieszkańców i ich ubożeni</w:t>
      </w:r>
      <w:r w:rsidR="00A760CC">
        <w:rPr>
          <w:rFonts w:ascii="Times New Roman" w:hAnsi="Times New Roman" w:cs="Times New Roman"/>
          <w:color w:val="000000" w:themeColor="text1"/>
        </w:rPr>
        <w:t>e</w:t>
      </w:r>
      <w:r w:rsidR="006A1E60">
        <w:rPr>
          <w:rFonts w:ascii="Times New Roman" w:hAnsi="Times New Roman" w:cs="Times New Roman"/>
          <w:color w:val="000000" w:themeColor="text1"/>
        </w:rPr>
        <w:t xml:space="preserve"> </w:t>
      </w:r>
      <w:r w:rsidR="00A17173" w:rsidRPr="00C37064">
        <w:rPr>
          <w:rFonts w:ascii="Times New Roman" w:hAnsi="Times New Roman" w:cs="Times New Roman"/>
          <w:color w:val="000000" w:themeColor="text1"/>
        </w:rPr>
        <w:t>(</w:t>
      </w:r>
      <w:r w:rsidR="006A1E60">
        <w:rPr>
          <w:rFonts w:ascii="Times New Roman" w:hAnsi="Times New Roman" w:cs="Times New Roman"/>
          <w:color w:val="000000" w:themeColor="text1"/>
        </w:rPr>
        <w:t>po 38</w:t>
      </w:r>
      <w:r w:rsidR="00A17173" w:rsidRPr="00C37064">
        <w:rPr>
          <w:rFonts w:ascii="Times New Roman" w:hAnsi="Times New Roman" w:cs="Times New Roman"/>
          <w:color w:val="000000" w:themeColor="text1"/>
        </w:rPr>
        <w:t>% odpowiedzi)</w:t>
      </w:r>
      <w:r w:rsidR="006A1E60">
        <w:rPr>
          <w:rFonts w:ascii="Times New Roman" w:hAnsi="Times New Roman" w:cs="Times New Roman"/>
          <w:color w:val="000000" w:themeColor="text1"/>
        </w:rPr>
        <w:t xml:space="preserve">. </w:t>
      </w:r>
      <w:r w:rsidR="00A17173" w:rsidRPr="00C37064">
        <w:rPr>
          <w:rFonts w:ascii="Times New Roman" w:hAnsi="Times New Roman" w:cs="Times New Roman"/>
          <w:color w:val="000000" w:themeColor="text1"/>
        </w:rPr>
        <w:t>Następne pytanie dotyczyło najważniejszych szans rozwoju jakie stoją przed obszarem LGD</w:t>
      </w:r>
      <w:r w:rsidR="00A760CC">
        <w:rPr>
          <w:rFonts w:ascii="Times New Roman" w:hAnsi="Times New Roman" w:cs="Times New Roman"/>
          <w:color w:val="000000" w:themeColor="text1"/>
        </w:rPr>
        <w:t xml:space="preserve"> –</w:t>
      </w:r>
      <w:r w:rsidR="00A17173" w:rsidRPr="00C37064">
        <w:rPr>
          <w:rFonts w:ascii="Times New Roman" w:hAnsi="Times New Roman" w:cs="Times New Roman"/>
          <w:color w:val="000000" w:themeColor="text1"/>
        </w:rPr>
        <w:t xml:space="preserve"> respondenci wskazywali </w:t>
      </w:r>
      <w:r w:rsidR="00A760CC">
        <w:rPr>
          <w:rFonts w:ascii="Times New Roman" w:hAnsi="Times New Roman" w:cs="Times New Roman"/>
          <w:color w:val="000000" w:themeColor="text1"/>
        </w:rPr>
        <w:t xml:space="preserve">na </w:t>
      </w:r>
      <w:r w:rsidR="006A1E60" w:rsidRPr="00C37064">
        <w:rPr>
          <w:rFonts w:ascii="Times New Roman" w:hAnsi="Times New Roman" w:cs="Times New Roman"/>
          <w:color w:val="000000" w:themeColor="text1"/>
        </w:rPr>
        <w:t>cyfryzacj</w:t>
      </w:r>
      <w:r w:rsidR="00A760CC">
        <w:rPr>
          <w:rFonts w:ascii="Times New Roman" w:hAnsi="Times New Roman" w:cs="Times New Roman"/>
          <w:color w:val="000000" w:themeColor="text1"/>
        </w:rPr>
        <w:t>ę</w:t>
      </w:r>
      <w:r w:rsidR="006A1E60" w:rsidRPr="00C37064">
        <w:rPr>
          <w:rFonts w:ascii="Times New Roman" w:hAnsi="Times New Roman" w:cs="Times New Roman"/>
          <w:color w:val="000000" w:themeColor="text1"/>
        </w:rPr>
        <w:t xml:space="preserve"> życia codziennego, w tym rosnące możliwości pracy zdalnej (</w:t>
      </w:r>
      <w:r w:rsidR="006A1E60">
        <w:rPr>
          <w:rFonts w:ascii="Times New Roman" w:hAnsi="Times New Roman" w:cs="Times New Roman"/>
          <w:color w:val="000000" w:themeColor="text1"/>
        </w:rPr>
        <w:t>63</w:t>
      </w:r>
      <w:r w:rsidR="006A1E60" w:rsidRPr="00C37064">
        <w:rPr>
          <w:rFonts w:ascii="Times New Roman" w:hAnsi="Times New Roman" w:cs="Times New Roman"/>
          <w:color w:val="000000" w:themeColor="text1"/>
        </w:rPr>
        <w:t>% odpowiedzi)</w:t>
      </w:r>
      <w:r w:rsidR="006A1E60">
        <w:rPr>
          <w:rFonts w:ascii="Times New Roman" w:hAnsi="Times New Roman" w:cs="Times New Roman"/>
          <w:color w:val="000000" w:themeColor="text1"/>
        </w:rPr>
        <w:t xml:space="preserve"> oraz </w:t>
      </w:r>
      <w:r w:rsidR="00A17173" w:rsidRPr="00C37064">
        <w:rPr>
          <w:rFonts w:ascii="Times New Roman" w:hAnsi="Times New Roman" w:cs="Times New Roman"/>
          <w:color w:val="000000" w:themeColor="text1"/>
        </w:rPr>
        <w:t>na wzrost świadomości ekologicznej (</w:t>
      </w:r>
      <w:r w:rsidR="006A1E60">
        <w:rPr>
          <w:rFonts w:ascii="Times New Roman" w:hAnsi="Times New Roman" w:cs="Times New Roman"/>
          <w:color w:val="000000" w:themeColor="text1"/>
        </w:rPr>
        <w:t>63</w:t>
      </w:r>
      <w:r w:rsidR="00A17173" w:rsidRPr="00C37064">
        <w:rPr>
          <w:rFonts w:ascii="Times New Roman" w:hAnsi="Times New Roman" w:cs="Times New Roman"/>
          <w:color w:val="000000" w:themeColor="text1"/>
        </w:rPr>
        <w:t>% odpowiedzi)</w:t>
      </w:r>
      <w:r w:rsidR="006A1E60">
        <w:rPr>
          <w:rFonts w:ascii="Times New Roman" w:hAnsi="Times New Roman" w:cs="Times New Roman"/>
          <w:color w:val="000000" w:themeColor="text1"/>
        </w:rPr>
        <w:t>.</w:t>
      </w:r>
      <w:r w:rsidR="00A760CC">
        <w:rPr>
          <w:rFonts w:ascii="Times New Roman" w:hAnsi="Times New Roman" w:cs="Times New Roman"/>
          <w:color w:val="000000" w:themeColor="text1"/>
        </w:rPr>
        <w:t xml:space="preserve"> </w:t>
      </w:r>
      <w:r w:rsidR="00A17173" w:rsidRPr="00C37064">
        <w:rPr>
          <w:rFonts w:ascii="Times New Roman" w:hAnsi="Times New Roman" w:cs="Times New Roman"/>
          <w:color w:val="000000" w:themeColor="text1"/>
        </w:rPr>
        <w:t>W pytaniu dotyczącym najistotniejszych zagrożeń jakie mogą być barierą dla rozwoju</w:t>
      </w:r>
      <w:r w:rsidR="00A760CC">
        <w:rPr>
          <w:rFonts w:ascii="Times New Roman" w:hAnsi="Times New Roman" w:cs="Times New Roman"/>
          <w:color w:val="000000" w:themeColor="text1"/>
        </w:rPr>
        <w:t>,</w:t>
      </w:r>
      <w:r w:rsidR="00A17173" w:rsidRPr="00C37064">
        <w:rPr>
          <w:rFonts w:ascii="Times New Roman" w:hAnsi="Times New Roman" w:cs="Times New Roman"/>
          <w:color w:val="000000" w:themeColor="text1"/>
        </w:rPr>
        <w:t xml:space="preserve"> najczęściej wskazywano na wzrost kosztów życia (</w:t>
      </w:r>
      <w:r w:rsidR="006A1E60">
        <w:rPr>
          <w:rFonts w:ascii="Times New Roman" w:hAnsi="Times New Roman" w:cs="Times New Roman"/>
          <w:color w:val="000000" w:themeColor="text1"/>
        </w:rPr>
        <w:t>75</w:t>
      </w:r>
      <w:r w:rsidR="00A17173" w:rsidRPr="00C37064">
        <w:rPr>
          <w:rFonts w:ascii="Times New Roman" w:hAnsi="Times New Roman" w:cs="Times New Roman"/>
          <w:color w:val="000000" w:themeColor="text1"/>
        </w:rPr>
        <w:t>% odpowiedzi)</w:t>
      </w:r>
      <w:r w:rsidR="006A1E60">
        <w:rPr>
          <w:rFonts w:ascii="Times New Roman" w:hAnsi="Times New Roman" w:cs="Times New Roman"/>
          <w:color w:val="000000" w:themeColor="text1"/>
        </w:rPr>
        <w:t xml:space="preserve"> oraz k</w:t>
      </w:r>
      <w:r w:rsidR="006A1E60" w:rsidRPr="006A1E60">
        <w:rPr>
          <w:rFonts w:ascii="Times New Roman" w:hAnsi="Times New Roman" w:cs="Times New Roman"/>
          <w:color w:val="000000" w:themeColor="text1"/>
        </w:rPr>
        <w:t>onsekwencje społeczne i gospodarcze związane z występowaniem pandemii COVID-19, wojny w Ukrainie i ewentualnych innych nieprzewidzianych wydarzeń</w:t>
      </w:r>
      <w:r w:rsidR="006A1E60">
        <w:rPr>
          <w:rFonts w:ascii="Times New Roman" w:hAnsi="Times New Roman" w:cs="Times New Roman"/>
          <w:color w:val="000000" w:themeColor="text1"/>
        </w:rPr>
        <w:t xml:space="preserve"> (63% odpowiedzi)</w:t>
      </w:r>
      <w:r w:rsidR="00A17173" w:rsidRPr="00C37064">
        <w:rPr>
          <w:rFonts w:ascii="Times New Roman" w:hAnsi="Times New Roman" w:cs="Times New Roman"/>
          <w:color w:val="000000" w:themeColor="text1"/>
        </w:rPr>
        <w:t>. W pytaniu otwartym dotyczącym największych potencjałów obszaru</w:t>
      </w:r>
      <w:r w:rsidR="00A760CC">
        <w:rPr>
          <w:rFonts w:ascii="Times New Roman" w:hAnsi="Times New Roman" w:cs="Times New Roman"/>
          <w:color w:val="000000" w:themeColor="text1"/>
        </w:rPr>
        <w:t>,</w:t>
      </w:r>
      <w:r w:rsidR="00A17173" w:rsidRPr="00C37064">
        <w:rPr>
          <w:rFonts w:ascii="Times New Roman" w:hAnsi="Times New Roman" w:cs="Times New Roman"/>
          <w:color w:val="000000" w:themeColor="text1"/>
        </w:rPr>
        <w:t xml:space="preserve"> wskazywano walory przyrodnicze</w:t>
      </w:r>
      <w:r w:rsidR="006A1E60">
        <w:rPr>
          <w:rFonts w:ascii="Times New Roman" w:hAnsi="Times New Roman" w:cs="Times New Roman"/>
          <w:color w:val="000000" w:themeColor="text1"/>
        </w:rPr>
        <w:t xml:space="preserve"> i czyste środowisko, a także turystykę</w:t>
      </w:r>
      <w:r w:rsidR="00A17173" w:rsidRPr="00C37064">
        <w:rPr>
          <w:rFonts w:ascii="Times New Roman" w:hAnsi="Times New Roman" w:cs="Times New Roman"/>
          <w:color w:val="000000" w:themeColor="text1"/>
        </w:rPr>
        <w:t>. W ostatnim otwartym pytaniu, w którym respondenci mieli wskazać</w:t>
      </w:r>
      <w:r w:rsidR="00A760CC">
        <w:rPr>
          <w:rFonts w:ascii="Times New Roman" w:hAnsi="Times New Roman" w:cs="Times New Roman"/>
          <w:color w:val="000000" w:themeColor="text1"/>
        </w:rPr>
        <w:t>,</w:t>
      </w:r>
      <w:r w:rsidR="00A17173" w:rsidRPr="00C37064">
        <w:rPr>
          <w:rFonts w:ascii="Times New Roman" w:hAnsi="Times New Roman" w:cs="Times New Roman"/>
          <w:color w:val="000000" w:themeColor="text1"/>
        </w:rPr>
        <w:t xml:space="preserve"> co powinno wyróżniać obszar</w:t>
      </w:r>
      <w:r w:rsidR="00A760CC">
        <w:rPr>
          <w:rFonts w:ascii="Times New Roman" w:hAnsi="Times New Roman" w:cs="Times New Roman"/>
          <w:color w:val="000000" w:themeColor="text1"/>
        </w:rPr>
        <w:t>,</w:t>
      </w:r>
      <w:r w:rsidR="00A17173" w:rsidRPr="00C37064">
        <w:rPr>
          <w:rFonts w:ascii="Times New Roman" w:hAnsi="Times New Roman" w:cs="Times New Roman"/>
          <w:color w:val="000000" w:themeColor="text1"/>
        </w:rPr>
        <w:t xml:space="preserve"> </w:t>
      </w:r>
      <w:r w:rsidR="00A760CC">
        <w:rPr>
          <w:rFonts w:ascii="Times New Roman" w:hAnsi="Times New Roman" w:cs="Times New Roman"/>
          <w:color w:val="000000" w:themeColor="text1"/>
        </w:rPr>
        <w:t>podano</w:t>
      </w:r>
      <w:r w:rsidR="00A17173" w:rsidRPr="00C37064">
        <w:rPr>
          <w:rFonts w:ascii="Times New Roman" w:hAnsi="Times New Roman" w:cs="Times New Roman"/>
          <w:color w:val="000000" w:themeColor="text1"/>
        </w:rPr>
        <w:t xml:space="preserve"> różne odpowiedzi, takie jak: czyste środowisko</w:t>
      </w:r>
      <w:r w:rsidR="006A1E60">
        <w:rPr>
          <w:rFonts w:ascii="Times New Roman" w:hAnsi="Times New Roman" w:cs="Times New Roman"/>
          <w:color w:val="000000" w:themeColor="text1"/>
        </w:rPr>
        <w:t>, produkt lokalny oraz wzrost przedsiębiorczości mieszkańców.</w:t>
      </w:r>
    </w:p>
    <w:p w14:paraId="7E5C0B59" w14:textId="338DBCE9" w:rsidR="00990C31" w:rsidRDefault="006A2253" w:rsidP="00247CB2">
      <w:pPr>
        <w:spacing w:after="0" w:line="276" w:lineRule="auto"/>
        <w:ind w:firstLine="709"/>
        <w:jc w:val="both"/>
        <w:rPr>
          <w:rFonts w:ascii="Times New Roman" w:hAnsi="Times New Roman" w:cs="Times New Roman"/>
          <w:color w:val="000000" w:themeColor="text1"/>
        </w:rPr>
      </w:pPr>
      <w:r w:rsidRPr="006A2253">
        <w:rPr>
          <w:rFonts w:ascii="Times New Roman" w:hAnsi="Times New Roman" w:cs="Times New Roman"/>
        </w:rPr>
        <w:t xml:space="preserve">Kolejny etap prac również obejmował przeprowadzenie ankiet, które pozwoliły określić przyszłe kierunki rozwoju obszaru. Ankiety były dostępne od </w:t>
      </w:r>
      <w:r>
        <w:rPr>
          <w:rFonts w:ascii="Times New Roman" w:hAnsi="Times New Roman" w:cs="Times New Roman"/>
        </w:rPr>
        <w:t>03–</w:t>
      </w:r>
      <w:r w:rsidRPr="006A2253">
        <w:rPr>
          <w:rFonts w:ascii="Times New Roman" w:hAnsi="Times New Roman" w:cs="Times New Roman"/>
        </w:rPr>
        <w:t>31.01.2023 r.</w:t>
      </w:r>
      <w:r w:rsidRPr="00644261">
        <w:t xml:space="preserve"> </w:t>
      </w:r>
      <w:r w:rsidR="00990C31">
        <w:rPr>
          <w:rFonts w:ascii="Times New Roman" w:hAnsi="Times New Roman" w:cs="Times New Roman"/>
          <w:color w:val="000000" w:themeColor="text1"/>
        </w:rPr>
        <w:t>W ankiecie udział wzięł</w:t>
      </w:r>
      <w:r w:rsidR="00A760CC">
        <w:rPr>
          <w:rFonts w:ascii="Times New Roman" w:hAnsi="Times New Roman" w:cs="Times New Roman"/>
          <w:color w:val="000000" w:themeColor="text1"/>
        </w:rPr>
        <w:t>y</w:t>
      </w:r>
      <w:r w:rsidR="00990C31">
        <w:rPr>
          <w:rFonts w:ascii="Times New Roman" w:hAnsi="Times New Roman" w:cs="Times New Roman"/>
          <w:color w:val="000000" w:themeColor="text1"/>
        </w:rPr>
        <w:t xml:space="preserve"> </w:t>
      </w:r>
      <w:r w:rsidR="00EA22F0">
        <w:rPr>
          <w:rFonts w:ascii="Times New Roman" w:hAnsi="Times New Roman" w:cs="Times New Roman"/>
          <w:color w:val="000000" w:themeColor="text1"/>
        </w:rPr>
        <w:t>4</w:t>
      </w:r>
      <w:r w:rsidR="00990C31">
        <w:rPr>
          <w:rFonts w:ascii="Times New Roman" w:hAnsi="Times New Roman" w:cs="Times New Roman"/>
          <w:color w:val="000000" w:themeColor="text1"/>
        </w:rPr>
        <w:t xml:space="preserve"> os</w:t>
      </w:r>
      <w:r w:rsidR="00EA22F0">
        <w:rPr>
          <w:rFonts w:ascii="Times New Roman" w:hAnsi="Times New Roman" w:cs="Times New Roman"/>
          <w:color w:val="000000" w:themeColor="text1"/>
        </w:rPr>
        <w:t>o</w:t>
      </w:r>
      <w:r w:rsidR="00990C31">
        <w:rPr>
          <w:rFonts w:ascii="Times New Roman" w:hAnsi="Times New Roman" w:cs="Times New Roman"/>
          <w:color w:val="000000" w:themeColor="text1"/>
        </w:rPr>
        <w:t>b</w:t>
      </w:r>
      <w:r w:rsidR="00EA22F0">
        <w:rPr>
          <w:rFonts w:ascii="Times New Roman" w:hAnsi="Times New Roman" w:cs="Times New Roman"/>
          <w:color w:val="000000" w:themeColor="text1"/>
        </w:rPr>
        <w:t>y</w:t>
      </w:r>
      <w:r w:rsidR="00A760CC">
        <w:rPr>
          <w:rFonts w:ascii="Times New Roman" w:hAnsi="Times New Roman" w:cs="Times New Roman"/>
          <w:color w:val="000000" w:themeColor="text1"/>
        </w:rPr>
        <w:t>,</w:t>
      </w:r>
      <w:r w:rsidR="00990C31">
        <w:rPr>
          <w:rFonts w:ascii="Times New Roman" w:hAnsi="Times New Roman" w:cs="Times New Roman"/>
          <w:color w:val="000000" w:themeColor="text1"/>
        </w:rPr>
        <w:t xml:space="preserve"> z czego 7</w:t>
      </w:r>
      <w:r w:rsidR="00EA22F0">
        <w:rPr>
          <w:rFonts w:ascii="Times New Roman" w:hAnsi="Times New Roman" w:cs="Times New Roman"/>
          <w:color w:val="000000" w:themeColor="text1"/>
        </w:rPr>
        <w:t>5</w:t>
      </w:r>
      <w:r w:rsidR="00990C31">
        <w:rPr>
          <w:rFonts w:ascii="Times New Roman" w:hAnsi="Times New Roman" w:cs="Times New Roman"/>
          <w:color w:val="000000" w:themeColor="text1"/>
        </w:rPr>
        <w:t xml:space="preserve">% ankietowanych stanowiły kobiety, </w:t>
      </w:r>
      <w:r w:rsidR="00EA22F0">
        <w:rPr>
          <w:rFonts w:ascii="Times New Roman" w:hAnsi="Times New Roman" w:cs="Times New Roman"/>
          <w:color w:val="000000" w:themeColor="text1"/>
        </w:rPr>
        <w:t>100</w:t>
      </w:r>
      <w:r w:rsidR="00990C31">
        <w:rPr>
          <w:rFonts w:ascii="Times New Roman" w:hAnsi="Times New Roman" w:cs="Times New Roman"/>
          <w:color w:val="000000" w:themeColor="text1"/>
        </w:rPr>
        <w:t xml:space="preserve">% osoby </w:t>
      </w:r>
      <w:r w:rsidR="00A760CC">
        <w:rPr>
          <w:rFonts w:ascii="Times New Roman" w:hAnsi="Times New Roman" w:cs="Times New Roman"/>
          <w:color w:val="000000" w:themeColor="text1"/>
        </w:rPr>
        <w:t>w wieku</w:t>
      </w:r>
      <w:r w:rsidR="00990C31">
        <w:rPr>
          <w:rFonts w:ascii="Times New Roman" w:hAnsi="Times New Roman" w:cs="Times New Roman"/>
          <w:color w:val="000000" w:themeColor="text1"/>
        </w:rPr>
        <w:t xml:space="preserve"> 25–60 lat. Ankietę wypełniały osoby z sektora społecznego</w:t>
      </w:r>
      <w:r w:rsidR="00EA22F0">
        <w:rPr>
          <w:rFonts w:ascii="Times New Roman" w:hAnsi="Times New Roman" w:cs="Times New Roman"/>
          <w:color w:val="000000" w:themeColor="text1"/>
        </w:rPr>
        <w:t xml:space="preserve"> i gospodarczego</w:t>
      </w:r>
      <w:r w:rsidR="00990C31">
        <w:rPr>
          <w:rFonts w:ascii="Times New Roman" w:hAnsi="Times New Roman" w:cs="Times New Roman"/>
          <w:color w:val="000000" w:themeColor="text1"/>
        </w:rPr>
        <w:t xml:space="preserve"> (</w:t>
      </w:r>
      <w:r w:rsidR="00EA22F0">
        <w:rPr>
          <w:rFonts w:ascii="Times New Roman" w:hAnsi="Times New Roman" w:cs="Times New Roman"/>
          <w:color w:val="000000" w:themeColor="text1"/>
        </w:rPr>
        <w:t>po 5</w:t>
      </w:r>
      <w:r w:rsidR="00990C31">
        <w:rPr>
          <w:rFonts w:ascii="Times New Roman" w:hAnsi="Times New Roman" w:cs="Times New Roman"/>
          <w:color w:val="000000" w:themeColor="text1"/>
        </w:rPr>
        <w:t>0%</w:t>
      </w:r>
      <w:r w:rsidR="00EA22F0">
        <w:rPr>
          <w:rFonts w:ascii="Times New Roman" w:hAnsi="Times New Roman" w:cs="Times New Roman"/>
          <w:color w:val="000000" w:themeColor="text1"/>
        </w:rPr>
        <w:t xml:space="preserve"> odpowiedzi</w:t>
      </w:r>
      <w:r w:rsidR="00990C31">
        <w:rPr>
          <w:rFonts w:ascii="Times New Roman" w:hAnsi="Times New Roman" w:cs="Times New Roman"/>
          <w:color w:val="000000" w:themeColor="text1"/>
        </w:rPr>
        <w:t>). Na pytanie dotyczące kierunków rozwoju LGD</w:t>
      </w:r>
      <w:r w:rsidR="00A760CC">
        <w:rPr>
          <w:rFonts w:ascii="Times New Roman" w:hAnsi="Times New Roman" w:cs="Times New Roman"/>
          <w:color w:val="000000" w:themeColor="text1"/>
        </w:rPr>
        <w:t>,</w:t>
      </w:r>
      <w:r w:rsidR="00990C31">
        <w:rPr>
          <w:rFonts w:ascii="Times New Roman" w:hAnsi="Times New Roman" w:cs="Times New Roman"/>
          <w:color w:val="000000" w:themeColor="text1"/>
        </w:rPr>
        <w:t xml:space="preserve"> </w:t>
      </w:r>
      <w:r w:rsidR="00EA22F0">
        <w:rPr>
          <w:rFonts w:ascii="Times New Roman" w:hAnsi="Times New Roman" w:cs="Times New Roman"/>
          <w:color w:val="000000" w:themeColor="text1"/>
        </w:rPr>
        <w:t>75% respondentów wskazało na wspieranie rozwoju przedsiębiorczości mieszkańców</w:t>
      </w:r>
      <w:r w:rsidR="00990C31">
        <w:rPr>
          <w:rFonts w:ascii="Times New Roman" w:hAnsi="Times New Roman" w:cs="Times New Roman"/>
          <w:color w:val="000000" w:themeColor="text1"/>
        </w:rPr>
        <w:t>. Kolejne z pytań dotyczyło grupy osób</w:t>
      </w:r>
      <w:r w:rsidR="00A760CC">
        <w:rPr>
          <w:rFonts w:ascii="Times New Roman" w:hAnsi="Times New Roman" w:cs="Times New Roman"/>
          <w:color w:val="000000" w:themeColor="text1"/>
        </w:rPr>
        <w:t>,</w:t>
      </w:r>
      <w:r w:rsidR="00990C31">
        <w:rPr>
          <w:rFonts w:ascii="Times New Roman" w:hAnsi="Times New Roman" w:cs="Times New Roman"/>
          <w:color w:val="000000" w:themeColor="text1"/>
        </w:rPr>
        <w:t xml:space="preserve"> do której powinny być skierowane działania</w:t>
      </w:r>
      <w:r w:rsidR="00A760CC">
        <w:rPr>
          <w:rFonts w:ascii="Times New Roman" w:hAnsi="Times New Roman" w:cs="Times New Roman"/>
          <w:color w:val="000000" w:themeColor="text1"/>
        </w:rPr>
        <w:t xml:space="preserve"> –</w:t>
      </w:r>
      <w:r w:rsidR="00990C31">
        <w:rPr>
          <w:rFonts w:ascii="Times New Roman" w:hAnsi="Times New Roman" w:cs="Times New Roman"/>
          <w:color w:val="000000" w:themeColor="text1"/>
        </w:rPr>
        <w:t xml:space="preserve"> mieszkańcy najczęściej wskazywali na </w:t>
      </w:r>
      <w:r w:rsidR="00EA22F0">
        <w:rPr>
          <w:rFonts w:ascii="Times New Roman" w:hAnsi="Times New Roman" w:cs="Times New Roman"/>
          <w:color w:val="000000" w:themeColor="text1"/>
        </w:rPr>
        <w:t>seniorów</w:t>
      </w:r>
      <w:r w:rsidR="00990C31">
        <w:rPr>
          <w:rFonts w:ascii="Times New Roman" w:hAnsi="Times New Roman" w:cs="Times New Roman"/>
          <w:color w:val="000000" w:themeColor="text1"/>
        </w:rPr>
        <w:t xml:space="preserve"> (</w:t>
      </w:r>
      <w:r w:rsidR="00EA22F0">
        <w:rPr>
          <w:rFonts w:ascii="Times New Roman" w:hAnsi="Times New Roman" w:cs="Times New Roman"/>
          <w:color w:val="000000" w:themeColor="text1"/>
        </w:rPr>
        <w:t>50</w:t>
      </w:r>
      <w:r w:rsidR="00990C31">
        <w:rPr>
          <w:rFonts w:ascii="Times New Roman" w:hAnsi="Times New Roman" w:cs="Times New Roman"/>
          <w:color w:val="000000" w:themeColor="text1"/>
        </w:rPr>
        <w:t>%</w:t>
      </w:r>
      <w:r w:rsidR="00EA22F0">
        <w:rPr>
          <w:rFonts w:ascii="Times New Roman" w:hAnsi="Times New Roman" w:cs="Times New Roman"/>
          <w:color w:val="000000" w:themeColor="text1"/>
        </w:rPr>
        <w:t xml:space="preserve"> odpowiedzi</w:t>
      </w:r>
      <w:r w:rsidR="00990C31">
        <w:rPr>
          <w:rFonts w:ascii="Times New Roman" w:hAnsi="Times New Roman" w:cs="Times New Roman"/>
          <w:color w:val="000000" w:themeColor="text1"/>
        </w:rPr>
        <w:t>)</w:t>
      </w:r>
      <w:r w:rsidR="00EA22F0">
        <w:rPr>
          <w:rFonts w:ascii="Times New Roman" w:hAnsi="Times New Roman" w:cs="Times New Roman"/>
          <w:color w:val="000000" w:themeColor="text1"/>
        </w:rPr>
        <w:t xml:space="preserve">. </w:t>
      </w:r>
      <w:r w:rsidR="00990C31">
        <w:rPr>
          <w:rFonts w:ascii="Times New Roman" w:hAnsi="Times New Roman" w:cs="Times New Roman"/>
          <w:color w:val="000000" w:themeColor="text1"/>
        </w:rPr>
        <w:t>Wśród najczęściej wymienianych rodzajów wsparcia jakie powinny być wdrożone na obszarze</w:t>
      </w:r>
      <w:r w:rsidR="00A760CC">
        <w:rPr>
          <w:rFonts w:ascii="Times New Roman" w:hAnsi="Times New Roman" w:cs="Times New Roman"/>
          <w:color w:val="000000" w:themeColor="text1"/>
        </w:rPr>
        <w:t>,</w:t>
      </w:r>
      <w:r w:rsidR="00990C31">
        <w:rPr>
          <w:rFonts w:ascii="Times New Roman" w:hAnsi="Times New Roman" w:cs="Times New Roman"/>
          <w:color w:val="000000" w:themeColor="text1"/>
        </w:rPr>
        <w:t xml:space="preserve"> ankietowani wskazali</w:t>
      </w:r>
      <w:r w:rsidR="00A760CC">
        <w:rPr>
          <w:rFonts w:ascii="Times New Roman" w:hAnsi="Times New Roman" w:cs="Times New Roman"/>
          <w:color w:val="000000" w:themeColor="text1"/>
        </w:rPr>
        <w:t>:</w:t>
      </w:r>
      <w:r w:rsidR="00990C31">
        <w:rPr>
          <w:rFonts w:ascii="Times New Roman" w:hAnsi="Times New Roman" w:cs="Times New Roman"/>
          <w:color w:val="000000" w:themeColor="text1"/>
        </w:rPr>
        <w:t xml:space="preserve"> r</w:t>
      </w:r>
      <w:r w:rsidR="00990C31" w:rsidRPr="00E44628">
        <w:rPr>
          <w:rFonts w:ascii="Times New Roman" w:hAnsi="Times New Roman" w:cs="Times New Roman"/>
          <w:color w:val="000000" w:themeColor="text1"/>
        </w:rPr>
        <w:t>ozwój pozarolniczych funkcji gospodarstw rolnych</w:t>
      </w:r>
      <w:r w:rsidR="00990C31">
        <w:rPr>
          <w:rFonts w:ascii="Times New Roman" w:hAnsi="Times New Roman" w:cs="Times New Roman"/>
          <w:color w:val="000000" w:themeColor="text1"/>
        </w:rPr>
        <w:t xml:space="preserve"> (</w:t>
      </w:r>
      <w:r w:rsidR="00EA22F0">
        <w:rPr>
          <w:rFonts w:ascii="Times New Roman" w:hAnsi="Times New Roman" w:cs="Times New Roman"/>
          <w:color w:val="000000" w:themeColor="text1"/>
        </w:rPr>
        <w:t>100</w:t>
      </w:r>
      <w:r w:rsidR="00990C31">
        <w:rPr>
          <w:rFonts w:ascii="Times New Roman" w:hAnsi="Times New Roman" w:cs="Times New Roman"/>
          <w:color w:val="000000" w:themeColor="text1"/>
        </w:rPr>
        <w:t>%</w:t>
      </w:r>
      <w:r w:rsidR="00EA22F0">
        <w:rPr>
          <w:rFonts w:ascii="Times New Roman" w:hAnsi="Times New Roman" w:cs="Times New Roman"/>
          <w:color w:val="000000" w:themeColor="text1"/>
        </w:rPr>
        <w:t xml:space="preserve"> odpowiedzi</w:t>
      </w:r>
      <w:r w:rsidR="00990C31">
        <w:rPr>
          <w:rFonts w:ascii="Times New Roman" w:hAnsi="Times New Roman" w:cs="Times New Roman"/>
          <w:color w:val="000000" w:themeColor="text1"/>
        </w:rPr>
        <w:t>)</w:t>
      </w:r>
      <w:r w:rsidR="00EA22F0">
        <w:rPr>
          <w:rFonts w:ascii="Times New Roman" w:hAnsi="Times New Roman" w:cs="Times New Roman"/>
          <w:color w:val="000000" w:themeColor="text1"/>
        </w:rPr>
        <w:t xml:space="preserve"> oraz k</w:t>
      </w:r>
      <w:r w:rsidR="00EA22F0" w:rsidRPr="00EA22F0">
        <w:rPr>
          <w:rFonts w:ascii="Times New Roman" w:hAnsi="Times New Roman" w:cs="Times New Roman"/>
          <w:color w:val="000000" w:themeColor="text1"/>
        </w:rPr>
        <w:t xml:space="preserve">ształtowanie świadomości obywatelskiej </w:t>
      </w:r>
      <w:r>
        <w:rPr>
          <w:rFonts w:ascii="Times New Roman" w:hAnsi="Times New Roman" w:cs="Times New Roman"/>
          <w:color w:val="000000" w:themeColor="text1"/>
        </w:rPr>
        <w:br/>
      </w:r>
      <w:r w:rsidR="00EA22F0" w:rsidRPr="00EA22F0">
        <w:rPr>
          <w:rFonts w:ascii="Times New Roman" w:hAnsi="Times New Roman" w:cs="Times New Roman"/>
          <w:color w:val="000000" w:themeColor="text1"/>
        </w:rPr>
        <w:t>o znaczeniu zrównoważonego rolnictwa, gospodarki rolno</w:t>
      </w:r>
      <w:r w:rsidR="00A760CC">
        <w:rPr>
          <w:rFonts w:ascii="Times New Roman" w:hAnsi="Times New Roman" w:cs="Times New Roman"/>
          <w:color w:val="000000" w:themeColor="text1"/>
        </w:rPr>
        <w:t>-</w:t>
      </w:r>
      <w:r w:rsidR="00EA22F0" w:rsidRPr="00EA22F0">
        <w:rPr>
          <w:rFonts w:ascii="Times New Roman" w:hAnsi="Times New Roman" w:cs="Times New Roman"/>
          <w:color w:val="000000" w:themeColor="text1"/>
        </w:rPr>
        <w:t>spożywczej, zielonej gospodarki, biogospodarki oraz ochrony dziedzictwa kulturowego i przyrodniczego polskiej wsi, a także wzmacnianie programów edukacji liderów życia publicznego i społecznego</w:t>
      </w:r>
      <w:r w:rsidR="00EA22F0">
        <w:rPr>
          <w:rFonts w:ascii="Times New Roman" w:hAnsi="Times New Roman" w:cs="Times New Roman"/>
          <w:color w:val="000000" w:themeColor="text1"/>
        </w:rPr>
        <w:t xml:space="preserve"> (75% odpowiedzi).</w:t>
      </w:r>
      <w:r w:rsidR="00990C31">
        <w:rPr>
          <w:rFonts w:ascii="Times New Roman" w:hAnsi="Times New Roman" w:cs="Times New Roman"/>
          <w:color w:val="000000" w:themeColor="text1"/>
        </w:rPr>
        <w:t xml:space="preserve"> Natomiast w pytaniu dotyczącym głównych form komunikacji</w:t>
      </w:r>
      <w:r w:rsidR="00A760CC">
        <w:rPr>
          <w:rFonts w:ascii="Times New Roman" w:hAnsi="Times New Roman" w:cs="Times New Roman"/>
          <w:color w:val="000000" w:themeColor="text1"/>
        </w:rPr>
        <w:t>,</w:t>
      </w:r>
      <w:r w:rsidR="00990C31">
        <w:rPr>
          <w:rFonts w:ascii="Times New Roman" w:hAnsi="Times New Roman" w:cs="Times New Roman"/>
          <w:color w:val="000000" w:themeColor="text1"/>
        </w:rPr>
        <w:t xml:space="preserve"> 7</w:t>
      </w:r>
      <w:r w:rsidR="007952FB">
        <w:rPr>
          <w:rFonts w:ascii="Times New Roman" w:hAnsi="Times New Roman" w:cs="Times New Roman"/>
          <w:color w:val="000000" w:themeColor="text1"/>
        </w:rPr>
        <w:t>5</w:t>
      </w:r>
      <w:r w:rsidR="00990C31">
        <w:rPr>
          <w:rFonts w:ascii="Times New Roman" w:hAnsi="Times New Roman" w:cs="Times New Roman"/>
          <w:color w:val="000000" w:themeColor="text1"/>
        </w:rPr>
        <w:t xml:space="preserve">% respondentów </w:t>
      </w:r>
      <w:r w:rsidR="007952FB">
        <w:rPr>
          <w:rFonts w:ascii="Times New Roman" w:hAnsi="Times New Roman" w:cs="Times New Roman"/>
          <w:color w:val="000000" w:themeColor="text1"/>
        </w:rPr>
        <w:t>w</w:t>
      </w:r>
      <w:r w:rsidR="00990C31">
        <w:rPr>
          <w:rFonts w:ascii="Times New Roman" w:hAnsi="Times New Roman" w:cs="Times New Roman"/>
          <w:color w:val="000000" w:themeColor="text1"/>
        </w:rPr>
        <w:t xml:space="preserve">skazało media społecznościowe. </w:t>
      </w:r>
    </w:p>
    <w:p w14:paraId="42188A00" w14:textId="4A920D3F" w:rsidR="00FC6EC6" w:rsidRDefault="006A2253" w:rsidP="006A2253">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Kolejne spotkanie z Zespołem ds. opracowania LSR obyło się</w:t>
      </w:r>
      <w:r w:rsidR="00990C31">
        <w:rPr>
          <w:rFonts w:ascii="Times New Roman" w:hAnsi="Times New Roman" w:cs="Times New Roman"/>
          <w:color w:val="000000" w:themeColor="text1"/>
        </w:rPr>
        <w:t xml:space="preserve"> </w:t>
      </w:r>
      <w:r w:rsidR="007952FB">
        <w:rPr>
          <w:rFonts w:ascii="Times New Roman" w:hAnsi="Times New Roman" w:cs="Times New Roman"/>
          <w:color w:val="000000" w:themeColor="text1"/>
        </w:rPr>
        <w:t>01</w:t>
      </w:r>
      <w:r w:rsidR="00990C31">
        <w:rPr>
          <w:rFonts w:ascii="Times New Roman" w:hAnsi="Times New Roman" w:cs="Times New Roman"/>
          <w:color w:val="000000" w:themeColor="text1"/>
        </w:rPr>
        <w:t>.</w:t>
      </w:r>
      <w:r w:rsidR="007952FB">
        <w:rPr>
          <w:rFonts w:ascii="Times New Roman" w:hAnsi="Times New Roman" w:cs="Times New Roman"/>
          <w:color w:val="000000" w:themeColor="text1"/>
        </w:rPr>
        <w:t>02</w:t>
      </w:r>
      <w:r w:rsidR="00990C31">
        <w:rPr>
          <w:rFonts w:ascii="Times New Roman" w:hAnsi="Times New Roman" w:cs="Times New Roman"/>
          <w:color w:val="000000" w:themeColor="text1"/>
        </w:rPr>
        <w:t>.202</w:t>
      </w:r>
      <w:r w:rsidR="007952FB">
        <w:rPr>
          <w:rFonts w:ascii="Times New Roman" w:hAnsi="Times New Roman" w:cs="Times New Roman"/>
          <w:color w:val="000000" w:themeColor="text1"/>
        </w:rPr>
        <w:t>3</w:t>
      </w:r>
      <w:r w:rsidR="00990C31">
        <w:rPr>
          <w:rFonts w:ascii="Times New Roman" w:hAnsi="Times New Roman" w:cs="Times New Roman"/>
          <w:color w:val="000000" w:themeColor="text1"/>
        </w:rPr>
        <w:t xml:space="preserve"> </w:t>
      </w:r>
      <w:r w:rsidR="00A760CC">
        <w:rPr>
          <w:rFonts w:ascii="Times New Roman" w:hAnsi="Times New Roman" w:cs="Times New Roman"/>
          <w:color w:val="000000" w:themeColor="text1"/>
        </w:rPr>
        <w:t xml:space="preserve">r. </w:t>
      </w:r>
      <w:r>
        <w:rPr>
          <w:rFonts w:ascii="Times New Roman" w:hAnsi="Times New Roman" w:cs="Times New Roman"/>
          <w:color w:val="000000" w:themeColor="text1"/>
        </w:rPr>
        <w:t xml:space="preserve">i </w:t>
      </w:r>
      <w:r w:rsidR="003B3888">
        <w:rPr>
          <w:rFonts w:ascii="Times New Roman" w:hAnsi="Times New Roman" w:cs="Times New Roman"/>
          <w:color w:val="000000" w:themeColor="text1"/>
        </w:rPr>
        <w:t>uczestniczył</w:t>
      </w:r>
      <w:r w:rsidR="00A760CC">
        <w:rPr>
          <w:rFonts w:ascii="Times New Roman" w:hAnsi="Times New Roman" w:cs="Times New Roman"/>
          <w:color w:val="000000" w:themeColor="text1"/>
        </w:rPr>
        <w:t>y</w:t>
      </w:r>
      <w:r>
        <w:rPr>
          <w:rFonts w:ascii="Times New Roman" w:hAnsi="Times New Roman" w:cs="Times New Roman"/>
          <w:color w:val="000000" w:themeColor="text1"/>
        </w:rPr>
        <w:t xml:space="preserve"> w nim</w:t>
      </w:r>
      <w:r w:rsidR="003B3888">
        <w:rPr>
          <w:rFonts w:ascii="Times New Roman" w:hAnsi="Times New Roman" w:cs="Times New Roman"/>
          <w:color w:val="000000" w:themeColor="text1"/>
        </w:rPr>
        <w:t xml:space="preserve"> 23 osoby.</w:t>
      </w:r>
      <w:r w:rsidR="00990C31">
        <w:rPr>
          <w:rFonts w:ascii="Times New Roman" w:hAnsi="Times New Roman" w:cs="Times New Roman"/>
          <w:color w:val="000000" w:themeColor="text1"/>
        </w:rPr>
        <w:t xml:space="preserve"> </w:t>
      </w:r>
      <w:r w:rsidR="003B3888">
        <w:rPr>
          <w:rFonts w:ascii="Times New Roman" w:hAnsi="Times New Roman" w:cs="Times New Roman"/>
          <w:color w:val="000000" w:themeColor="text1"/>
        </w:rPr>
        <w:t xml:space="preserve">Podczas spotkania </w:t>
      </w:r>
      <w:r w:rsidR="00990C31">
        <w:rPr>
          <w:rFonts w:ascii="Times New Roman" w:hAnsi="Times New Roman" w:cs="Times New Roman"/>
          <w:color w:val="000000" w:themeColor="text1"/>
        </w:rPr>
        <w:t>zostały przeprowadzone warsztaty w celu poznania potrzeb obszaru</w:t>
      </w:r>
      <w:r w:rsidR="00B93ED0">
        <w:rPr>
          <w:rFonts w:ascii="Times New Roman" w:hAnsi="Times New Roman" w:cs="Times New Roman"/>
          <w:color w:val="000000" w:themeColor="text1"/>
        </w:rPr>
        <w:t xml:space="preserve"> </w:t>
      </w:r>
      <w:r w:rsidR="00A760CC">
        <w:rPr>
          <w:rFonts w:ascii="Times New Roman" w:hAnsi="Times New Roman" w:cs="Times New Roman"/>
          <w:color w:val="000000" w:themeColor="text1"/>
        </w:rPr>
        <w:t xml:space="preserve">i </w:t>
      </w:r>
      <w:r w:rsidR="00B93ED0">
        <w:rPr>
          <w:rFonts w:ascii="Times New Roman" w:hAnsi="Times New Roman" w:cs="Times New Roman"/>
          <w:color w:val="000000" w:themeColor="text1"/>
        </w:rPr>
        <w:t>określenia celów LSR</w:t>
      </w:r>
      <w:r w:rsidR="00990C31">
        <w:rPr>
          <w:rFonts w:ascii="Times New Roman" w:hAnsi="Times New Roman" w:cs="Times New Roman"/>
          <w:color w:val="000000" w:themeColor="text1"/>
        </w:rPr>
        <w:t xml:space="preserve">. Następnie dyskutowano na temat potrzeb mieszkańców wskazywanych w ankietach oraz omówiono </w:t>
      </w:r>
      <w:r w:rsidR="007952FB">
        <w:rPr>
          <w:rFonts w:ascii="Times New Roman" w:hAnsi="Times New Roman" w:cs="Times New Roman"/>
          <w:color w:val="000000" w:themeColor="text1"/>
        </w:rPr>
        <w:t>problem niskiej aktywności mieszkańców podczas badania ankietowego, w tym osób młodych do 25</w:t>
      </w:r>
      <w:r w:rsidR="00A760CC">
        <w:rPr>
          <w:rFonts w:ascii="Times New Roman" w:hAnsi="Times New Roman" w:cs="Times New Roman"/>
          <w:color w:val="000000" w:themeColor="text1"/>
        </w:rPr>
        <w:t>.</w:t>
      </w:r>
      <w:r w:rsidR="007952FB">
        <w:rPr>
          <w:rFonts w:ascii="Times New Roman" w:hAnsi="Times New Roman" w:cs="Times New Roman"/>
          <w:color w:val="000000" w:themeColor="text1"/>
        </w:rPr>
        <w:t xml:space="preserve"> roku życia.</w:t>
      </w:r>
      <w:r w:rsidR="00FC6EC6">
        <w:rPr>
          <w:rFonts w:ascii="Times New Roman" w:hAnsi="Times New Roman" w:cs="Times New Roman"/>
          <w:color w:val="000000" w:themeColor="text1"/>
        </w:rPr>
        <w:t xml:space="preserve"> </w:t>
      </w:r>
    </w:p>
    <w:p w14:paraId="3D194C3D" w14:textId="1839F78D" w:rsidR="00990C31" w:rsidRDefault="00990C31" w:rsidP="00247CB2">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Na podstawie spotkań z mieszkańcami, diagnozy, ankiet oraz złożonych propozycji projektów</w:t>
      </w:r>
      <w:r w:rsidR="00A760CC">
        <w:rPr>
          <w:rFonts w:ascii="Times New Roman" w:hAnsi="Times New Roman" w:cs="Times New Roman"/>
          <w:color w:val="000000" w:themeColor="text1"/>
        </w:rPr>
        <w:t>,</w:t>
      </w:r>
      <w:r>
        <w:rPr>
          <w:rFonts w:ascii="Times New Roman" w:hAnsi="Times New Roman" w:cs="Times New Roman"/>
          <w:color w:val="000000" w:themeColor="text1"/>
        </w:rPr>
        <w:t xml:space="preserve"> członkowie LGD wraz z Zarządem zdecydowali na jakich obszarach powinno się skupić LGD w najbliższych latach</w:t>
      </w:r>
      <w:r w:rsidR="00120561">
        <w:rPr>
          <w:rFonts w:ascii="Times New Roman" w:hAnsi="Times New Roman" w:cs="Times New Roman"/>
          <w:color w:val="000000" w:themeColor="text1"/>
        </w:rPr>
        <w:t>,</w:t>
      </w:r>
      <w:r>
        <w:rPr>
          <w:rFonts w:ascii="Times New Roman" w:hAnsi="Times New Roman" w:cs="Times New Roman"/>
          <w:color w:val="000000" w:themeColor="text1"/>
        </w:rPr>
        <w:t xml:space="preserve"> aby zapewnić stabilny rozwój obszaru.</w:t>
      </w:r>
    </w:p>
    <w:p w14:paraId="75AF37C0" w14:textId="49632A59" w:rsidR="00A17173" w:rsidRDefault="00D83D9E" w:rsidP="0094673B">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Na tym samym etapie</w:t>
      </w:r>
      <w:r w:rsidR="00A17173">
        <w:rPr>
          <w:rFonts w:ascii="Times New Roman" w:hAnsi="Times New Roman" w:cs="Times New Roman"/>
          <w:color w:val="000000" w:themeColor="text1"/>
        </w:rPr>
        <w:t xml:space="preserve"> został również przeprowadzony otwarty nabór fiszek projektowych. W odpowiedzi na ogłoszenie wpłynęło </w:t>
      </w:r>
      <w:r w:rsidR="000B6F06">
        <w:rPr>
          <w:rFonts w:ascii="Times New Roman" w:hAnsi="Times New Roman" w:cs="Times New Roman"/>
          <w:color w:val="000000" w:themeColor="text1"/>
        </w:rPr>
        <w:t xml:space="preserve">21 </w:t>
      </w:r>
      <w:r w:rsidR="00A17173">
        <w:rPr>
          <w:rFonts w:ascii="Times New Roman" w:hAnsi="Times New Roman" w:cs="Times New Roman"/>
          <w:color w:val="000000" w:themeColor="text1"/>
        </w:rPr>
        <w:t>fisz</w:t>
      </w:r>
      <w:r w:rsidR="000B6F06">
        <w:rPr>
          <w:rFonts w:ascii="Times New Roman" w:hAnsi="Times New Roman" w:cs="Times New Roman"/>
          <w:color w:val="000000" w:themeColor="text1"/>
        </w:rPr>
        <w:t>ek.</w:t>
      </w:r>
      <w:r w:rsidR="00A17173">
        <w:rPr>
          <w:rFonts w:ascii="Times New Roman" w:hAnsi="Times New Roman" w:cs="Times New Roman"/>
          <w:color w:val="000000" w:themeColor="text1"/>
        </w:rPr>
        <w:t xml:space="preserve"> Propozycje projektów zostały przeanalizowane przez Zarząd LGD oraz Zespół ds. opracowania LSR. Projekty dotyczyły głównie rozbudowy infrastruktury </w:t>
      </w:r>
      <w:r w:rsidR="007D16B1">
        <w:rPr>
          <w:rFonts w:ascii="Times New Roman" w:hAnsi="Times New Roman" w:cs="Times New Roman"/>
          <w:color w:val="000000" w:themeColor="text1"/>
        </w:rPr>
        <w:t xml:space="preserve">oraz organizacji imprez kulturalnych </w:t>
      </w:r>
      <w:r w:rsidR="00120561">
        <w:rPr>
          <w:rFonts w:ascii="Times New Roman" w:hAnsi="Times New Roman" w:cs="Times New Roman"/>
          <w:color w:val="000000" w:themeColor="text1"/>
        </w:rPr>
        <w:br/>
        <w:t>i</w:t>
      </w:r>
      <w:r w:rsidR="007D16B1">
        <w:rPr>
          <w:rFonts w:ascii="Times New Roman" w:hAnsi="Times New Roman" w:cs="Times New Roman"/>
          <w:color w:val="000000" w:themeColor="text1"/>
        </w:rPr>
        <w:t xml:space="preserve"> rekreacyjnych</w:t>
      </w:r>
      <w:r w:rsidR="00A17173">
        <w:rPr>
          <w:rFonts w:ascii="Times New Roman" w:hAnsi="Times New Roman" w:cs="Times New Roman"/>
          <w:color w:val="000000" w:themeColor="text1"/>
        </w:rPr>
        <w:t xml:space="preserve">. </w:t>
      </w:r>
    </w:p>
    <w:p w14:paraId="5CE42294" w14:textId="669E6F3A" w:rsidR="00A17173" w:rsidRDefault="006A2253" w:rsidP="006A2253">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Po</w:t>
      </w:r>
      <w:r w:rsidR="00B93ED0" w:rsidRPr="007B6536">
        <w:rPr>
          <w:rFonts w:ascii="Times New Roman" w:hAnsi="Times New Roman" w:cs="Times New Roman"/>
          <w:color w:val="000000" w:themeColor="text1"/>
        </w:rPr>
        <w:t xml:space="preserve"> </w:t>
      </w:r>
      <w:r w:rsidR="00A17173">
        <w:rPr>
          <w:rFonts w:ascii="Times New Roman" w:hAnsi="Times New Roman" w:cs="Times New Roman"/>
          <w:color w:val="000000" w:themeColor="text1"/>
        </w:rPr>
        <w:t>ogłoszeniu konkursu na wybór LSR</w:t>
      </w:r>
      <w:r w:rsidR="00120561">
        <w:rPr>
          <w:rFonts w:ascii="Times New Roman" w:hAnsi="Times New Roman" w:cs="Times New Roman"/>
          <w:color w:val="000000" w:themeColor="text1"/>
        </w:rPr>
        <w:t>,</w:t>
      </w:r>
      <w:r w:rsidR="00A17173">
        <w:rPr>
          <w:rFonts w:ascii="Times New Roman" w:hAnsi="Times New Roman" w:cs="Times New Roman"/>
          <w:color w:val="000000" w:themeColor="text1"/>
        </w:rPr>
        <w:t xml:space="preserve"> w dniu 2</w:t>
      </w:r>
      <w:r w:rsidR="00B93ED0">
        <w:rPr>
          <w:rFonts w:ascii="Times New Roman" w:hAnsi="Times New Roman" w:cs="Times New Roman"/>
          <w:color w:val="000000" w:themeColor="text1"/>
        </w:rPr>
        <w:t>2</w:t>
      </w:r>
      <w:r w:rsidR="00A17173">
        <w:rPr>
          <w:rFonts w:ascii="Times New Roman" w:hAnsi="Times New Roman" w:cs="Times New Roman"/>
          <w:color w:val="000000" w:themeColor="text1"/>
        </w:rPr>
        <w:t xml:space="preserve">.03.2023 r. odbyło się spotkanie Zespołu </w:t>
      </w:r>
      <w:r w:rsidR="00120561">
        <w:rPr>
          <w:rFonts w:ascii="Times New Roman" w:hAnsi="Times New Roman" w:cs="Times New Roman"/>
          <w:color w:val="000000" w:themeColor="text1"/>
        </w:rPr>
        <w:t xml:space="preserve">ds. opracowania </w:t>
      </w:r>
      <w:r w:rsidR="00A17173">
        <w:rPr>
          <w:rFonts w:ascii="Times New Roman" w:hAnsi="Times New Roman" w:cs="Times New Roman"/>
          <w:color w:val="000000" w:themeColor="text1"/>
        </w:rPr>
        <w:t>LSR</w:t>
      </w:r>
      <w:r w:rsidR="00120561">
        <w:rPr>
          <w:rFonts w:ascii="Times New Roman" w:hAnsi="Times New Roman" w:cs="Times New Roman"/>
          <w:color w:val="000000" w:themeColor="text1"/>
        </w:rPr>
        <w:t>,</w:t>
      </w:r>
      <w:r w:rsidR="00A17173">
        <w:rPr>
          <w:rFonts w:ascii="Times New Roman" w:hAnsi="Times New Roman" w:cs="Times New Roman"/>
          <w:color w:val="000000" w:themeColor="text1"/>
        </w:rPr>
        <w:t xml:space="preserve"> na którym szczegółowo omówiono Regulamin konkursu wraz z załącznikami oraz możliwości finansowania projektów</w:t>
      </w:r>
      <w:r w:rsidR="00B93ED0">
        <w:rPr>
          <w:rFonts w:ascii="Times New Roman" w:hAnsi="Times New Roman" w:cs="Times New Roman"/>
          <w:color w:val="000000" w:themeColor="text1"/>
        </w:rPr>
        <w:t xml:space="preserve"> </w:t>
      </w:r>
      <w:r w:rsidR="00A17173">
        <w:rPr>
          <w:rFonts w:ascii="Times New Roman" w:hAnsi="Times New Roman" w:cs="Times New Roman"/>
          <w:color w:val="000000" w:themeColor="text1"/>
        </w:rPr>
        <w:t xml:space="preserve">z innych dostępnych źródeł </w:t>
      </w:r>
      <w:r w:rsidR="00B93ED0">
        <w:rPr>
          <w:rFonts w:ascii="Times New Roman" w:hAnsi="Times New Roman" w:cs="Times New Roman"/>
          <w:color w:val="000000" w:themeColor="text1"/>
        </w:rPr>
        <w:t>środków krajowych</w:t>
      </w:r>
      <w:r w:rsidR="00A17173">
        <w:rPr>
          <w:rFonts w:ascii="Times New Roman" w:hAnsi="Times New Roman" w:cs="Times New Roman"/>
          <w:color w:val="000000" w:themeColor="text1"/>
        </w:rPr>
        <w:t>. Ponadto w dalszym ciągu pracowano nad założeniami LSR.</w:t>
      </w:r>
      <w:r w:rsidR="003B38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Podczas dyskusji omówiono m.in. poziom innowacyjności obszaru oraz jakie działania należy podjąć w celu jej zwiększenia. Wspólnie zdecydowano, że podczas realizacji LSR duży nacisk zostanie położony na animowanie mieszkańców do wdrażania innowacji, w tym celu mieszkańcy podczas różnych spotkań, warsztatów i szkoleń będą informowani o możliwościach zwiększenia innowacyjności usług, produktów itd. Na spotkaniu dyskutowano także o wdrażaniu operacji w </w:t>
      </w:r>
      <w:r w:rsidR="00CE2EDC">
        <w:rPr>
          <w:rFonts w:ascii="Times New Roman" w:hAnsi="Times New Roman" w:cs="Times New Roman"/>
          <w:color w:val="000000" w:themeColor="text1"/>
        </w:rPr>
        <w:t>partnerstwie,</w:t>
      </w:r>
      <w:r>
        <w:rPr>
          <w:rFonts w:ascii="Times New Roman" w:hAnsi="Times New Roman" w:cs="Times New Roman"/>
          <w:color w:val="000000" w:themeColor="text1"/>
        </w:rPr>
        <w:t xml:space="preserve"> czyli takich, które są realizowane przez partnerów z obszaru jednej LSR oraz projektów partnerskich, które składają się z kilku operacji realizowanych przez partnerów z obszarów wykraczających poza jedną LSR</w:t>
      </w:r>
      <w:r>
        <w:rPr>
          <w:rStyle w:val="Odwoanieprzypisudolnego"/>
          <w:rFonts w:ascii="Times New Roman" w:hAnsi="Times New Roman" w:cs="Times New Roman"/>
          <w:color w:val="000000" w:themeColor="text1"/>
        </w:rPr>
        <w:footnoteReference w:id="5"/>
      </w:r>
      <w:r>
        <w:rPr>
          <w:rFonts w:ascii="Times New Roman" w:hAnsi="Times New Roman" w:cs="Times New Roman"/>
          <w:color w:val="000000" w:themeColor="text1"/>
        </w:rPr>
        <w:t xml:space="preserve">. Uczestnicy spotkania wspólnie zdecydowali, że należy wdrażać zarówno operacje w partnerstwie jak i projekty partnerskie z partnerami lokalnymi i krajowymi dla osiągniecia lepszych efektów wdrażania LSR. Na spotkaniu dyskutowano również o przeznaczeniu części działań dla osób w niekorzystnej sytuacji. Po przeanalizowaniu danych statystycznych, wyników wywiadów grupowych z mieszkańcami oraz </w:t>
      </w:r>
      <w:r>
        <w:rPr>
          <w:rFonts w:ascii="Times New Roman" w:hAnsi="Times New Roman" w:cs="Times New Roman"/>
          <w:color w:val="000000" w:themeColor="text1"/>
        </w:rPr>
        <w:br/>
        <w:t xml:space="preserve">z własnych obserwacji otoczenia podjęto decyzję, że grupą, która wymaga największego wsparcia są osoby </w:t>
      </w:r>
      <w:r>
        <w:rPr>
          <w:rFonts w:ascii="Times New Roman" w:hAnsi="Times New Roman" w:cs="Times New Roman"/>
          <w:color w:val="000000" w:themeColor="text1"/>
        </w:rPr>
        <w:br/>
        <w:t xml:space="preserve">z niepełnosprawnościami i ich opiekunowie. Według uczestników dyskusji osoby z niepełnosprawnościami muszą codziennie mierzyć się z licznymi przeszkodami i problemami w życiu codziennym, często są to problemy, które nie pozwalają na rozwój i ograniczają funkcjonowanie, jednak ich niwelacja wymaga pracy wielu instytucji oraz nakładów finansowych. Jednak uczestnicy spotkania doszli do wniosku, że skupią się na konkretnym problemie, którym jest brak przystosowania ogólnodostępnej infrastruktury publicznej do potrzeb osób </w:t>
      </w:r>
      <w:r>
        <w:rPr>
          <w:rFonts w:ascii="Times New Roman" w:hAnsi="Times New Roman" w:cs="Times New Roman"/>
          <w:color w:val="000000" w:themeColor="text1"/>
        </w:rPr>
        <w:br/>
        <w:t xml:space="preserve">z niepełnosprawnościami, np. placów zabaw przystosowanych do osób z niepełnosprawnościami. W związku z tym zdecydowano, </w:t>
      </w:r>
      <w:r w:rsidR="00CE2EDC">
        <w:rPr>
          <w:rFonts w:ascii="Times New Roman" w:hAnsi="Times New Roman" w:cs="Times New Roman"/>
          <w:color w:val="000000" w:themeColor="text1"/>
        </w:rPr>
        <w:t>że</w:t>
      </w:r>
      <w:r>
        <w:rPr>
          <w:rFonts w:ascii="Times New Roman" w:hAnsi="Times New Roman" w:cs="Times New Roman"/>
          <w:color w:val="000000" w:themeColor="text1"/>
        </w:rPr>
        <w:t xml:space="preserve"> należy przeznaczyć część działań na przystosowanie infrastruktury do potrzeb osób </w:t>
      </w:r>
      <w:r>
        <w:rPr>
          <w:rFonts w:ascii="Times New Roman" w:hAnsi="Times New Roman" w:cs="Times New Roman"/>
          <w:color w:val="000000" w:themeColor="text1"/>
        </w:rPr>
        <w:br/>
        <w:t xml:space="preserve">z niepełnosprawnościami oraz ich opiekunów. Wprowadzane udogodnienia będą niewątpliwie innowacją dla obszaru. </w:t>
      </w:r>
      <w:r w:rsidR="003B3888">
        <w:rPr>
          <w:rFonts w:ascii="Times New Roman" w:hAnsi="Times New Roman" w:cs="Times New Roman"/>
          <w:color w:val="000000" w:themeColor="text1"/>
        </w:rPr>
        <w:t>W spotkaniu uczestniczyło 20 osób.</w:t>
      </w:r>
    </w:p>
    <w:p w14:paraId="13080162" w14:textId="61BDC3A0" w:rsidR="00A17173" w:rsidRDefault="006A2253" w:rsidP="0094673B">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Ostatni etap prac to</w:t>
      </w:r>
      <w:r w:rsidR="00A17173" w:rsidRPr="007B6536">
        <w:rPr>
          <w:rFonts w:ascii="Times New Roman" w:hAnsi="Times New Roman" w:cs="Times New Roman"/>
          <w:color w:val="000000" w:themeColor="text1"/>
        </w:rPr>
        <w:t xml:space="preserve"> podsumowanie procesu partycypacji i tworzenia dokumentu, w trakcie którego przeprowadzon</w:t>
      </w:r>
      <w:r w:rsidR="00A17173">
        <w:rPr>
          <w:rFonts w:ascii="Times New Roman" w:hAnsi="Times New Roman" w:cs="Times New Roman"/>
          <w:color w:val="000000" w:themeColor="text1"/>
        </w:rPr>
        <w:t>o</w:t>
      </w:r>
      <w:r w:rsidR="00A17173" w:rsidRPr="007B6536">
        <w:rPr>
          <w:rFonts w:ascii="Times New Roman" w:hAnsi="Times New Roman" w:cs="Times New Roman"/>
          <w:color w:val="000000" w:themeColor="text1"/>
        </w:rPr>
        <w:t xml:space="preserve"> konsultacje społeczne</w:t>
      </w:r>
      <w:r>
        <w:rPr>
          <w:rFonts w:ascii="Times New Roman" w:hAnsi="Times New Roman" w:cs="Times New Roman"/>
          <w:color w:val="000000" w:themeColor="text1"/>
        </w:rPr>
        <w:t>. Mieszkańcy w trakcie konsultacji mogli zapoznać się z projektem LSR, który był dostępny w Biurze LGD. W trakcie konsultacji nie wpłynęły żadne uwagi do dokumentu.</w:t>
      </w:r>
    </w:p>
    <w:p w14:paraId="3529C22D" w14:textId="7D7971A0" w:rsidR="00A17173" w:rsidRDefault="00A17173" w:rsidP="0094673B">
      <w:pPr>
        <w:spacing w:after="0" w:line="276" w:lineRule="auto"/>
        <w:ind w:firstLine="709"/>
        <w:jc w:val="both"/>
        <w:rPr>
          <w:rFonts w:ascii="Times New Roman" w:hAnsi="Times New Roman" w:cs="Times New Roman"/>
          <w:color w:val="000000" w:themeColor="text1"/>
        </w:rPr>
      </w:pPr>
      <w:r w:rsidRPr="00CE275B">
        <w:rPr>
          <w:rFonts w:ascii="Times New Roman" w:hAnsi="Times New Roman" w:cs="Times New Roman"/>
          <w:color w:val="000000" w:themeColor="text1"/>
        </w:rPr>
        <w:t>Wypracowanie analizy SWOT oraz diagnozy obszaru było fundamentem stworzenia całego</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dokumentu. Na ich podstawie zostały sporządzone kolejne elementy LSR, które następnie były</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 xml:space="preserve">szczegółowo omawiane i poddawane dalszym konsultacjom społecznym. Zespół </w:t>
      </w:r>
      <w:r w:rsidR="00D20329">
        <w:rPr>
          <w:rFonts w:ascii="Times New Roman" w:hAnsi="Times New Roman" w:cs="Times New Roman"/>
          <w:color w:val="000000" w:themeColor="text1"/>
        </w:rPr>
        <w:t xml:space="preserve">ds. opracowania </w:t>
      </w:r>
      <w:r w:rsidRPr="00CE275B">
        <w:rPr>
          <w:rFonts w:ascii="Times New Roman" w:hAnsi="Times New Roman" w:cs="Times New Roman"/>
          <w:color w:val="000000" w:themeColor="text1"/>
        </w:rPr>
        <w:t>LSR wszystkie</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zgłoszone uwagi i spostrzeżenia poddał dogłębnej analizie, a te z nich</w:t>
      </w:r>
      <w:r>
        <w:rPr>
          <w:rFonts w:ascii="Times New Roman" w:hAnsi="Times New Roman" w:cs="Times New Roman"/>
          <w:color w:val="000000" w:themeColor="text1"/>
        </w:rPr>
        <w:t>,</w:t>
      </w:r>
      <w:r w:rsidRPr="00CE275B">
        <w:rPr>
          <w:rFonts w:ascii="Times New Roman" w:hAnsi="Times New Roman" w:cs="Times New Roman"/>
          <w:color w:val="000000" w:themeColor="text1"/>
        </w:rPr>
        <w:t xml:space="preserve"> które uznał za zasadne,</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uwzględniono podczas dalszych prac nad tworzeniem dokumentu.</w:t>
      </w:r>
    </w:p>
    <w:p w14:paraId="1E0B0D52" w14:textId="57F1A26F" w:rsidR="00A17173" w:rsidRDefault="00A17173" w:rsidP="0094673B">
      <w:pPr>
        <w:spacing w:after="0" w:line="276" w:lineRule="auto"/>
        <w:ind w:firstLine="709"/>
        <w:jc w:val="both"/>
        <w:rPr>
          <w:rFonts w:ascii="Times New Roman" w:hAnsi="Times New Roman" w:cs="Times New Roman"/>
          <w:color w:val="000000" w:themeColor="text1"/>
        </w:rPr>
      </w:pPr>
      <w:r w:rsidRPr="001810BA">
        <w:rPr>
          <w:rFonts w:ascii="Times New Roman" w:hAnsi="Times New Roman" w:cs="Times New Roman"/>
          <w:color w:val="000000" w:themeColor="text1"/>
        </w:rPr>
        <w:t>Do opracowywania elementów LSR przyczyniło się</w:t>
      </w:r>
      <w:r>
        <w:rPr>
          <w:rFonts w:ascii="Times New Roman" w:hAnsi="Times New Roman" w:cs="Times New Roman"/>
          <w:color w:val="000000" w:themeColor="text1"/>
        </w:rPr>
        <w:t xml:space="preserve"> </w:t>
      </w:r>
      <w:r w:rsidR="009D0074">
        <w:rPr>
          <w:rFonts w:ascii="Times New Roman" w:hAnsi="Times New Roman" w:cs="Times New Roman"/>
          <w:color w:val="000000" w:themeColor="text1"/>
        </w:rPr>
        <w:t>2</w:t>
      </w:r>
      <w:r w:rsidR="00955432">
        <w:rPr>
          <w:rFonts w:ascii="Times New Roman" w:hAnsi="Times New Roman" w:cs="Times New Roman"/>
          <w:color w:val="000000" w:themeColor="text1"/>
        </w:rPr>
        <w:t>37</w:t>
      </w:r>
      <w:r w:rsidRPr="001810BA">
        <w:rPr>
          <w:rFonts w:ascii="Times New Roman" w:hAnsi="Times New Roman" w:cs="Times New Roman"/>
          <w:color w:val="000000" w:themeColor="text1"/>
        </w:rPr>
        <w:t xml:space="preserve"> uczestników spotkań informacyjno-warsztatowych, </w:t>
      </w:r>
      <w:r w:rsidR="009D0074">
        <w:rPr>
          <w:rFonts w:ascii="Times New Roman" w:hAnsi="Times New Roman" w:cs="Times New Roman"/>
          <w:color w:val="000000" w:themeColor="text1"/>
        </w:rPr>
        <w:t>12</w:t>
      </w:r>
      <w:r w:rsidRPr="001810BA">
        <w:rPr>
          <w:rFonts w:ascii="Times New Roman" w:hAnsi="Times New Roman" w:cs="Times New Roman"/>
          <w:color w:val="000000" w:themeColor="text1"/>
        </w:rPr>
        <w:t xml:space="preserve"> os</w:t>
      </w:r>
      <w:r w:rsidR="009D0074">
        <w:rPr>
          <w:rFonts w:ascii="Times New Roman" w:hAnsi="Times New Roman" w:cs="Times New Roman"/>
          <w:color w:val="000000" w:themeColor="text1"/>
        </w:rPr>
        <w:t>ób</w:t>
      </w:r>
      <w:r w:rsidRPr="001810BA">
        <w:rPr>
          <w:rFonts w:ascii="Times New Roman" w:hAnsi="Times New Roman" w:cs="Times New Roman"/>
          <w:color w:val="000000" w:themeColor="text1"/>
        </w:rPr>
        <w:t xml:space="preserve"> ankietowan</w:t>
      </w:r>
      <w:r w:rsidR="009D0074">
        <w:rPr>
          <w:rFonts w:ascii="Times New Roman" w:hAnsi="Times New Roman" w:cs="Times New Roman"/>
          <w:color w:val="000000" w:themeColor="text1"/>
        </w:rPr>
        <w:t>ych</w:t>
      </w:r>
      <w:r>
        <w:rPr>
          <w:rFonts w:ascii="Times New Roman" w:hAnsi="Times New Roman" w:cs="Times New Roman"/>
          <w:color w:val="000000" w:themeColor="text1"/>
        </w:rPr>
        <w:t>,</w:t>
      </w:r>
      <w:r w:rsidR="009D0074">
        <w:rPr>
          <w:rFonts w:ascii="Times New Roman" w:hAnsi="Times New Roman" w:cs="Times New Roman"/>
          <w:color w:val="000000" w:themeColor="text1"/>
        </w:rPr>
        <w:t xml:space="preserve"> </w:t>
      </w:r>
      <w:r w:rsidR="00955432">
        <w:rPr>
          <w:rFonts w:ascii="Times New Roman" w:hAnsi="Times New Roman" w:cs="Times New Roman"/>
          <w:color w:val="000000" w:themeColor="text1"/>
        </w:rPr>
        <w:t>43</w:t>
      </w:r>
      <w:r w:rsidRPr="009D0074">
        <w:rPr>
          <w:rFonts w:ascii="Times New Roman" w:hAnsi="Times New Roman" w:cs="Times New Roman"/>
          <w:color w:val="000000" w:themeColor="text1"/>
        </w:rPr>
        <w:t xml:space="preserve"> uczestników wywiadów grupowych</w:t>
      </w:r>
      <w:r w:rsidR="00955432">
        <w:rPr>
          <w:rFonts w:ascii="Times New Roman" w:hAnsi="Times New Roman" w:cs="Times New Roman"/>
          <w:color w:val="000000" w:themeColor="text1"/>
        </w:rPr>
        <w:t xml:space="preserve"> oraz </w:t>
      </w:r>
      <w:r w:rsidRPr="001810BA">
        <w:rPr>
          <w:rFonts w:ascii="Times New Roman" w:hAnsi="Times New Roman" w:cs="Times New Roman"/>
          <w:color w:val="000000" w:themeColor="text1"/>
        </w:rPr>
        <w:t>internauci i zainteresowani mieszkańcy, którzy</w:t>
      </w:r>
      <w:r>
        <w:rPr>
          <w:rFonts w:ascii="Times New Roman" w:hAnsi="Times New Roman" w:cs="Times New Roman"/>
          <w:color w:val="000000" w:themeColor="text1"/>
        </w:rPr>
        <w:t xml:space="preserve"> </w:t>
      </w:r>
      <w:r w:rsidRPr="001810BA">
        <w:rPr>
          <w:rFonts w:ascii="Times New Roman" w:hAnsi="Times New Roman" w:cs="Times New Roman"/>
          <w:color w:val="000000" w:themeColor="text1"/>
        </w:rPr>
        <w:t>przekazywali swoje spostrzeżenia za pomocą formularzy zgłaszania uwag</w:t>
      </w:r>
      <w:r w:rsidR="00955432">
        <w:rPr>
          <w:rFonts w:ascii="Times New Roman" w:hAnsi="Times New Roman" w:cs="Times New Roman"/>
          <w:color w:val="000000" w:themeColor="text1"/>
        </w:rPr>
        <w:t xml:space="preserve"> i</w:t>
      </w:r>
      <w:r w:rsidRPr="001810BA">
        <w:rPr>
          <w:rFonts w:ascii="Times New Roman" w:hAnsi="Times New Roman" w:cs="Times New Roman"/>
          <w:color w:val="000000" w:themeColor="text1"/>
        </w:rPr>
        <w:t xml:space="preserve"> konsultacji online</w:t>
      </w:r>
      <w:r w:rsidR="00955432">
        <w:rPr>
          <w:rFonts w:ascii="Times New Roman" w:hAnsi="Times New Roman" w:cs="Times New Roman"/>
          <w:color w:val="000000" w:themeColor="text1"/>
        </w:rPr>
        <w:t>.</w:t>
      </w:r>
    </w:p>
    <w:p w14:paraId="1AE261AC" w14:textId="77777777" w:rsidR="00A17173" w:rsidRDefault="00A17173" w:rsidP="0094673B">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Informacje o wszystkich spotkaniach były umieszczane na stronie internetowej LGD, w mediach społecznościowych, a także na tablicach ogłoszeń w każdej z gmin obszaru, tak aby zarówno młodzi mieszkańcy regionu jak i starsi mogli uczestniczyć w spotkaniach. Podczas dyskusji każdy z mieszkańców mógł zabrać głos </w:t>
      </w:r>
      <w:r>
        <w:rPr>
          <w:rFonts w:ascii="Times New Roman" w:hAnsi="Times New Roman" w:cs="Times New Roman"/>
          <w:color w:val="000000" w:themeColor="text1"/>
        </w:rPr>
        <w:br/>
        <w:t>i wszystkie postulaty uczestników spotkań zostały uwzględnione w pracach nad dokumentem.</w:t>
      </w:r>
    </w:p>
    <w:p w14:paraId="79C9B95B" w14:textId="77777777" w:rsidR="00A17173" w:rsidRDefault="00A17173" w:rsidP="0094673B">
      <w:pPr>
        <w:spacing w:after="0" w:line="276" w:lineRule="auto"/>
        <w:ind w:firstLine="708"/>
        <w:jc w:val="both"/>
        <w:rPr>
          <w:rFonts w:ascii="Times New Roman" w:hAnsi="Times New Roman" w:cs="Times New Roman"/>
          <w:color w:val="000000" w:themeColor="text1"/>
        </w:rPr>
      </w:pPr>
      <w:r w:rsidRPr="00CE275B">
        <w:rPr>
          <w:rFonts w:ascii="Times New Roman" w:hAnsi="Times New Roman" w:cs="Times New Roman"/>
          <w:color w:val="000000" w:themeColor="text1"/>
        </w:rPr>
        <w:lastRenderedPageBreak/>
        <w:t>Oprócz wykorzystania materiałów z szeroko prowadzonych konsultacji ze społecznością</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lokalną</w:t>
      </w:r>
      <w:r>
        <w:rPr>
          <w:rFonts w:ascii="Times New Roman" w:hAnsi="Times New Roman" w:cs="Times New Roman"/>
          <w:color w:val="000000" w:themeColor="text1"/>
        </w:rPr>
        <w:t>,</w:t>
      </w:r>
      <w:r w:rsidRPr="00CE275B">
        <w:rPr>
          <w:rFonts w:ascii="Times New Roman" w:hAnsi="Times New Roman" w:cs="Times New Roman"/>
          <w:color w:val="000000" w:themeColor="text1"/>
        </w:rPr>
        <w:t xml:space="preserve"> wykorzystano również raporty ewaluacyjne z działania LGD</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 xml:space="preserve">Wykorzystano zawarte w raportach informacje </w:t>
      </w:r>
      <w:r>
        <w:rPr>
          <w:rFonts w:ascii="Times New Roman" w:hAnsi="Times New Roman" w:cs="Times New Roman"/>
          <w:color w:val="000000" w:themeColor="text1"/>
        </w:rPr>
        <w:br/>
      </w:r>
      <w:r w:rsidRPr="00CE275B">
        <w:rPr>
          <w:rFonts w:ascii="Times New Roman" w:hAnsi="Times New Roman" w:cs="Times New Roman"/>
          <w:color w:val="000000" w:themeColor="text1"/>
        </w:rPr>
        <w:t>o wskazanych</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przez mieszkańców działaniach, które mogą wpłynąć na rozwój obszaru w obecnym okresie</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programowania oraz w większym stopniu skupiono się na szacowaniu wskaźników</w:t>
      </w:r>
      <w:r>
        <w:rPr>
          <w:rFonts w:ascii="Times New Roman" w:hAnsi="Times New Roman" w:cs="Times New Roman"/>
          <w:color w:val="000000" w:themeColor="text1"/>
        </w:rPr>
        <w:t xml:space="preserve">. </w:t>
      </w:r>
    </w:p>
    <w:p w14:paraId="4AD8C8E6" w14:textId="77777777" w:rsidR="00A17173" w:rsidRDefault="00A17173" w:rsidP="00745EAA">
      <w:pPr>
        <w:spacing w:after="0" w:line="276" w:lineRule="auto"/>
        <w:ind w:firstLine="709"/>
        <w:jc w:val="both"/>
        <w:rPr>
          <w:rFonts w:ascii="Times New Roman" w:hAnsi="Times New Roman" w:cs="Times New Roman"/>
          <w:color w:val="000000" w:themeColor="text1"/>
        </w:rPr>
      </w:pPr>
      <w:r w:rsidRPr="00CE275B">
        <w:rPr>
          <w:rFonts w:ascii="Times New Roman" w:hAnsi="Times New Roman" w:cs="Times New Roman"/>
          <w:color w:val="000000" w:themeColor="text1"/>
        </w:rPr>
        <w:t xml:space="preserve">Czynny udział w tworzeniu dokumentu brali pracownicy Biura </w:t>
      </w:r>
      <w:r>
        <w:rPr>
          <w:rFonts w:ascii="Times New Roman" w:hAnsi="Times New Roman" w:cs="Times New Roman"/>
          <w:color w:val="000000" w:themeColor="text1"/>
        </w:rPr>
        <w:t xml:space="preserve">LGD </w:t>
      </w:r>
      <w:r w:rsidRPr="00CE275B">
        <w:rPr>
          <w:rFonts w:ascii="Times New Roman" w:hAnsi="Times New Roman" w:cs="Times New Roman"/>
          <w:color w:val="000000" w:themeColor="text1"/>
        </w:rPr>
        <w:t>poprzez uczestniczenie</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 xml:space="preserve">w szkoleniach </w:t>
      </w:r>
      <w:r>
        <w:rPr>
          <w:rFonts w:ascii="Times New Roman" w:hAnsi="Times New Roman" w:cs="Times New Roman"/>
          <w:color w:val="000000" w:themeColor="text1"/>
        </w:rPr>
        <w:br/>
      </w:r>
      <w:r w:rsidRPr="00CE275B">
        <w:rPr>
          <w:rFonts w:ascii="Times New Roman" w:hAnsi="Times New Roman" w:cs="Times New Roman"/>
          <w:color w:val="000000" w:themeColor="text1"/>
        </w:rPr>
        <w:t>i konsultacjach dotyczących tworzenia LSR oraz dzięki współpracy</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z innymi Lokalnymi Grupami Działania w celu wypracowania wspólnych stanowisk odnoszących</w:t>
      </w:r>
      <w:r>
        <w:rPr>
          <w:rFonts w:ascii="Times New Roman" w:hAnsi="Times New Roman" w:cs="Times New Roman"/>
          <w:color w:val="000000" w:themeColor="text1"/>
        </w:rPr>
        <w:t xml:space="preserve"> </w:t>
      </w:r>
      <w:r w:rsidRPr="00CE275B">
        <w:rPr>
          <w:rFonts w:ascii="Times New Roman" w:hAnsi="Times New Roman" w:cs="Times New Roman"/>
          <w:color w:val="000000" w:themeColor="text1"/>
        </w:rPr>
        <w:t>się do poszczególnych elementów Strategii</w:t>
      </w:r>
      <w:r>
        <w:rPr>
          <w:rFonts w:ascii="Times New Roman" w:hAnsi="Times New Roman" w:cs="Times New Roman"/>
          <w:color w:val="000000" w:themeColor="text1"/>
        </w:rPr>
        <w:t>.</w:t>
      </w:r>
    </w:p>
    <w:p w14:paraId="1FB3AD67" w14:textId="01725536" w:rsidR="00745EAA" w:rsidRPr="004521EF" w:rsidRDefault="00745EAA" w:rsidP="00745EAA">
      <w:pPr>
        <w:spacing w:after="120" w:line="276" w:lineRule="auto"/>
        <w:ind w:firstLine="708"/>
        <w:jc w:val="both"/>
        <w:rPr>
          <w:rFonts w:ascii="Times New Roman" w:hAnsi="Times New Roman" w:cs="Times New Roman"/>
        </w:rPr>
      </w:pPr>
      <w:r>
        <w:rPr>
          <w:rFonts w:ascii="Times New Roman" w:hAnsi="Times New Roman" w:cs="Times New Roman"/>
          <w:color w:val="000000" w:themeColor="text1"/>
        </w:rPr>
        <w:t>Wszystkie przeprowadzone spotkania w trakcie prac nad LSR odbywały się w budynkach</w:t>
      </w:r>
      <w:r w:rsidRPr="00A616D5">
        <w:rPr>
          <w:rFonts w:ascii="Times New Roman" w:hAnsi="Times New Roman" w:cs="Times New Roman"/>
          <w:color w:val="000000" w:themeColor="text1"/>
        </w:rPr>
        <w:t xml:space="preserve"> spełnia</w:t>
      </w:r>
      <w:r>
        <w:rPr>
          <w:rFonts w:ascii="Times New Roman" w:hAnsi="Times New Roman" w:cs="Times New Roman"/>
          <w:color w:val="000000" w:themeColor="text1"/>
        </w:rPr>
        <w:t>jących</w:t>
      </w:r>
      <w:r w:rsidRPr="00A616D5">
        <w:rPr>
          <w:rFonts w:ascii="Times New Roman" w:hAnsi="Times New Roman" w:cs="Times New Roman"/>
          <w:color w:val="000000" w:themeColor="text1"/>
        </w:rPr>
        <w:t xml:space="preserve"> wymagania w zakresie dostępności architektonicznej (w </w:t>
      </w:r>
      <w:r>
        <w:rPr>
          <w:rFonts w:ascii="Times New Roman" w:hAnsi="Times New Roman" w:cs="Times New Roman"/>
          <w:color w:val="000000" w:themeColor="text1"/>
        </w:rPr>
        <w:t xml:space="preserve">ogólnodostępnych </w:t>
      </w:r>
      <w:r w:rsidRPr="00A616D5">
        <w:rPr>
          <w:rFonts w:ascii="Times New Roman" w:hAnsi="Times New Roman" w:cs="Times New Roman"/>
          <w:color w:val="000000" w:themeColor="text1"/>
        </w:rPr>
        <w:t xml:space="preserve">obiektach </w:t>
      </w:r>
      <w:r>
        <w:rPr>
          <w:rFonts w:ascii="Times New Roman" w:hAnsi="Times New Roman" w:cs="Times New Roman"/>
          <w:color w:val="000000" w:themeColor="text1"/>
        </w:rPr>
        <w:t xml:space="preserve">pozbawionych barier architektonicznych), </w:t>
      </w:r>
      <w:r>
        <w:rPr>
          <w:rFonts w:ascii="Times New Roman" w:hAnsi="Times New Roman" w:cs="Times New Roman"/>
        </w:rPr>
        <w:t xml:space="preserve">a także </w:t>
      </w:r>
      <w:r w:rsidRPr="00A616D5">
        <w:rPr>
          <w:rFonts w:ascii="Times New Roman" w:hAnsi="Times New Roman" w:cs="Times New Roman"/>
          <w:color w:val="000000" w:themeColor="text1"/>
        </w:rPr>
        <w:t>dostępności cyfrowej oraz dostępności informacyjno-komunikacyjn</w:t>
      </w:r>
      <w:r w:rsidR="009D31D7">
        <w:rPr>
          <w:rFonts w:ascii="Times New Roman" w:hAnsi="Times New Roman" w:cs="Times New Roman"/>
          <w:color w:val="000000" w:themeColor="text1"/>
        </w:rPr>
        <w:t>ej</w:t>
      </w:r>
      <w:r>
        <w:rPr>
          <w:rFonts w:ascii="Times New Roman" w:hAnsi="Times New Roman" w:cs="Times New Roman"/>
        </w:rPr>
        <w:t>.</w:t>
      </w:r>
    </w:p>
    <w:p w14:paraId="79A00EAC" w14:textId="77777777" w:rsidR="00A17173" w:rsidRPr="003D7632" w:rsidRDefault="00A17173" w:rsidP="001972CD">
      <w:pPr>
        <w:pStyle w:val="Akapitzlist"/>
        <w:numPr>
          <w:ilvl w:val="0"/>
          <w:numId w:val="18"/>
        </w:numPr>
        <w:spacing w:after="80" w:line="276" w:lineRule="auto"/>
        <w:jc w:val="both"/>
        <w:outlineLvl w:val="1"/>
        <w:rPr>
          <w:rFonts w:ascii="Times New Roman" w:hAnsi="Times New Roman" w:cs="Times New Roman"/>
          <w:b/>
          <w:bCs/>
        </w:rPr>
      </w:pPr>
      <w:bookmarkStart w:id="21" w:name="_Toc135896896"/>
      <w:r w:rsidRPr="003D7632">
        <w:rPr>
          <w:rFonts w:ascii="Times New Roman" w:hAnsi="Times New Roman" w:cs="Times New Roman"/>
          <w:b/>
          <w:bCs/>
        </w:rPr>
        <w:t>Etap wdrażania LSR</w:t>
      </w:r>
      <w:bookmarkEnd w:id="21"/>
    </w:p>
    <w:p w14:paraId="6743142A" w14:textId="77777777" w:rsidR="00745EAA" w:rsidRPr="00745EAA" w:rsidRDefault="00745EAA" w:rsidP="00745EAA">
      <w:pPr>
        <w:spacing w:after="0" w:line="276" w:lineRule="auto"/>
        <w:ind w:firstLine="709"/>
        <w:jc w:val="both"/>
        <w:rPr>
          <w:rFonts w:ascii="Times New Roman" w:hAnsi="Times New Roman" w:cs="Times New Roman"/>
          <w:color w:val="000000" w:themeColor="text1"/>
        </w:rPr>
      </w:pPr>
      <w:r w:rsidRPr="00745EAA">
        <w:rPr>
          <w:rFonts w:ascii="Times New Roman" w:hAnsi="Times New Roman" w:cs="Times New Roman"/>
          <w:color w:val="000000" w:themeColor="text1"/>
        </w:rPr>
        <w:t xml:space="preserve">Na etapie wdrażania i realizacji LSR również przewiduje się dalszy udział społeczności lokalnej i konsultacje społeczne. Dzięki odpowiednim zapisom w dokumentach regulujących, w sytuacjach tego wymagających możliwe jest przeprowadzenie jej aktualizacji. W trakcie wdrażania LSR uwagi i zastrzeżenia mieszkańców poddawane będą analizie i na ich podstawie możliwe będzie dokonywanie zmian w zakresie doradztwa czy w planie komunikacji </w:t>
      </w:r>
      <w:r w:rsidRPr="00745EAA">
        <w:rPr>
          <w:rFonts w:ascii="Times New Roman" w:hAnsi="Times New Roman" w:cs="Times New Roman"/>
          <w:color w:val="000000" w:themeColor="text1"/>
        </w:rPr>
        <w:br/>
        <w:t xml:space="preserve">z lokalną społecznością. Zgodnie z procedurą aktualizacji, informacje o planowanych zmianach udostępnione zostaną do publicznej wiadomości za pomocą strony internetowej LGD oraz mediów społecznościowych, a także na tablicach ogłoszeń w każdej z gmin obszaru, do dalszej konsultacji społecznej. </w:t>
      </w:r>
    </w:p>
    <w:p w14:paraId="1369722B" w14:textId="77777777" w:rsidR="00745EAA" w:rsidRPr="00745EAA" w:rsidRDefault="00745EAA" w:rsidP="00745EAA">
      <w:pPr>
        <w:spacing w:after="0" w:line="276" w:lineRule="auto"/>
        <w:ind w:firstLine="709"/>
        <w:jc w:val="both"/>
        <w:rPr>
          <w:rFonts w:ascii="Times New Roman" w:hAnsi="Times New Roman" w:cs="Times New Roman"/>
        </w:rPr>
      </w:pPr>
      <w:r w:rsidRPr="00745EAA">
        <w:rPr>
          <w:rFonts w:ascii="Times New Roman" w:hAnsi="Times New Roman" w:cs="Times New Roman"/>
        </w:rPr>
        <w:t xml:space="preserve">Wszystkie zainteresowane strony, szczególnie partnerzy lokalni i mieszkańcy będą angażowani we wdrażanie Strategii poprzez odpowiednią komunikację i animację, umożliwienie podejmowania decyzji (planowane mobilizowanie biernych interesariuszy do realizacji Strategii), możliwość wdrażania projektów oraz rozwijanie współpracy między podmiotami i zachęcanie do realizacji projektów partnerskich (budowanie zaufania). </w:t>
      </w:r>
    </w:p>
    <w:p w14:paraId="4F4D861B" w14:textId="77777777" w:rsidR="00745EAA" w:rsidRPr="00745EAA" w:rsidRDefault="00745EAA" w:rsidP="00745EAA">
      <w:pPr>
        <w:spacing w:after="0" w:line="276" w:lineRule="auto"/>
        <w:ind w:firstLine="709"/>
        <w:jc w:val="both"/>
        <w:rPr>
          <w:rFonts w:ascii="Times New Roman" w:hAnsi="Times New Roman" w:cs="Times New Roman"/>
        </w:rPr>
      </w:pPr>
      <w:r w:rsidRPr="00745EAA">
        <w:rPr>
          <w:rFonts w:ascii="Times New Roman" w:hAnsi="Times New Roman" w:cs="Times New Roman"/>
        </w:rPr>
        <w:t xml:space="preserve">Również na etapie wdrażania planuje się stosować metody komunikacji, które nie wykluczą żadnej z grup społecznych – osoby, które mają problem z przemieszczaniem się czy są ograniczone czasowo (np. młodzi rodzice), będą mogli pozyskiwać informacje w swoich domach – poprzez media społecznościowe, strony internetowe LGD </w:t>
      </w:r>
      <w:r w:rsidRPr="00745EAA">
        <w:rPr>
          <w:rFonts w:ascii="Times New Roman" w:hAnsi="Times New Roman" w:cs="Times New Roman"/>
        </w:rPr>
        <w:br/>
        <w:t xml:space="preserve">i gmin zrzeszonych w LGD, rozmowy telefoniczne, podczas konsultacji będą mieli możliwość zgłaszania uwag </w:t>
      </w:r>
      <w:r w:rsidRPr="00745EAA">
        <w:rPr>
          <w:rFonts w:ascii="Times New Roman" w:hAnsi="Times New Roman" w:cs="Times New Roman"/>
        </w:rPr>
        <w:br/>
        <w:t xml:space="preserve">w formie elektronicznej, przewiduje się także transmisję spotkań w czasie rzeczywistym z możliwością zabierania głosu poprzez czat. Osoby, które są wykluczone cyfrowo lub preferują tradycyjne formy komunikacji, będą mogły uzyskać wszelkie informacje w siedzibie LGD lub podczas spotkań, a także będą miały możliwość zgłaszania uwag w formie papierowej. Badania ankietowe prowadzone będą zarówno w formie tradycyjnej (papierowej), jak i on-line. LGD o swoich działaniach będzie informował również tradycyjnymi kanałami komunikacji, tj. ogłoszenia </w:t>
      </w:r>
      <w:r w:rsidRPr="00745EAA">
        <w:rPr>
          <w:rFonts w:ascii="Times New Roman" w:hAnsi="Times New Roman" w:cs="Times New Roman"/>
        </w:rPr>
        <w:br/>
        <w:t>w lokalnych mediach, na tablicach informacyjnych w podmiotach publicznych i prywatnych, a także na słupach ogłoszeniowych. Zaplanowane metody pozwolą na dotarcie do szerokiego grona odbiorców, zarówno tych, którzy do tej pory uczestniczyli we wdrażaniu LSR, jak i osób do tej pory niezainteresowanych współpracą w ramach LGD. Wszystkie opisane metody zostały uwzględnione w planie komunikacji.</w:t>
      </w:r>
    </w:p>
    <w:p w14:paraId="6C1E9345" w14:textId="2E7261C3" w:rsidR="00745EAA" w:rsidRPr="00745EAA" w:rsidRDefault="00745EAA" w:rsidP="00745EAA">
      <w:pPr>
        <w:spacing w:after="0" w:line="276" w:lineRule="auto"/>
        <w:ind w:firstLine="709"/>
        <w:jc w:val="both"/>
        <w:rPr>
          <w:rFonts w:ascii="Times New Roman" w:hAnsi="Times New Roman" w:cs="Times New Roman"/>
          <w:color w:val="000000" w:themeColor="text1"/>
        </w:rPr>
      </w:pPr>
      <w:r w:rsidRPr="00745EAA">
        <w:rPr>
          <w:rFonts w:ascii="Times New Roman" w:hAnsi="Times New Roman" w:cs="Times New Roman"/>
          <w:color w:val="000000" w:themeColor="text1"/>
        </w:rPr>
        <w:t xml:space="preserve">Udział mieszkańców obszaru LGD, reprezentujących różne sektory w tworzeniu Strategii, </w:t>
      </w:r>
      <w:r w:rsidR="00955432">
        <w:rPr>
          <w:rFonts w:ascii="Times New Roman" w:hAnsi="Times New Roman" w:cs="Times New Roman"/>
          <w:color w:val="000000" w:themeColor="text1"/>
        </w:rPr>
        <w:t>nie był wystarczający</w:t>
      </w:r>
      <w:r w:rsidRPr="00745EAA">
        <w:rPr>
          <w:rFonts w:ascii="Times New Roman" w:hAnsi="Times New Roman" w:cs="Times New Roman"/>
          <w:color w:val="000000" w:themeColor="text1"/>
        </w:rPr>
        <w:t xml:space="preserve">. To pokazało, iż mieszkańcy </w:t>
      </w:r>
      <w:r w:rsidR="00955432">
        <w:rPr>
          <w:rFonts w:ascii="Times New Roman" w:hAnsi="Times New Roman" w:cs="Times New Roman"/>
          <w:color w:val="000000" w:themeColor="text1"/>
        </w:rPr>
        <w:t xml:space="preserve">nie </w:t>
      </w:r>
      <w:r w:rsidRPr="00745EAA">
        <w:rPr>
          <w:rFonts w:ascii="Times New Roman" w:hAnsi="Times New Roman" w:cs="Times New Roman"/>
          <w:color w:val="000000" w:themeColor="text1"/>
        </w:rPr>
        <w:t xml:space="preserve">chcą </w:t>
      </w:r>
      <w:r w:rsidR="00955432">
        <w:rPr>
          <w:rFonts w:ascii="Times New Roman" w:hAnsi="Times New Roman" w:cs="Times New Roman"/>
          <w:color w:val="000000" w:themeColor="text1"/>
        </w:rPr>
        <w:t xml:space="preserve">się angażować w </w:t>
      </w:r>
      <w:r w:rsidRPr="00745EAA">
        <w:rPr>
          <w:rFonts w:ascii="Times New Roman" w:hAnsi="Times New Roman" w:cs="Times New Roman"/>
          <w:color w:val="000000" w:themeColor="text1"/>
        </w:rPr>
        <w:t>rozw</w:t>
      </w:r>
      <w:r w:rsidR="00955432">
        <w:rPr>
          <w:rFonts w:ascii="Times New Roman" w:hAnsi="Times New Roman" w:cs="Times New Roman"/>
          <w:color w:val="000000" w:themeColor="text1"/>
        </w:rPr>
        <w:t>ój</w:t>
      </w:r>
      <w:r w:rsidRPr="00745EAA">
        <w:rPr>
          <w:rFonts w:ascii="Times New Roman" w:hAnsi="Times New Roman" w:cs="Times New Roman"/>
          <w:color w:val="000000" w:themeColor="text1"/>
        </w:rPr>
        <w:t xml:space="preserve"> regionu. Dlatego bardzo istotne jest a</w:t>
      </w:r>
      <w:r w:rsidR="00955432">
        <w:rPr>
          <w:rFonts w:ascii="Times New Roman" w:hAnsi="Times New Roman" w:cs="Times New Roman"/>
          <w:color w:val="000000" w:themeColor="text1"/>
        </w:rPr>
        <w:t>nimowanie</w:t>
      </w:r>
      <w:r w:rsidRPr="00745EAA">
        <w:rPr>
          <w:rFonts w:ascii="Times New Roman" w:hAnsi="Times New Roman" w:cs="Times New Roman"/>
          <w:color w:val="000000" w:themeColor="text1"/>
        </w:rPr>
        <w:t xml:space="preserve"> mieszkańców </w:t>
      </w:r>
      <w:r w:rsidR="00955432">
        <w:rPr>
          <w:rFonts w:ascii="Times New Roman" w:hAnsi="Times New Roman" w:cs="Times New Roman"/>
          <w:color w:val="000000" w:themeColor="text1"/>
        </w:rPr>
        <w:t>do</w:t>
      </w:r>
      <w:r w:rsidRPr="00745EAA">
        <w:rPr>
          <w:rFonts w:ascii="Times New Roman" w:hAnsi="Times New Roman" w:cs="Times New Roman"/>
          <w:color w:val="000000" w:themeColor="text1"/>
        </w:rPr>
        <w:t xml:space="preserve"> współprac</w:t>
      </w:r>
      <w:r w:rsidR="00955432">
        <w:rPr>
          <w:rFonts w:ascii="Times New Roman" w:hAnsi="Times New Roman" w:cs="Times New Roman"/>
          <w:color w:val="000000" w:themeColor="text1"/>
        </w:rPr>
        <w:t xml:space="preserve">y </w:t>
      </w:r>
      <w:r w:rsidRPr="00745EAA">
        <w:rPr>
          <w:rFonts w:ascii="Times New Roman" w:hAnsi="Times New Roman" w:cs="Times New Roman"/>
          <w:color w:val="000000" w:themeColor="text1"/>
        </w:rPr>
        <w:t>na rzecz regionu. Pierwszym działaniem w tym kierunku będzie organizacja konferencji otwierającej wdrażanie nowej LSR, na której uczestnicy zostaną zapoznani z możliwościami jakie płyną z wdrażania założeń dokumentu.</w:t>
      </w:r>
    </w:p>
    <w:p w14:paraId="6C04B99F" w14:textId="77777777" w:rsidR="00745EAA" w:rsidRPr="00745EAA" w:rsidRDefault="00745EAA" w:rsidP="00745EAA">
      <w:pPr>
        <w:spacing w:after="0" w:line="276" w:lineRule="auto"/>
        <w:ind w:firstLine="709"/>
        <w:jc w:val="both"/>
        <w:rPr>
          <w:rFonts w:ascii="Times New Roman" w:hAnsi="Times New Roman" w:cs="Times New Roman"/>
        </w:rPr>
      </w:pPr>
      <w:r w:rsidRPr="00745EAA">
        <w:rPr>
          <w:rFonts w:ascii="Times New Roman" w:hAnsi="Times New Roman" w:cs="Times New Roman"/>
          <w:color w:val="000000" w:themeColor="text1"/>
        </w:rPr>
        <w:t xml:space="preserve">Na etapie wdrażania LSR bardzo istotne będą relacje między członkami LGD. W związku z tym </w:t>
      </w:r>
      <w:r w:rsidRPr="00745EAA">
        <w:rPr>
          <w:rFonts w:ascii="Times New Roman" w:hAnsi="Times New Roman" w:cs="Times New Roman"/>
        </w:rPr>
        <w:t xml:space="preserve">LGD będzie otwarta na inicjatywy członków i będzie do takich inicjatyw zachęcała poprzez zaproszenia do zgłaszania propozycji dotyczących funkcjonowania LGD i wdrażania LSR (konkursy). </w:t>
      </w:r>
      <w:r w:rsidRPr="00745EAA">
        <w:rPr>
          <w:rFonts w:ascii="Times New Roman" w:hAnsi="Times New Roman" w:cs="Times New Roman"/>
          <w:color w:val="000000" w:themeColor="text1"/>
        </w:rPr>
        <w:t xml:space="preserve">Sugestie członków LGD jak i zwykłych mieszkańców będą brane pod uwagę przez Zarząd Stowarzyszenia oraz Radę. </w:t>
      </w:r>
    </w:p>
    <w:p w14:paraId="0C51F6D6" w14:textId="77777777" w:rsidR="00745EAA" w:rsidRPr="00745EAA" w:rsidRDefault="00745EAA" w:rsidP="00745EAA">
      <w:pPr>
        <w:spacing w:after="0" w:line="276" w:lineRule="auto"/>
        <w:ind w:firstLine="709"/>
        <w:jc w:val="both"/>
        <w:rPr>
          <w:rFonts w:ascii="Times New Roman" w:hAnsi="Times New Roman" w:cs="Times New Roman"/>
          <w:color w:val="000000" w:themeColor="text1"/>
        </w:rPr>
      </w:pPr>
      <w:r w:rsidRPr="00745EAA">
        <w:rPr>
          <w:rFonts w:ascii="Times New Roman" w:hAnsi="Times New Roman" w:cs="Times New Roman"/>
        </w:rPr>
        <w:t xml:space="preserve">Członkowie LGD zdają sobie sprawę, że samo informowanie mieszkańców, iż mogą brać udział </w:t>
      </w:r>
      <w:r w:rsidRPr="00745EAA">
        <w:rPr>
          <w:rFonts w:ascii="Times New Roman" w:hAnsi="Times New Roman" w:cs="Times New Roman"/>
        </w:rPr>
        <w:br/>
        <w:t xml:space="preserve">w rozwijaniu LSR i prezentowanie ofert finansowania dla regionu to za mało, a animacja to proces ciągły, dlatego też zaplanowano szereg innych działań animujących do podejmowania wspólnych inicjatyw ukierunkowanych na partnerstwo oraz zwiększenie innowacyjności obszaru, a także włączających wszystkich mieszkańców do aktywności, tak aby z czasem to sami mieszkańcy przejęli inicjatywę i stali się </w:t>
      </w:r>
      <w:r w:rsidRPr="00745EAA">
        <w:rPr>
          <w:rFonts w:ascii="Times New Roman" w:hAnsi="Times New Roman" w:cs="Times New Roman"/>
          <w:color w:val="000000" w:themeColor="text1"/>
        </w:rPr>
        <w:t xml:space="preserve">twórcami </w:t>
      </w:r>
      <w:r w:rsidRPr="00745EAA">
        <w:rPr>
          <w:rFonts w:ascii="Times New Roman" w:hAnsi="Times New Roman" w:cs="Times New Roman"/>
          <w:color w:val="000000" w:themeColor="text1"/>
        </w:rPr>
        <w:br/>
        <w:t xml:space="preserve">i kreatorami zmian w lokalnej społeczności. </w:t>
      </w:r>
    </w:p>
    <w:p w14:paraId="3F771CC6" w14:textId="77777777" w:rsidR="00745EAA" w:rsidRPr="00745EAA" w:rsidRDefault="00745EAA" w:rsidP="00745EAA">
      <w:pPr>
        <w:spacing w:after="0" w:line="276" w:lineRule="auto"/>
        <w:ind w:firstLine="709"/>
        <w:jc w:val="both"/>
        <w:rPr>
          <w:rFonts w:ascii="Times New Roman" w:hAnsi="Times New Roman" w:cs="Times New Roman"/>
        </w:rPr>
      </w:pPr>
      <w:r w:rsidRPr="00745EAA">
        <w:rPr>
          <w:rFonts w:ascii="Times New Roman" w:hAnsi="Times New Roman" w:cs="Times New Roman"/>
          <w:color w:val="000000" w:themeColor="text1"/>
        </w:rPr>
        <w:lastRenderedPageBreak/>
        <w:t xml:space="preserve">W związku z powyższym pracownicy Biura LGD będą organizowali spotkania otwarte przez cały okres wdrażania LSR oraz przed ogłaszaniem naborów wniosków, na którym będą informować mieszkańców </w:t>
      </w:r>
      <w:r w:rsidRPr="00745EAA">
        <w:rPr>
          <w:rFonts w:ascii="Times New Roman" w:hAnsi="Times New Roman" w:cs="Times New Roman"/>
          <w:color w:val="000000" w:themeColor="text1"/>
        </w:rPr>
        <w:br/>
        <w:t xml:space="preserve">o możliwościach realizacji projektów w partnerstwie oraz innowacyjnych. Podczas spotkań mieszkańcy dowiedzą się jakie korzyści płyną z współpracy partnerskiej oraz jak wdrażanie rozwiązań innowacyjnych wpłynie na rozwój obszaru. W spotkaniach będą uczestniczyć również potencjalni partnerzy z obszaru LGD oraz spoza niego. Ponadto raz na kwartał LGD planuje udział w wydarzeniu otwartym, na którym będzie prezentowała informacje na temat wdrażania LSR, gdzie również zostanie uwzględniony temat wyżej opisanych projektów. Ważnym zadaniem stojącym przed LGD jest zachęcanie mieszkańców z różnych grup do podejmowania działania w partnerstwie. </w:t>
      </w:r>
      <w:r w:rsidRPr="00745EAA">
        <w:rPr>
          <w:rFonts w:ascii="Times New Roman" w:hAnsi="Times New Roman" w:cs="Times New Roman"/>
          <w:color w:val="000000" w:themeColor="text1"/>
        </w:rPr>
        <w:br/>
        <w:t>W związku z tym na stronie internetowej LGD powstanie również baza z projektami partnerskimi, które będą zgłaszane przez mieszkańców obszaru, a także informacja z listą potencjalnych partnerów, którzy będą chcieli realizować projekty zarówno z partnerami z obszaru oraz spoza niego.</w:t>
      </w:r>
    </w:p>
    <w:p w14:paraId="5797B823" w14:textId="505C40F6" w:rsidR="00745EAA" w:rsidRPr="00745EAA" w:rsidRDefault="00745EAA" w:rsidP="00745EAA">
      <w:pPr>
        <w:spacing w:after="0" w:line="276" w:lineRule="auto"/>
        <w:ind w:firstLine="709"/>
        <w:jc w:val="both"/>
        <w:rPr>
          <w:rFonts w:ascii="Times New Roman" w:hAnsi="Times New Roman" w:cs="Times New Roman"/>
        </w:rPr>
      </w:pPr>
      <w:r w:rsidRPr="00745EAA">
        <w:rPr>
          <w:rFonts w:ascii="Times New Roman" w:hAnsi="Times New Roman" w:cs="Times New Roman"/>
          <w:color w:val="000000" w:themeColor="text1"/>
        </w:rPr>
        <w:t>Oprócz spotkań z członkami oraz potencjalnymi partnerami z obszaru</w:t>
      </w:r>
      <w:r w:rsidR="0055177D">
        <w:rPr>
          <w:rFonts w:ascii="Times New Roman" w:hAnsi="Times New Roman" w:cs="Times New Roman"/>
          <w:color w:val="000000" w:themeColor="text1"/>
        </w:rPr>
        <w:t>,</w:t>
      </w:r>
      <w:r w:rsidRPr="00745EAA">
        <w:rPr>
          <w:rFonts w:ascii="Times New Roman" w:hAnsi="Times New Roman" w:cs="Times New Roman"/>
        </w:rPr>
        <w:t xml:space="preserve"> planuje się również wspierać współpracę z innymi podmiotami, czyli animować podmioty z obszaru LSR do współpracy z innymi podmiotami poprzez szkolenia, spotkania aktywizacyjne i kojarzenie partnerów. W LSR przewidziano także aktywizowanie społeczności poprzez projekty grantowe oraz własne.</w:t>
      </w:r>
    </w:p>
    <w:p w14:paraId="727FF93E" w14:textId="77777777" w:rsidR="00745EAA" w:rsidRPr="00745EAA" w:rsidRDefault="00745EAA" w:rsidP="00745EAA">
      <w:pPr>
        <w:spacing w:after="0" w:line="276" w:lineRule="auto"/>
        <w:ind w:firstLine="709"/>
        <w:jc w:val="both"/>
        <w:rPr>
          <w:rFonts w:ascii="Times New Roman" w:hAnsi="Times New Roman" w:cs="Times New Roman"/>
          <w:color w:val="000000" w:themeColor="text1"/>
        </w:rPr>
      </w:pPr>
      <w:r w:rsidRPr="00745EAA">
        <w:rPr>
          <w:rFonts w:ascii="Times New Roman" w:hAnsi="Times New Roman" w:cs="Times New Roman"/>
          <w:color w:val="000000" w:themeColor="text1"/>
        </w:rPr>
        <w:t>Ponadto LGD będzie otwarte na przyjmowanie nowych członków, w celu lepszej realizacji Strategii. Informacje o możliwości przystąpienia nowych członków do Stowarzyszenia będą również umieszczane na stronie internetowej LGD oraz w mediach społecznościowych.</w:t>
      </w:r>
    </w:p>
    <w:p w14:paraId="3289BA42" w14:textId="77777777" w:rsidR="00745EAA" w:rsidRPr="00745EAA" w:rsidRDefault="00745EAA" w:rsidP="00745EAA">
      <w:pPr>
        <w:spacing w:after="0" w:line="276" w:lineRule="auto"/>
        <w:ind w:firstLine="709"/>
        <w:jc w:val="both"/>
        <w:rPr>
          <w:rFonts w:ascii="Times New Roman" w:hAnsi="Times New Roman" w:cs="Times New Roman"/>
          <w:color w:val="000000" w:themeColor="text1"/>
        </w:rPr>
      </w:pPr>
      <w:r w:rsidRPr="00745EAA">
        <w:rPr>
          <w:rFonts w:ascii="Times New Roman" w:hAnsi="Times New Roman" w:cs="Times New Roman"/>
        </w:rPr>
        <w:t xml:space="preserve">W ramach wdrażania niniejszej LSR zaplanowano preferencje punktowe dla projektów realizowanych w partnerstwie, co przyczyni się do rozwinięcia współpracy między podmiotami z obszaru LGD, zwiększenia zainteresowania, a docelowo realizacji projektów partnerskich. </w:t>
      </w:r>
    </w:p>
    <w:p w14:paraId="68BB3DD5" w14:textId="77777777" w:rsidR="00745EAA" w:rsidRPr="00745EAA" w:rsidRDefault="00745EAA" w:rsidP="00745EAA">
      <w:pPr>
        <w:spacing w:after="0" w:line="276" w:lineRule="auto"/>
        <w:ind w:firstLine="709"/>
        <w:jc w:val="both"/>
        <w:rPr>
          <w:rFonts w:ascii="Times New Roman" w:hAnsi="Times New Roman" w:cs="Times New Roman"/>
        </w:rPr>
      </w:pPr>
      <w:r w:rsidRPr="00745EAA">
        <w:rPr>
          <w:rFonts w:ascii="Times New Roman" w:hAnsi="Times New Roman" w:cs="Times New Roman"/>
        </w:rPr>
        <w:t>Wszystkie wskazane powyżej metody i kanały komunikacji będą służyły konkretnym celom. Niektóre stosowane będą w celu wywołania zmiany czy wygenerowania działania (preferencje punktowe dla projektów partnerskich, animowanie społeczności, animowanie podmiotów z obszaru LSR do współpracy z innymi podmiotami, możliwość zgłaszania pomysłów na realizację nowych projektów), ale też umożliwienia zarówno członkom LGD jak i zwykłym mieszkańcom wzajemnego zrozumienia przekazywanych informacji lub zadania pytania (badania ankietowe, publikowane w różny sposób informacje, organizowane spotkania i szkolenia itp.).</w:t>
      </w:r>
    </w:p>
    <w:p w14:paraId="17559413" w14:textId="1A3BB6E3" w:rsidR="0094673B" w:rsidRPr="00745EAA" w:rsidRDefault="00745EAA" w:rsidP="00745EAA">
      <w:pPr>
        <w:spacing w:after="0" w:line="276" w:lineRule="auto"/>
        <w:ind w:firstLine="709"/>
        <w:jc w:val="both"/>
        <w:rPr>
          <w:rFonts w:ascii="Times New Roman" w:hAnsi="Times New Roman" w:cs="Times New Roman"/>
        </w:rPr>
        <w:sectPr w:rsidR="0094673B" w:rsidRPr="00745EAA" w:rsidSect="00F35EB5">
          <w:footerReference w:type="default" r:id="rId10"/>
          <w:footerReference w:type="first" r:id="rId11"/>
          <w:type w:val="continuous"/>
          <w:pgSz w:w="11906" w:h="16838"/>
          <w:pgMar w:top="851" w:right="851" w:bottom="851" w:left="851" w:header="709" w:footer="709" w:gutter="0"/>
          <w:cols w:space="708"/>
          <w:titlePg/>
          <w:docGrid w:linePitch="360"/>
        </w:sectPr>
      </w:pPr>
      <w:r w:rsidRPr="00745EAA">
        <w:rPr>
          <w:rFonts w:ascii="Times New Roman" w:hAnsi="Times New Roman" w:cs="Times New Roman"/>
          <w:color w:val="000000" w:themeColor="text1"/>
        </w:rPr>
        <w:t xml:space="preserve">Działania związane z wdrażaniem LSR oraz wszelkie planowane formy i metody komunikacji z mieszkańcami, partnerami czy potencjalnymi beneficjentami będą możliwie szeroko spełniały wymagania w zakresie dostępności architektonicznej (powstająca w ramach LSR infrastruktura dostosowana do potrzeb osób </w:t>
      </w:r>
      <w:r w:rsidRPr="00745EAA">
        <w:rPr>
          <w:rFonts w:ascii="Times New Roman" w:hAnsi="Times New Roman" w:cs="Times New Roman"/>
          <w:color w:val="000000" w:themeColor="text1"/>
        </w:rPr>
        <w:br/>
        <w:t xml:space="preserve">z niepełnosprawnościami, również spotkania informacyjne będą odbywały się w obiektach pozbawionych barier architektonicznych), dostępności cyfrowej oraz </w:t>
      </w:r>
      <w:bookmarkStart w:id="22" w:name="_Hlk135830650"/>
      <w:r w:rsidRPr="00745EAA">
        <w:rPr>
          <w:rFonts w:ascii="Times New Roman" w:hAnsi="Times New Roman" w:cs="Times New Roman"/>
          <w:color w:val="000000" w:themeColor="text1"/>
        </w:rPr>
        <w:t>dostępności informacyjno-komunikacyjn</w:t>
      </w:r>
      <w:r w:rsidR="0055177D">
        <w:rPr>
          <w:rFonts w:ascii="Times New Roman" w:hAnsi="Times New Roman" w:cs="Times New Roman"/>
          <w:color w:val="000000" w:themeColor="text1"/>
        </w:rPr>
        <w:t>ej</w:t>
      </w:r>
      <w:bookmarkEnd w:id="22"/>
      <w:r w:rsidR="0055177D">
        <w:rPr>
          <w:rFonts w:ascii="Times New Roman" w:hAnsi="Times New Roman" w:cs="Times New Roman"/>
          <w:color w:val="000000" w:themeColor="text1"/>
        </w:rPr>
        <w:t>.</w:t>
      </w:r>
    </w:p>
    <w:p w14:paraId="58636488" w14:textId="33880A99" w:rsidR="00745EAA" w:rsidRDefault="00745EAA" w:rsidP="0094673B">
      <w:pPr>
        <w:pStyle w:val="podnagowek"/>
        <w:numPr>
          <w:ilvl w:val="0"/>
          <w:numId w:val="0"/>
        </w:numPr>
        <w:spacing w:after="0"/>
        <w:rPr>
          <w:sz w:val="22"/>
          <w:szCs w:val="22"/>
        </w:rPr>
      </w:pPr>
      <w:r>
        <w:rPr>
          <w:sz w:val="22"/>
          <w:szCs w:val="22"/>
        </w:rPr>
        <w:br w:type="page"/>
      </w:r>
    </w:p>
    <w:p w14:paraId="1D90F498" w14:textId="77777777" w:rsidR="00A17173" w:rsidRPr="009406C2" w:rsidRDefault="00A17173" w:rsidP="0094673B">
      <w:pPr>
        <w:pStyle w:val="Gwne"/>
        <w:spacing w:after="80"/>
        <w:ind w:left="1077" w:hanging="510"/>
        <w:rPr>
          <w:sz w:val="22"/>
          <w:szCs w:val="22"/>
        </w:rPr>
      </w:pPr>
      <w:bookmarkStart w:id="23" w:name="_Toc135896897"/>
      <w:r w:rsidRPr="009406C2">
        <w:rPr>
          <w:sz w:val="22"/>
          <w:szCs w:val="22"/>
        </w:rPr>
        <w:lastRenderedPageBreak/>
        <w:t>ANALIZA POTRZEB I POTENCJAŁU</w:t>
      </w:r>
      <w:bookmarkEnd w:id="23"/>
    </w:p>
    <w:p w14:paraId="5D0430C0" w14:textId="77777777" w:rsidR="00A17173" w:rsidRPr="009406C2" w:rsidRDefault="00A17173" w:rsidP="00C20037">
      <w:pPr>
        <w:pStyle w:val="Gwne"/>
        <w:numPr>
          <w:ilvl w:val="0"/>
          <w:numId w:val="14"/>
        </w:numPr>
        <w:spacing w:after="0"/>
        <w:ind w:left="782" w:hanging="357"/>
        <w:outlineLvl w:val="1"/>
        <w:rPr>
          <w:sz w:val="22"/>
          <w:szCs w:val="22"/>
        </w:rPr>
      </w:pPr>
      <w:bookmarkStart w:id="24" w:name="_Toc124403891"/>
      <w:bookmarkStart w:id="25" w:name="_Toc135896898"/>
      <w:r w:rsidRPr="009406C2">
        <w:rPr>
          <w:sz w:val="22"/>
          <w:szCs w:val="22"/>
        </w:rPr>
        <w:t>Potrzeby rozwojowe i potencjały obszaru</w:t>
      </w:r>
      <w:bookmarkEnd w:id="24"/>
      <w:bookmarkEnd w:id="25"/>
    </w:p>
    <w:p w14:paraId="04CF252C" w14:textId="33DAFDDF" w:rsidR="00A17173" w:rsidRPr="00C56E02" w:rsidRDefault="00A17173" w:rsidP="003D1A36">
      <w:pPr>
        <w:pStyle w:val="Akapitzlist"/>
        <w:spacing w:after="0" w:line="276" w:lineRule="auto"/>
        <w:ind w:left="0" w:firstLine="708"/>
        <w:jc w:val="both"/>
        <w:rPr>
          <w:rFonts w:ascii="Times New Roman" w:hAnsi="Times New Roman" w:cs="Times New Roman"/>
        </w:rPr>
      </w:pPr>
      <w:r w:rsidRPr="00C56E02">
        <w:rPr>
          <w:rFonts w:ascii="Times New Roman" w:hAnsi="Times New Roman" w:cs="Times New Roman"/>
        </w:rPr>
        <w:t xml:space="preserve">Podstawę przygotowania jakiejkolwiek strategii </w:t>
      </w:r>
      <w:r>
        <w:rPr>
          <w:rFonts w:ascii="Times New Roman" w:hAnsi="Times New Roman" w:cs="Times New Roman"/>
        </w:rPr>
        <w:t xml:space="preserve">rozwoju </w:t>
      </w:r>
      <w:r w:rsidRPr="00C56E02">
        <w:rPr>
          <w:rFonts w:ascii="Times New Roman" w:hAnsi="Times New Roman" w:cs="Times New Roman"/>
        </w:rPr>
        <w:t xml:space="preserve">stanowi </w:t>
      </w:r>
      <w:r>
        <w:rPr>
          <w:rFonts w:ascii="Times New Roman" w:hAnsi="Times New Roman" w:cs="Times New Roman"/>
        </w:rPr>
        <w:t>dobrze przeprowadzona diagnoza obszaru dotycząca problemów i potrzeb, jak również zasobów i potencjału danego terytorium i danej społeczności. Na cele opracowania LSR opracowana została w I</w:t>
      </w:r>
      <w:r w:rsidR="00A92DDA">
        <w:rPr>
          <w:rFonts w:ascii="Times New Roman" w:hAnsi="Times New Roman" w:cs="Times New Roman"/>
        </w:rPr>
        <w:t>V</w:t>
      </w:r>
      <w:r>
        <w:rPr>
          <w:rFonts w:ascii="Times New Roman" w:hAnsi="Times New Roman" w:cs="Times New Roman"/>
        </w:rPr>
        <w:t xml:space="preserve"> kwartale 2022 r. </w:t>
      </w:r>
      <w:r w:rsidRPr="00C56E02">
        <w:rPr>
          <w:rFonts w:ascii="Times New Roman" w:hAnsi="Times New Roman" w:cs="Times New Roman"/>
          <w:i/>
          <w:iCs/>
        </w:rPr>
        <w:t>Diagnoza obszaru na potrzeby Lokalnej Strategii Rozwoju</w:t>
      </w:r>
      <w:r>
        <w:rPr>
          <w:rFonts w:ascii="Times New Roman" w:hAnsi="Times New Roman" w:cs="Times New Roman"/>
        </w:rPr>
        <w:t xml:space="preserve">. W niniejszym rozdziale LSR przytoczono te jej zapisy i wyniki analiz, które mają szczególne znaczenie dla tego obszaru. </w:t>
      </w:r>
    </w:p>
    <w:p w14:paraId="19D1C049" w14:textId="77777777" w:rsidR="00A17173" w:rsidRPr="007C1049" w:rsidRDefault="00A17173" w:rsidP="003D1A36">
      <w:pPr>
        <w:pStyle w:val="Gwne"/>
        <w:numPr>
          <w:ilvl w:val="0"/>
          <w:numId w:val="15"/>
        </w:numPr>
        <w:spacing w:after="0"/>
        <w:ind w:left="924" w:hanging="357"/>
        <w:outlineLvl w:val="9"/>
        <w:rPr>
          <w:sz w:val="22"/>
          <w:szCs w:val="22"/>
        </w:rPr>
      </w:pPr>
      <w:bookmarkStart w:id="26" w:name="_Toc111101332"/>
      <w:bookmarkStart w:id="27" w:name="_Toc115789646"/>
      <w:r w:rsidRPr="007C1049">
        <w:rPr>
          <w:sz w:val="22"/>
          <w:szCs w:val="22"/>
        </w:rPr>
        <w:t>Zagrożenie trwałą marginalizacją</w:t>
      </w:r>
      <w:bookmarkEnd w:id="26"/>
      <w:bookmarkEnd w:id="27"/>
      <w:r w:rsidRPr="007C1049">
        <w:rPr>
          <w:sz w:val="22"/>
          <w:szCs w:val="22"/>
        </w:rPr>
        <w:t xml:space="preserve"> </w:t>
      </w:r>
    </w:p>
    <w:p w14:paraId="40A728CE" w14:textId="77777777" w:rsidR="00955432" w:rsidRPr="00955432" w:rsidRDefault="00955432" w:rsidP="00955432">
      <w:pPr>
        <w:spacing w:after="0" w:line="276" w:lineRule="auto"/>
        <w:ind w:firstLine="709"/>
        <w:jc w:val="both"/>
        <w:rPr>
          <w:rFonts w:ascii="Times New Roman" w:hAnsi="Times New Roman" w:cs="Times New Roman"/>
          <w:color w:val="000000" w:themeColor="text1"/>
        </w:rPr>
      </w:pPr>
      <w:r w:rsidRPr="00955432">
        <w:rPr>
          <w:rFonts w:ascii="Times New Roman" w:hAnsi="Times New Roman" w:cs="Times New Roman"/>
          <w:color w:val="000000" w:themeColor="text1"/>
        </w:rPr>
        <w:t xml:space="preserve">W </w:t>
      </w:r>
      <w:r w:rsidRPr="00955432">
        <w:rPr>
          <w:rFonts w:ascii="Times New Roman" w:hAnsi="Times New Roman" w:cs="Times New Roman"/>
          <w:i/>
          <w:iCs/>
          <w:color w:val="000000" w:themeColor="text1"/>
        </w:rPr>
        <w:t>Krajowej Strategii Rozwoju Regionalnego 2030</w:t>
      </w:r>
      <w:r w:rsidRPr="00955432">
        <w:rPr>
          <w:rFonts w:ascii="Times New Roman" w:hAnsi="Times New Roman" w:cs="Times New Roman"/>
          <w:color w:val="000000" w:themeColor="text1"/>
        </w:rPr>
        <w:t xml:space="preserve"> (KSRR 2030) wyznaczono obszary zagrożone trwałą marginalizacją, czyli zróżnicowane przestrzennie pod względem poziomu rozwoju społeczno-gospodarczego, jak </w:t>
      </w:r>
      <w:r w:rsidRPr="00955432">
        <w:rPr>
          <w:rFonts w:ascii="Times New Roman" w:hAnsi="Times New Roman" w:cs="Times New Roman"/>
          <w:color w:val="000000" w:themeColor="text1"/>
        </w:rPr>
        <w:br/>
        <w:t xml:space="preserve">i funkcji gospodarczych, skupiska gmin wiejskich i powiązanych z nimi funkcjonalnie małych miast, w których nastąpiła kumulacja negatywnych zjawisk społecznych i ekonomicznych. </w:t>
      </w:r>
    </w:p>
    <w:p w14:paraId="1ECA65F2" w14:textId="671DE3C0" w:rsidR="00A17173" w:rsidRDefault="00A17173" w:rsidP="0094673B">
      <w:pPr>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Istotną częścią dokumentu jest Załącznik 1. </w:t>
      </w:r>
      <w:r w:rsidRPr="008546D9">
        <w:rPr>
          <w:rFonts w:ascii="Times New Roman" w:hAnsi="Times New Roman" w:cs="Times New Roman"/>
          <w:i/>
          <w:iCs/>
          <w:color w:val="000000" w:themeColor="text1"/>
        </w:rPr>
        <w:t>Lista gmina zagrożonych trwałą marginalizacją: programowanie 2021–2021</w:t>
      </w:r>
      <w:r>
        <w:rPr>
          <w:rFonts w:ascii="Times New Roman" w:hAnsi="Times New Roman" w:cs="Times New Roman"/>
          <w:color w:val="000000" w:themeColor="text1"/>
        </w:rPr>
        <w:t xml:space="preserve">. Obszary zagrożone trwałą marginalizacją to zróżnicowane przestrzennie pod względem poziomu rozwoju społeczno-gospodarczego, jak i funkcji gospodarczych, skupiska gmin wiejskich i powiązanych z nimi funkcjonalnie małych miast, w których nastąpiła kumulacja negatywnych zjawisk społecznych </w:t>
      </w:r>
      <w:r w:rsidR="00955432">
        <w:rPr>
          <w:rFonts w:ascii="Times New Roman" w:hAnsi="Times New Roman" w:cs="Times New Roman"/>
          <w:color w:val="000000" w:themeColor="text1"/>
        </w:rPr>
        <w:br/>
      </w:r>
      <w:r>
        <w:rPr>
          <w:rFonts w:ascii="Times New Roman" w:hAnsi="Times New Roman" w:cs="Times New Roman"/>
          <w:color w:val="000000" w:themeColor="text1"/>
        </w:rPr>
        <w:t>i ekonomicznych.</w:t>
      </w:r>
    </w:p>
    <w:p w14:paraId="46E72F3C" w14:textId="7FE3D3C4" w:rsidR="00745EAA" w:rsidRPr="003D1A36" w:rsidRDefault="00A17173" w:rsidP="003D1A36">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Wśród gmin z obszaru </w:t>
      </w:r>
      <w:r w:rsidR="000B3A59">
        <w:rPr>
          <w:rFonts w:ascii="Times New Roman" w:hAnsi="Times New Roman" w:cs="Times New Roman"/>
          <w:color w:val="000000" w:themeColor="text1"/>
        </w:rPr>
        <w:t>B</w:t>
      </w:r>
      <w:r>
        <w:rPr>
          <w:rFonts w:ascii="Times New Roman" w:hAnsi="Times New Roman" w:cs="Times New Roman"/>
          <w:color w:val="000000" w:themeColor="text1"/>
        </w:rPr>
        <w:t>LGD na powyższej liście znalazł</w:t>
      </w:r>
      <w:r w:rsidR="006D26B5">
        <w:rPr>
          <w:rFonts w:ascii="Times New Roman" w:hAnsi="Times New Roman" w:cs="Times New Roman"/>
          <w:color w:val="000000" w:themeColor="text1"/>
        </w:rPr>
        <w:t>o</w:t>
      </w:r>
      <w:r>
        <w:rPr>
          <w:rFonts w:ascii="Times New Roman" w:hAnsi="Times New Roman" w:cs="Times New Roman"/>
          <w:color w:val="000000" w:themeColor="text1"/>
        </w:rPr>
        <w:t xml:space="preserve"> się </w:t>
      </w:r>
      <w:r w:rsidR="000B3A59">
        <w:rPr>
          <w:rFonts w:ascii="Times New Roman" w:hAnsi="Times New Roman" w:cs="Times New Roman"/>
          <w:color w:val="000000" w:themeColor="text1"/>
        </w:rPr>
        <w:t xml:space="preserve">szesnaście </w:t>
      </w:r>
      <w:r>
        <w:rPr>
          <w:rFonts w:ascii="Times New Roman" w:hAnsi="Times New Roman" w:cs="Times New Roman"/>
          <w:color w:val="000000" w:themeColor="text1"/>
        </w:rPr>
        <w:t>gmin</w:t>
      </w:r>
      <w:r w:rsidR="000B3A59">
        <w:rPr>
          <w:rFonts w:ascii="Times New Roman" w:hAnsi="Times New Roman" w:cs="Times New Roman"/>
          <w:color w:val="000000" w:themeColor="text1"/>
        </w:rPr>
        <w:t xml:space="preserve"> wiejskich</w:t>
      </w:r>
      <w:r>
        <w:rPr>
          <w:rFonts w:ascii="Times New Roman" w:hAnsi="Times New Roman" w:cs="Times New Roman"/>
          <w:color w:val="000000" w:themeColor="text1"/>
        </w:rPr>
        <w:t xml:space="preserve">: </w:t>
      </w:r>
      <w:r w:rsidR="000B3A59" w:rsidRPr="00A62206">
        <w:rPr>
          <w:rFonts w:ascii="Times New Roman" w:hAnsi="Times New Roman" w:cs="Times New Roman"/>
          <w:color w:val="000000" w:themeColor="text1"/>
        </w:rPr>
        <w:t>Drelów, Janów Podlaski, Kodeń, Konstantynów, Leśna Podlaska, Łomazy, Międzyrzec Podlaski, Piszczac, Rokitno, Rossosz, Sławatycze, Sosnówka, Terespol, Tuczna, Wisznice, Zalesie</w:t>
      </w:r>
      <w:r>
        <w:rPr>
          <w:rFonts w:ascii="Times New Roman" w:hAnsi="Times New Roman" w:cs="Times New Roman"/>
          <w:color w:val="000000" w:themeColor="text1"/>
        </w:rPr>
        <w:t xml:space="preserve">. Na poziomie regionalnym, w </w:t>
      </w:r>
      <w:r w:rsidRPr="00A04ABD">
        <w:rPr>
          <w:rFonts w:ascii="Times New Roman" w:hAnsi="Times New Roman" w:cs="Times New Roman"/>
          <w:i/>
          <w:iCs/>
          <w:color w:val="000000" w:themeColor="text1"/>
        </w:rPr>
        <w:t xml:space="preserve">Strategii Rozwoju Województwa </w:t>
      </w:r>
      <w:r w:rsidR="000B3A59">
        <w:rPr>
          <w:rFonts w:ascii="Times New Roman" w:hAnsi="Times New Roman" w:cs="Times New Roman"/>
          <w:i/>
          <w:iCs/>
          <w:color w:val="000000" w:themeColor="text1"/>
        </w:rPr>
        <w:t>Lubelskiego</w:t>
      </w:r>
      <w:r w:rsidRPr="00A04ABD">
        <w:rPr>
          <w:rFonts w:ascii="Times New Roman" w:hAnsi="Times New Roman" w:cs="Times New Roman"/>
          <w:i/>
          <w:iCs/>
          <w:color w:val="000000" w:themeColor="text1"/>
        </w:rPr>
        <w:t xml:space="preserve"> </w:t>
      </w:r>
      <w:r w:rsidR="00FB2F5C">
        <w:rPr>
          <w:rFonts w:ascii="Times New Roman" w:hAnsi="Times New Roman" w:cs="Times New Roman"/>
          <w:i/>
          <w:iCs/>
          <w:color w:val="000000" w:themeColor="text1"/>
        </w:rPr>
        <w:t xml:space="preserve">do </w:t>
      </w:r>
      <w:r w:rsidRPr="00FB2F5C">
        <w:rPr>
          <w:rFonts w:ascii="Times New Roman" w:hAnsi="Times New Roman" w:cs="Times New Roman"/>
          <w:i/>
          <w:iCs/>
          <w:color w:val="000000" w:themeColor="text1"/>
        </w:rPr>
        <w:t>2030</w:t>
      </w:r>
      <w:r w:rsidR="00FB2F5C" w:rsidRPr="00FB2F5C">
        <w:rPr>
          <w:rFonts w:ascii="Times New Roman" w:hAnsi="Times New Roman" w:cs="Times New Roman"/>
          <w:i/>
          <w:iCs/>
          <w:color w:val="000000" w:themeColor="text1"/>
        </w:rPr>
        <w:t xml:space="preserve"> roku</w:t>
      </w:r>
      <w:r w:rsidRPr="00FB2F5C">
        <w:rPr>
          <w:rFonts w:ascii="Times New Roman" w:hAnsi="Times New Roman" w:cs="Times New Roman"/>
          <w:color w:val="000000" w:themeColor="text1"/>
        </w:rPr>
        <w:t>,</w:t>
      </w:r>
      <w:r>
        <w:rPr>
          <w:rFonts w:ascii="Times New Roman" w:hAnsi="Times New Roman" w:cs="Times New Roman"/>
          <w:color w:val="000000" w:themeColor="text1"/>
        </w:rPr>
        <w:t xml:space="preserve"> wyznaczone w KSRR 2030 obszary zagrożone trwałą marginalizacją na terenie województwa </w:t>
      </w:r>
      <w:r w:rsidR="00600438">
        <w:rPr>
          <w:rFonts w:ascii="Times New Roman" w:hAnsi="Times New Roman" w:cs="Times New Roman"/>
          <w:color w:val="000000" w:themeColor="text1"/>
        </w:rPr>
        <w:t>lubelskiego</w:t>
      </w:r>
      <w:r>
        <w:rPr>
          <w:rFonts w:ascii="Times New Roman" w:hAnsi="Times New Roman" w:cs="Times New Roman"/>
          <w:color w:val="000000" w:themeColor="text1"/>
        </w:rPr>
        <w:t xml:space="preserve"> określono jako jeden z obszarów strategicznej interwencji: </w:t>
      </w:r>
      <w:r w:rsidRPr="0020277D">
        <w:rPr>
          <w:rFonts w:ascii="Times New Roman" w:hAnsi="Times New Roman" w:cs="Times New Roman"/>
          <w:i/>
          <w:iCs/>
          <w:color w:val="000000" w:themeColor="text1"/>
        </w:rPr>
        <w:t>OSI Obszary zagrożone trwałą marginalizacją</w:t>
      </w:r>
      <w:r>
        <w:rPr>
          <w:rFonts w:ascii="Times New Roman" w:hAnsi="Times New Roman" w:cs="Times New Roman"/>
          <w:color w:val="000000" w:themeColor="text1"/>
        </w:rPr>
        <w:t>.</w:t>
      </w:r>
      <w:r w:rsidR="003D1A36">
        <w:rPr>
          <w:rFonts w:ascii="Times New Roman" w:hAnsi="Times New Roman" w:cs="Times New Roman"/>
          <w:color w:val="000000" w:themeColor="text1"/>
        </w:rPr>
        <w:t xml:space="preserve"> </w:t>
      </w:r>
      <w:r>
        <w:rPr>
          <w:rFonts w:ascii="Times New Roman" w:hAnsi="Times New Roman" w:cs="Times New Roman"/>
          <w:b/>
          <w:bCs/>
          <w:color w:val="000000" w:themeColor="text1"/>
        </w:rPr>
        <w:t>W</w:t>
      </w:r>
      <w:r w:rsidRPr="009C36D6">
        <w:rPr>
          <w:rFonts w:ascii="Times New Roman" w:hAnsi="Times New Roman" w:cs="Times New Roman"/>
          <w:b/>
          <w:bCs/>
          <w:color w:val="000000" w:themeColor="text1"/>
        </w:rPr>
        <w:t xml:space="preserve">skaźnik </w:t>
      </w:r>
      <w:r>
        <w:rPr>
          <w:rFonts w:ascii="Times New Roman" w:hAnsi="Times New Roman" w:cs="Times New Roman"/>
          <w:b/>
          <w:bCs/>
          <w:i/>
          <w:iCs/>
          <w:color w:val="000000" w:themeColor="text1"/>
        </w:rPr>
        <w:t>zagrożenie trwałą marginalizacją</w:t>
      </w:r>
      <w:r w:rsidRPr="009C36D6">
        <w:rPr>
          <w:rFonts w:ascii="Times New Roman" w:hAnsi="Times New Roman" w:cs="Times New Roman"/>
          <w:b/>
          <w:bCs/>
          <w:i/>
          <w:iCs/>
          <w:color w:val="000000" w:themeColor="text1"/>
        </w:rPr>
        <w:t xml:space="preserve"> na obszarze LSR </w:t>
      </w:r>
      <w:r w:rsidRPr="00D03CAB">
        <w:rPr>
          <w:rFonts w:ascii="Times New Roman" w:hAnsi="Times New Roman" w:cs="Times New Roman"/>
          <w:b/>
          <w:bCs/>
          <w:color w:val="000000" w:themeColor="text1"/>
        </w:rPr>
        <w:t>za</w:t>
      </w:r>
      <w:r w:rsidRPr="009C36D6">
        <w:rPr>
          <w:rFonts w:ascii="Times New Roman" w:hAnsi="Times New Roman" w:cs="Times New Roman"/>
          <w:b/>
          <w:bCs/>
          <w:i/>
          <w:iCs/>
          <w:color w:val="000000" w:themeColor="text1"/>
        </w:rPr>
        <w:t xml:space="preserve"> </w:t>
      </w:r>
      <w:r w:rsidRPr="009C36D6">
        <w:rPr>
          <w:rFonts w:ascii="Times New Roman" w:hAnsi="Times New Roman" w:cs="Times New Roman"/>
          <w:b/>
          <w:bCs/>
          <w:color w:val="000000" w:themeColor="text1"/>
        </w:rPr>
        <w:t>2020</w:t>
      </w:r>
      <w:r>
        <w:rPr>
          <w:rFonts w:ascii="Times New Roman" w:hAnsi="Times New Roman" w:cs="Times New Roman"/>
          <w:b/>
          <w:bCs/>
          <w:color w:val="000000" w:themeColor="text1"/>
        </w:rPr>
        <w:t xml:space="preserve"> r.: obszar LGD osiąga </w:t>
      </w:r>
      <w:r w:rsidR="00FB2F5C">
        <w:rPr>
          <w:rFonts w:ascii="Times New Roman" w:hAnsi="Times New Roman" w:cs="Times New Roman"/>
          <w:b/>
          <w:bCs/>
          <w:color w:val="000000" w:themeColor="text1"/>
        </w:rPr>
        <w:t>4</w:t>
      </w:r>
      <w:r>
        <w:rPr>
          <w:rFonts w:ascii="Times New Roman" w:hAnsi="Times New Roman" w:cs="Times New Roman"/>
          <w:b/>
          <w:bCs/>
          <w:color w:val="000000" w:themeColor="text1"/>
        </w:rPr>
        <w:t xml:space="preserve"> pkt</w:t>
      </w:r>
      <w:r w:rsidRPr="008546D9">
        <w:rPr>
          <w:rStyle w:val="Odwoanieprzypisudolnego"/>
          <w:rFonts w:ascii="Times New Roman" w:hAnsi="Times New Roman" w:cs="Times New Roman"/>
          <w:color w:val="000000" w:themeColor="text1"/>
        </w:rPr>
        <w:footnoteReference w:id="6"/>
      </w:r>
      <w:r w:rsidRPr="008546D9">
        <w:rPr>
          <w:rFonts w:ascii="Times New Roman" w:hAnsi="Times New Roman" w:cs="Times New Roman"/>
          <w:color w:val="000000" w:themeColor="text1"/>
        </w:rPr>
        <w:t>.</w:t>
      </w:r>
    </w:p>
    <w:p w14:paraId="10DE97A6" w14:textId="77777777" w:rsidR="00A17173" w:rsidRPr="00D06602" w:rsidRDefault="00A17173" w:rsidP="003D1A36">
      <w:pPr>
        <w:pStyle w:val="podnagowek"/>
        <w:numPr>
          <w:ilvl w:val="1"/>
          <w:numId w:val="16"/>
        </w:numPr>
        <w:spacing w:after="120" w:line="276" w:lineRule="auto"/>
        <w:ind w:left="924" w:hanging="357"/>
        <w:outlineLvl w:val="9"/>
        <w:rPr>
          <w:sz w:val="22"/>
          <w:szCs w:val="22"/>
        </w:rPr>
      </w:pPr>
      <w:r w:rsidRPr="00F9471C">
        <w:rPr>
          <w:sz w:val="22"/>
          <w:szCs w:val="22"/>
        </w:rPr>
        <w:t>Charakterystyka demograficzna</w:t>
      </w:r>
    </w:p>
    <w:p w14:paraId="466C802A" w14:textId="623FFF79" w:rsidR="00745EAA" w:rsidRDefault="008752BD" w:rsidP="00A17173">
      <w:pPr>
        <w:spacing w:after="0" w:line="276" w:lineRule="auto"/>
        <w:ind w:firstLine="708"/>
        <w:jc w:val="both"/>
        <w:rPr>
          <w:rFonts w:ascii="Times New Roman" w:hAnsi="Times New Roman" w:cs="Times New Roman"/>
          <w:color w:val="000000" w:themeColor="text1"/>
        </w:rPr>
      </w:pPr>
      <w:r w:rsidRPr="0043704B">
        <w:rPr>
          <w:rFonts w:ascii="Times New Roman" w:hAnsi="Times New Roman" w:cs="Times New Roman"/>
          <w:color w:val="000000" w:themeColor="text1"/>
        </w:rPr>
        <w:t>Zgodnie z danymi Głównego Urzędu Statystycznego na dzień 31 grudnia 20</w:t>
      </w:r>
      <w:r>
        <w:rPr>
          <w:rFonts w:ascii="Times New Roman" w:hAnsi="Times New Roman" w:cs="Times New Roman"/>
          <w:color w:val="000000" w:themeColor="text1"/>
        </w:rPr>
        <w:t>20</w:t>
      </w:r>
      <w:r w:rsidRPr="0043704B">
        <w:rPr>
          <w:rFonts w:ascii="Times New Roman" w:hAnsi="Times New Roman" w:cs="Times New Roman"/>
          <w:color w:val="000000" w:themeColor="text1"/>
        </w:rPr>
        <w:t xml:space="preserve"> roku, obszar objęty strategią rozwoju lokalnego kierowanego przez społeczność zamieszkiwał</w:t>
      </w:r>
      <w:r>
        <w:rPr>
          <w:rFonts w:ascii="Times New Roman" w:hAnsi="Times New Roman" w:cs="Times New Roman"/>
          <w:color w:val="000000" w:themeColor="text1"/>
        </w:rPr>
        <w:t>o</w:t>
      </w:r>
      <w:r w:rsidRPr="0043704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107 031 osób, w tym 53 429 mężczyzn (49,9%) </w:t>
      </w:r>
      <w:r>
        <w:rPr>
          <w:rFonts w:ascii="Times New Roman" w:hAnsi="Times New Roman" w:cs="Times New Roman"/>
          <w:color w:val="000000" w:themeColor="text1"/>
        </w:rPr>
        <w:br/>
        <w:t xml:space="preserve">i 53 602 kobiety (50,1%), co stanowiło 100,0% ludności powiatu bialskiego oraz 5,2% populacji województwa lubelskiego. Biorąc pod uwagę poszczególne gminy wchodzące w skład LGD, najwięcej ludzi zamieszkiwało gminę miejską Międzyrzec Podlaski (15 883 osoby), a najmniej gminę wiejską Rossosz (2 136 osób). </w:t>
      </w:r>
      <w:r w:rsidR="00A17173" w:rsidRPr="0043704B">
        <w:rPr>
          <w:rFonts w:ascii="Times New Roman" w:hAnsi="Times New Roman" w:cs="Times New Roman"/>
          <w:color w:val="000000" w:themeColor="text1"/>
        </w:rPr>
        <w:t xml:space="preserve">Szczegółowe dane na temat </w:t>
      </w:r>
      <w:r w:rsidR="00A17173">
        <w:rPr>
          <w:rFonts w:ascii="Times New Roman" w:hAnsi="Times New Roman" w:cs="Times New Roman"/>
          <w:color w:val="000000" w:themeColor="text1"/>
        </w:rPr>
        <w:t xml:space="preserve">liczby </w:t>
      </w:r>
      <w:r w:rsidR="00A17173" w:rsidRPr="0043704B">
        <w:rPr>
          <w:rFonts w:ascii="Times New Roman" w:hAnsi="Times New Roman" w:cs="Times New Roman"/>
          <w:color w:val="000000" w:themeColor="text1"/>
        </w:rPr>
        <w:t xml:space="preserve">ludności poszczególnych gmin </w:t>
      </w:r>
      <w:r w:rsidR="00A17173">
        <w:rPr>
          <w:rFonts w:ascii="Times New Roman" w:hAnsi="Times New Roman" w:cs="Times New Roman"/>
          <w:color w:val="000000" w:themeColor="text1"/>
        </w:rPr>
        <w:t>w 2020 r. zaprezentowano w tabeli</w:t>
      </w:r>
      <w:r w:rsidR="00A17173" w:rsidRPr="0043704B">
        <w:rPr>
          <w:rFonts w:ascii="Times New Roman" w:hAnsi="Times New Roman" w:cs="Times New Roman"/>
          <w:color w:val="000000" w:themeColor="text1"/>
        </w:rPr>
        <w:t xml:space="preserve"> </w:t>
      </w:r>
      <w:r w:rsidR="001E060A">
        <w:rPr>
          <w:rFonts w:ascii="Times New Roman" w:hAnsi="Times New Roman" w:cs="Times New Roman"/>
          <w:color w:val="000000" w:themeColor="text1"/>
        </w:rPr>
        <w:t>2</w:t>
      </w:r>
      <w:r w:rsidR="00A17173">
        <w:rPr>
          <w:rFonts w:ascii="Times New Roman" w:hAnsi="Times New Roman" w:cs="Times New Roman"/>
          <w:color w:val="000000" w:themeColor="text1"/>
        </w:rPr>
        <w:t xml:space="preserve">. Cały obszar </w:t>
      </w:r>
      <w:r>
        <w:rPr>
          <w:rFonts w:ascii="Times New Roman" w:hAnsi="Times New Roman" w:cs="Times New Roman"/>
          <w:color w:val="000000" w:themeColor="text1"/>
        </w:rPr>
        <w:t>B</w:t>
      </w:r>
      <w:r w:rsidR="00A17173">
        <w:rPr>
          <w:rFonts w:ascii="Times New Roman" w:hAnsi="Times New Roman" w:cs="Times New Roman"/>
          <w:color w:val="000000" w:themeColor="text1"/>
        </w:rPr>
        <w:t>LGD charakteryzują zbliżone uwarunkowania społeczne, które odzwierciedlają wartości wskaźników statystycznych.</w:t>
      </w:r>
      <w:r w:rsidR="00745EAA">
        <w:rPr>
          <w:rFonts w:ascii="Times New Roman" w:hAnsi="Times New Roman" w:cs="Times New Roman"/>
          <w:color w:val="000000" w:themeColor="text1"/>
        </w:rPr>
        <w:br w:type="page"/>
      </w:r>
    </w:p>
    <w:p w14:paraId="4B7DA253" w14:textId="4875ECBC" w:rsidR="00A17173" w:rsidRDefault="00A17173" w:rsidP="00A17173">
      <w:pPr>
        <w:pStyle w:val="Legenda"/>
        <w:spacing w:after="0"/>
        <w:jc w:val="center"/>
        <w:rPr>
          <w:rFonts w:ascii="Times New Roman" w:hAnsi="Times New Roman" w:cs="Times New Roman"/>
          <w:b/>
          <w:bCs/>
          <w:i w:val="0"/>
          <w:iCs w:val="0"/>
          <w:color w:val="000000" w:themeColor="text1"/>
          <w:sz w:val="20"/>
          <w:szCs w:val="20"/>
        </w:rPr>
      </w:pPr>
      <w:bookmarkStart w:id="28" w:name="_Toc115335592"/>
      <w:bookmarkStart w:id="29" w:name="_Toc135896544"/>
      <w:r w:rsidRPr="00565658">
        <w:rPr>
          <w:rFonts w:ascii="Times New Roman" w:hAnsi="Times New Roman" w:cs="Times New Roman"/>
          <w:b/>
          <w:bCs/>
          <w:i w:val="0"/>
          <w:iCs w:val="0"/>
          <w:color w:val="000000" w:themeColor="text1"/>
          <w:sz w:val="20"/>
          <w:szCs w:val="20"/>
        </w:rPr>
        <w:lastRenderedPageBreak/>
        <w:t xml:space="preserve">Tabela </w:t>
      </w:r>
      <w:r w:rsidRPr="00565658">
        <w:rPr>
          <w:rFonts w:ascii="Times New Roman" w:hAnsi="Times New Roman" w:cs="Times New Roman"/>
          <w:b/>
          <w:bCs/>
          <w:i w:val="0"/>
          <w:iCs w:val="0"/>
          <w:color w:val="000000" w:themeColor="text1"/>
          <w:sz w:val="20"/>
          <w:szCs w:val="20"/>
        </w:rPr>
        <w:fldChar w:fldCharType="begin"/>
      </w:r>
      <w:r w:rsidRPr="00565658">
        <w:rPr>
          <w:rFonts w:ascii="Times New Roman" w:hAnsi="Times New Roman" w:cs="Times New Roman"/>
          <w:b/>
          <w:bCs/>
          <w:i w:val="0"/>
          <w:iCs w:val="0"/>
          <w:color w:val="000000" w:themeColor="text1"/>
          <w:sz w:val="20"/>
          <w:szCs w:val="20"/>
        </w:rPr>
        <w:instrText xml:space="preserve"> SEQ Tabela \* ARABIC </w:instrText>
      </w:r>
      <w:r w:rsidRPr="00565658">
        <w:rPr>
          <w:rFonts w:ascii="Times New Roman" w:hAnsi="Times New Roman" w:cs="Times New Roman"/>
          <w:b/>
          <w:bCs/>
          <w:i w:val="0"/>
          <w:iCs w:val="0"/>
          <w:color w:val="000000" w:themeColor="text1"/>
          <w:sz w:val="20"/>
          <w:szCs w:val="20"/>
        </w:rPr>
        <w:fldChar w:fldCharType="separate"/>
      </w:r>
      <w:r w:rsidR="00090F4A">
        <w:rPr>
          <w:rFonts w:ascii="Times New Roman" w:hAnsi="Times New Roman" w:cs="Times New Roman"/>
          <w:b/>
          <w:bCs/>
          <w:i w:val="0"/>
          <w:iCs w:val="0"/>
          <w:noProof/>
          <w:color w:val="000000" w:themeColor="text1"/>
          <w:sz w:val="20"/>
          <w:szCs w:val="20"/>
        </w:rPr>
        <w:t>2</w:t>
      </w:r>
      <w:r w:rsidRPr="00565658">
        <w:rPr>
          <w:rFonts w:ascii="Times New Roman" w:hAnsi="Times New Roman" w:cs="Times New Roman"/>
          <w:b/>
          <w:bCs/>
          <w:i w:val="0"/>
          <w:iCs w:val="0"/>
          <w:color w:val="000000" w:themeColor="text1"/>
          <w:sz w:val="20"/>
          <w:szCs w:val="20"/>
        </w:rPr>
        <w:fldChar w:fldCharType="end"/>
      </w:r>
      <w:r w:rsidRPr="00565658">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Ludność</w:t>
      </w:r>
      <w:r w:rsidRPr="00AD15AC">
        <w:rPr>
          <w:rFonts w:ascii="Times New Roman" w:hAnsi="Times New Roman" w:cs="Times New Roman"/>
          <w:b/>
          <w:bCs/>
          <w:i w:val="0"/>
          <w:iCs w:val="0"/>
          <w:color w:val="000000" w:themeColor="text1"/>
          <w:sz w:val="20"/>
          <w:szCs w:val="20"/>
        </w:rPr>
        <w:t xml:space="preserve"> poszczególnych gmin LGD w 20</w:t>
      </w:r>
      <w:r>
        <w:rPr>
          <w:rFonts w:ascii="Times New Roman" w:hAnsi="Times New Roman" w:cs="Times New Roman"/>
          <w:b/>
          <w:bCs/>
          <w:i w:val="0"/>
          <w:iCs w:val="0"/>
          <w:color w:val="000000" w:themeColor="text1"/>
          <w:sz w:val="20"/>
          <w:szCs w:val="20"/>
        </w:rPr>
        <w:t>20</w:t>
      </w:r>
      <w:r w:rsidRPr="00AD15AC">
        <w:rPr>
          <w:rFonts w:ascii="Times New Roman" w:hAnsi="Times New Roman" w:cs="Times New Roman"/>
          <w:b/>
          <w:bCs/>
          <w:i w:val="0"/>
          <w:iCs w:val="0"/>
          <w:color w:val="000000" w:themeColor="text1"/>
          <w:sz w:val="20"/>
          <w:szCs w:val="20"/>
        </w:rPr>
        <w:t xml:space="preserve"> r</w:t>
      </w:r>
      <w:r>
        <w:rPr>
          <w:rFonts w:ascii="Times New Roman" w:hAnsi="Times New Roman" w:cs="Times New Roman"/>
          <w:b/>
          <w:bCs/>
          <w:i w:val="0"/>
          <w:iCs w:val="0"/>
          <w:color w:val="000000" w:themeColor="text1"/>
          <w:sz w:val="20"/>
          <w:szCs w:val="20"/>
        </w:rPr>
        <w:t>.</w:t>
      </w:r>
      <w:bookmarkEnd w:id="28"/>
      <w:bookmarkEnd w:id="29"/>
    </w:p>
    <w:tbl>
      <w:tblPr>
        <w:tblW w:w="5000" w:type="pct"/>
        <w:tblCellMar>
          <w:left w:w="70" w:type="dxa"/>
          <w:right w:w="70" w:type="dxa"/>
        </w:tblCellMar>
        <w:tblLook w:val="04A0" w:firstRow="1" w:lastRow="0" w:firstColumn="1" w:lastColumn="0" w:noHBand="0" w:noVBand="1"/>
      </w:tblPr>
      <w:tblGrid>
        <w:gridCol w:w="3910"/>
        <w:gridCol w:w="1205"/>
        <w:gridCol w:w="1180"/>
        <w:gridCol w:w="1191"/>
        <w:gridCol w:w="1260"/>
        <w:gridCol w:w="1299"/>
        <w:gridCol w:w="149"/>
      </w:tblGrid>
      <w:tr w:rsidR="00D94122" w:rsidRPr="00343B06" w14:paraId="0633DA8E" w14:textId="77777777" w:rsidTr="000F4949">
        <w:trPr>
          <w:gridAfter w:val="1"/>
          <w:wAfter w:w="74" w:type="pct"/>
          <w:trHeight w:val="450"/>
        </w:trPr>
        <w:tc>
          <w:tcPr>
            <w:tcW w:w="191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43C8B" w14:textId="77777777" w:rsidR="00D94122" w:rsidRPr="00343B06" w:rsidRDefault="00D94122" w:rsidP="000F4949">
            <w:pPr>
              <w:spacing w:after="0" w:line="240" w:lineRule="auto"/>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Nazwa gminy</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434AC2" w14:textId="77777777" w:rsidR="00D94122" w:rsidRPr="00343B06"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 xml:space="preserve">Liczba ludności </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7B909" w14:textId="77777777" w:rsidR="00D94122" w:rsidRPr="00343B06"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Liczba kobiet</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A286D5" w14:textId="77777777" w:rsidR="00D94122" w:rsidRPr="00343B06"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Liczba mężczyzn</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1B56E6" w14:textId="77777777" w:rsidR="00D94122" w:rsidRPr="00343B06"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 xml:space="preserve">Procentowy udział </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E16DE7" w14:textId="77777777" w:rsidR="00D94122"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Gęstość zaludnienia</w:t>
            </w:r>
          </w:p>
          <w:p w14:paraId="3342012D" w14:textId="77777777" w:rsidR="00D94122" w:rsidRPr="00BF6660"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(os./km</w:t>
            </w:r>
            <w:r w:rsidRPr="002F57A4">
              <w:rPr>
                <w:rFonts w:ascii="Times New Roman" w:eastAsia="Times New Roman" w:hAnsi="Times New Roman" w:cs="Times New Roman"/>
                <w:b/>
                <w:bCs/>
                <w:color w:val="000000"/>
                <w:sz w:val="20"/>
                <w:szCs w:val="20"/>
                <w:vertAlign w:val="superscript"/>
                <w:lang w:eastAsia="pl-PL"/>
              </w:rPr>
              <w:t>2</w:t>
            </w:r>
            <w:r>
              <w:rPr>
                <w:rFonts w:ascii="Times New Roman" w:eastAsia="Times New Roman" w:hAnsi="Times New Roman" w:cs="Times New Roman"/>
                <w:b/>
                <w:bCs/>
                <w:color w:val="000000"/>
                <w:sz w:val="20"/>
                <w:szCs w:val="20"/>
                <w:lang w:eastAsia="pl-PL"/>
              </w:rPr>
              <w:t>)</w:t>
            </w:r>
          </w:p>
        </w:tc>
      </w:tr>
      <w:tr w:rsidR="00D94122" w:rsidRPr="00343B06" w14:paraId="6797C63E" w14:textId="77777777" w:rsidTr="000F4949">
        <w:trPr>
          <w:trHeight w:val="340"/>
        </w:trPr>
        <w:tc>
          <w:tcPr>
            <w:tcW w:w="191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542217" w14:textId="77777777" w:rsidR="00D94122" w:rsidRPr="00343B06" w:rsidRDefault="00D94122" w:rsidP="000F4949">
            <w:pPr>
              <w:spacing w:after="0" w:line="240" w:lineRule="auto"/>
              <w:rPr>
                <w:rFonts w:ascii="Times New Roman" w:eastAsia="Times New Roman" w:hAnsi="Times New Roman" w:cs="Times New Roman"/>
                <w:b/>
                <w:bCs/>
                <w:color w:val="000000"/>
                <w:sz w:val="20"/>
                <w:szCs w:val="20"/>
                <w:lang w:eastAsia="pl-PL"/>
              </w:rPr>
            </w:pPr>
          </w:p>
        </w:tc>
        <w:tc>
          <w:tcPr>
            <w:tcW w:w="591"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AC736E" w14:textId="77777777" w:rsidR="00D94122" w:rsidRPr="00343B06" w:rsidRDefault="00D94122" w:rsidP="000F4949">
            <w:pPr>
              <w:spacing w:after="0" w:line="240" w:lineRule="auto"/>
              <w:rPr>
                <w:rFonts w:ascii="Times New Roman" w:eastAsia="Times New Roman" w:hAnsi="Times New Roman" w:cs="Times New Roman"/>
                <w:b/>
                <w:bCs/>
                <w:color w:val="000000"/>
                <w:sz w:val="20"/>
                <w:szCs w:val="20"/>
                <w:lang w:eastAsia="pl-PL"/>
              </w:rPr>
            </w:pPr>
          </w:p>
        </w:tc>
        <w:tc>
          <w:tcPr>
            <w:tcW w:w="57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D52575" w14:textId="77777777" w:rsidR="00D94122" w:rsidRPr="00343B06" w:rsidRDefault="00D94122" w:rsidP="000F4949">
            <w:pPr>
              <w:spacing w:after="0" w:line="240" w:lineRule="auto"/>
              <w:rPr>
                <w:rFonts w:ascii="Times New Roman" w:eastAsia="Times New Roman" w:hAnsi="Times New Roman" w:cs="Times New Roman"/>
                <w:b/>
                <w:bCs/>
                <w:color w:val="000000"/>
                <w:sz w:val="20"/>
                <w:szCs w:val="20"/>
                <w:lang w:eastAsia="pl-PL"/>
              </w:rPr>
            </w:pPr>
          </w:p>
        </w:tc>
        <w:tc>
          <w:tcPr>
            <w:tcW w:w="58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0AB73F" w14:textId="77777777" w:rsidR="00D94122" w:rsidRPr="00343B06" w:rsidRDefault="00D94122" w:rsidP="000F4949">
            <w:pPr>
              <w:spacing w:after="0" w:line="240" w:lineRule="auto"/>
              <w:rPr>
                <w:rFonts w:ascii="Times New Roman" w:eastAsia="Times New Roman" w:hAnsi="Times New Roman" w:cs="Times New Roman"/>
                <w:b/>
                <w:bCs/>
                <w:color w:val="000000"/>
                <w:sz w:val="20"/>
                <w:szCs w:val="20"/>
                <w:lang w:eastAsia="pl-PL"/>
              </w:rPr>
            </w:pPr>
          </w:p>
        </w:tc>
        <w:tc>
          <w:tcPr>
            <w:tcW w:w="61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4B924" w14:textId="77777777" w:rsidR="00D94122" w:rsidRPr="00343B06" w:rsidRDefault="00D94122" w:rsidP="000F4949">
            <w:pPr>
              <w:spacing w:after="0" w:line="240" w:lineRule="auto"/>
              <w:rPr>
                <w:rFonts w:ascii="Times New Roman" w:eastAsia="Times New Roman" w:hAnsi="Times New Roman" w:cs="Times New Roman"/>
                <w:b/>
                <w:bCs/>
                <w:color w:val="000000"/>
                <w:sz w:val="20"/>
                <w:szCs w:val="20"/>
                <w:lang w:eastAsia="pl-PL"/>
              </w:rPr>
            </w:pPr>
          </w:p>
        </w:tc>
        <w:tc>
          <w:tcPr>
            <w:tcW w:w="63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DF57F7" w14:textId="77777777" w:rsidR="00D94122" w:rsidRPr="00343B06" w:rsidRDefault="00D94122" w:rsidP="000F4949">
            <w:pPr>
              <w:spacing w:after="0" w:line="240" w:lineRule="auto"/>
              <w:rPr>
                <w:rFonts w:ascii="Times New Roman" w:eastAsia="Times New Roman" w:hAnsi="Times New Roman" w:cs="Times New Roman"/>
                <w:b/>
                <w:bCs/>
                <w:color w:val="000000"/>
                <w:sz w:val="20"/>
                <w:szCs w:val="20"/>
                <w:lang w:eastAsia="pl-PL"/>
              </w:rPr>
            </w:pPr>
          </w:p>
        </w:tc>
        <w:tc>
          <w:tcPr>
            <w:tcW w:w="74" w:type="pct"/>
            <w:tcBorders>
              <w:top w:val="nil"/>
              <w:left w:val="nil"/>
              <w:bottom w:val="nil"/>
              <w:right w:val="nil"/>
            </w:tcBorders>
            <w:shd w:val="clear" w:color="auto" w:fill="auto"/>
            <w:noWrap/>
            <w:vAlign w:val="bottom"/>
            <w:hideMark/>
          </w:tcPr>
          <w:p w14:paraId="723EA047" w14:textId="77777777" w:rsidR="00D94122" w:rsidRPr="00343B06"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p>
        </w:tc>
      </w:tr>
      <w:tr w:rsidR="00D94122" w:rsidRPr="00343B06" w14:paraId="3ABC348B"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449D1B81"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Miasto Międzyrzec Podlaski</w:t>
            </w:r>
          </w:p>
        </w:tc>
        <w:tc>
          <w:tcPr>
            <w:tcW w:w="591" w:type="pct"/>
            <w:tcBorders>
              <w:top w:val="nil"/>
              <w:left w:val="nil"/>
              <w:bottom w:val="single" w:sz="4" w:space="0" w:color="auto"/>
              <w:right w:val="single" w:sz="4" w:space="0" w:color="auto"/>
            </w:tcBorders>
            <w:shd w:val="clear" w:color="auto" w:fill="auto"/>
            <w:noWrap/>
            <w:vAlign w:val="center"/>
            <w:hideMark/>
          </w:tcPr>
          <w:p w14:paraId="5A34FBAE"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15 883</w:t>
            </w:r>
          </w:p>
        </w:tc>
        <w:tc>
          <w:tcPr>
            <w:tcW w:w="579" w:type="pct"/>
            <w:tcBorders>
              <w:top w:val="nil"/>
              <w:left w:val="nil"/>
              <w:bottom w:val="single" w:sz="4" w:space="0" w:color="auto"/>
              <w:right w:val="single" w:sz="4" w:space="0" w:color="auto"/>
            </w:tcBorders>
            <w:shd w:val="clear" w:color="auto" w:fill="auto"/>
            <w:noWrap/>
            <w:vAlign w:val="center"/>
            <w:hideMark/>
          </w:tcPr>
          <w:p w14:paraId="3DA8178E"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8 173</w:t>
            </w:r>
          </w:p>
        </w:tc>
        <w:tc>
          <w:tcPr>
            <w:tcW w:w="584" w:type="pct"/>
            <w:tcBorders>
              <w:top w:val="nil"/>
              <w:left w:val="nil"/>
              <w:bottom w:val="single" w:sz="4" w:space="0" w:color="auto"/>
              <w:right w:val="single" w:sz="4" w:space="0" w:color="auto"/>
            </w:tcBorders>
            <w:shd w:val="clear" w:color="auto" w:fill="auto"/>
            <w:noWrap/>
            <w:vAlign w:val="center"/>
            <w:hideMark/>
          </w:tcPr>
          <w:p w14:paraId="749C7827"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7 710</w:t>
            </w:r>
          </w:p>
        </w:tc>
        <w:tc>
          <w:tcPr>
            <w:tcW w:w="618" w:type="pct"/>
            <w:tcBorders>
              <w:top w:val="nil"/>
              <w:left w:val="nil"/>
              <w:bottom w:val="single" w:sz="4" w:space="0" w:color="auto"/>
              <w:right w:val="single" w:sz="4" w:space="0" w:color="auto"/>
            </w:tcBorders>
            <w:shd w:val="clear" w:color="auto" w:fill="auto"/>
            <w:noWrap/>
            <w:vAlign w:val="center"/>
            <w:hideMark/>
          </w:tcPr>
          <w:p w14:paraId="31BA5AA4"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14,8</w:t>
            </w:r>
          </w:p>
        </w:tc>
        <w:tc>
          <w:tcPr>
            <w:tcW w:w="637" w:type="pct"/>
            <w:tcBorders>
              <w:top w:val="nil"/>
              <w:left w:val="nil"/>
              <w:bottom w:val="single" w:sz="4" w:space="0" w:color="auto"/>
              <w:right w:val="single" w:sz="4" w:space="0" w:color="auto"/>
            </w:tcBorders>
            <w:shd w:val="clear" w:color="auto" w:fill="auto"/>
            <w:noWrap/>
            <w:vAlign w:val="center"/>
            <w:hideMark/>
          </w:tcPr>
          <w:p w14:paraId="553423C3"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794</w:t>
            </w:r>
          </w:p>
        </w:tc>
        <w:tc>
          <w:tcPr>
            <w:tcW w:w="74" w:type="pct"/>
            <w:vAlign w:val="center"/>
            <w:hideMark/>
          </w:tcPr>
          <w:p w14:paraId="4C4CD60B"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524D3948"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61389C73"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Miasto Terespol </w:t>
            </w:r>
          </w:p>
        </w:tc>
        <w:tc>
          <w:tcPr>
            <w:tcW w:w="591" w:type="pct"/>
            <w:tcBorders>
              <w:top w:val="nil"/>
              <w:left w:val="nil"/>
              <w:bottom w:val="single" w:sz="4" w:space="0" w:color="auto"/>
              <w:right w:val="single" w:sz="4" w:space="0" w:color="auto"/>
            </w:tcBorders>
            <w:shd w:val="clear" w:color="auto" w:fill="auto"/>
            <w:noWrap/>
            <w:vAlign w:val="center"/>
            <w:hideMark/>
          </w:tcPr>
          <w:p w14:paraId="53D6CD74"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5 319</w:t>
            </w:r>
          </w:p>
        </w:tc>
        <w:tc>
          <w:tcPr>
            <w:tcW w:w="579" w:type="pct"/>
            <w:tcBorders>
              <w:top w:val="nil"/>
              <w:left w:val="nil"/>
              <w:bottom w:val="single" w:sz="4" w:space="0" w:color="auto"/>
              <w:right w:val="single" w:sz="4" w:space="0" w:color="auto"/>
            </w:tcBorders>
            <w:shd w:val="clear" w:color="auto" w:fill="auto"/>
            <w:noWrap/>
            <w:vAlign w:val="center"/>
            <w:hideMark/>
          </w:tcPr>
          <w:p w14:paraId="7294C7A2"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2 774</w:t>
            </w:r>
          </w:p>
        </w:tc>
        <w:tc>
          <w:tcPr>
            <w:tcW w:w="584" w:type="pct"/>
            <w:tcBorders>
              <w:top w:val="nil"/>
              <w:left w:val="nil"/>
              <w:bottom w:val="single" w:sz="4" w:space="0" w:color="auto"/>
              <w:right w:val="single" w:sz="4" w:space="0" w:color="auto"/>
            </w:tcBorders>
            <w:shd w:val="clear" w:color="auto" w:fill="auto"/>
            <w:noWrap/>
            <w:vAlign w:val="center"/>
            <w:hideMark/>
          </w:tcPr>
          <w:p w14:paraId="50BB92A7"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2 545</w:t>
            </w:r>
          </w:p>
        </w:tc>
        <w:tc>
          <w:tcPr>
            <w:tcW w:w="618" w:type="pct"/>
            <w:tcBorders>
              <w:top w:val="nil"/>
              <w:left w:val="nil"/>
              <w:bottom w:val="single" w:sz="4" w:space="0" w:color="auto"/>
              <w:right w:val="single" w:sz="4" w:space="0" w:color="auto"/>
            </w:tcBorders>
            <w:shd w:val="clear" w:color="auto" w:fill="auto"/>
            <w:noWrap/>
            <w:vAlign w:val="center"/>
            <w:hideMark/>
          </w:tcPr>
          <w:p w14:paraId="46F5F3CC"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5,0</w:t>
            </w:r>
          </w:p>
        </w:tc>
        <w:tc>
          <w:tcPr>
            <w:tcW w:w="637" w:type="pct"/>
            <w:tcBorders>
              <w:top w:val="nil"/>
              <w:left w:val="nil"/>
              <w:bottom w:val="single" w:sz="4" w:space="0" w:color="auto"/>
              <w:right w:val="single" w:sz="4" w:space="0" w:color="auto"/>
            </w:tcBorders>
            <w:shd w:val="clear" w:color="auto" w:fill="auto"/>
            <w:noWrap/>
            <w:vAlign w:val="center"/>
            <w:hideMark/>
          </w:tcPr>
          <w:p w14:paraId="6496BEDC"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532</w:t>
            </w:r>
          </w:p>
        </w:tc>
        <w:tc>
          <w:tcPr>
            <w:tcW w:w="74" w:type="pct"/>
            <w:vAlign w:val="center"/>
            <w:hideMark/>
          </w:tcPr>
          <w:p w14:paraId="0624F164"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7E2A1175"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779B6295"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Biała Podlaska</w:t>
            </w:r>
          </w:p>
        </w:tc>
        <w:tc>
          <w:tcPr>
            <w:tcW w:w="591" w:type="pct"/>
            <w:tcBorders>
              <w:top w:val="nil"/>
              <w:left w:val="nil"/>
              <w:bottom w:val="single" w:sz="4" w:space="0" w:color="auto"/>
              <w:right w:val="single" w:sz="4" w:space="0" w:color="auto"/>
            </w:tcBorders>
            <w:shd w:val="clear" w:color="auto" w:fill="auto"/>
            <w:noWrap/>
            <w:vAlign w:val="center"/>
            <w:hideMark/>
          </w:tcPr>
          <w:p w14:paraId="1F21EFC2"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15 000</w:t>
            </w:r>
          </w:p>
        </w:tc>
        <w:tc>
          <w:tcPr>
            <w:tcW w:w="579" w:type="pct"/>
            <w:tcBorders>
              <w:top w:val="nil"/>
              <w:left w:val="nil"/>
              <w:bottom w:val="single" w:sz="4" w:space="0" w:color="auto"/>
              <w:right w:val="single" w:sz="4" w:space="0" w:color="auto"/>
            </w:tcBorders>
            <w:shd w:val="clear" w:color="auto" w:fill="auto"/>
            <w:noWrap/>
            <w:vAlign w:val="center"/>
            <w:hideMark/>
          </w:tcPr>
          <w:p w14:paraId="73F7A23E"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7 414</w:t>
            </w:r>
          </w:p>
        </w:tc>
        <w:tc>
          <w:tcPr>
            <w:tcW w:w="584" w:type="pct"/>
            <w:tcBorders>
              <w:top w:val="nil"/>
              <w:left w:val="nil"/>
              <w:bottom w:val="single" w:sz="4" w:space="0" w:color="auto"/>
              <w:right w:val="single" w:sz="4" w:space="0" w:color="auto"/>
            </w:tcBorders>
            <w:shd w:val="clear" w:color="auto" w:fill="auto"/>
            <w:noWrap/>
            <w:vAlign w:val="center"/>
            <w:hideMark/>
          </w:tcPr>
          <w:p w14:paraId="7E180A46"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7 586</w:t>
            </w:r>
          </w:p>
        </w:tc>
        <w:tc>
          <w:tcPr>
            <w:tcW w:w="618" w:type="pct"/>
            <w:tcBorders>
              <w:top w:val="nil"/>
              <w:left w:val="nil"/>
              <w:bottom w:val="single" w:sz="4" w:space="0" w:color="auto"/>
              <w:right w:val="single" w:sz="4" w:space="0" w:color="auto"/>
            </w:tcBorders>
            <w:shd w:val="clear" w:color="auto" w:fill="auto"/>
            <w:noWrap/>
            <w:vAlign w:val="center"/>
            <w:hideMark/>
          </w:tcPr>
          <w:p w14:paraId="7B4F130A"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14,0</w:t>
            </w:r>
          </w:p>
        </w:tc>
        <w:tc>
          <w:tcPr>
            <w:tcW w:w="637" w:type="pct"/>
            <w:tcBorders>
              <w:top w:val="nil"/>
              <w:left w:val="nil"/>
              <w:bottom w:val="single" w:sz="4" w:space="0" w:color="auto"/>
              <w:right w:val="single" w:sz="4" w:space="0" w:color="auto"/>
            </w:tcBorders>
            <w:shd w:val="clear" w:color="auto" w:fill="auto"/>
            <w:noWrap/>
            <w:vAlign w:val="center"/>
            <w:hideMark/>
          </w:tcPr>
          <w:p w14:paraId="239A7154"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46</w:t>
            </w:r>
          </w:p>
        </w:tc>
        <w:tc>
          <w:tcPr>
            <w:tcW w:w="74" w:type="pct"/>
            <w:vAlign w:val="center"/>
            <w:hideMark/>
          </w:tcPr>
          <w:p w14:paraId="76FA5F61"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38157E39"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2EECB436"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Drelów</w:t>
            </w:r>
          </w:p>
        </w:tc>
        <w:tc>
          <w:tcPr>
            <w:tcW w:w="591" w:type="pct"/>
            <w:tcBorders>
              <w:top w:val="nil"/>
              <w:left w:val="nil"/>
              <w:bottom w:val="single" w:sz="4" w:space="0" w:color="auto"/>
              <w:right w:val="single" w:sz="4" w:space="0" w:color="auto"/>
            </w:tcBorders>
            <w:shd w:val="clear" w:color="auto" w:fill="auto"/>
            <w:noWrap/>
            <w:vAlign w:val="center"/>
            <w:hideMark/>
          </w:tcPr>
          <w:p w14:paraId="49CA3516"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5 134</w:t>
            </w:r>
          </w:p>
        </w:tc>
        <w:tc>
          <w:tcPr>
            <w:tcW w:w="579" w:type="pct"/>
            <w:tcBorders>
              <w:top w:val="nil"/>
              <w:left w:val="nil"/>
              <w:bottom w:val="single" w:sz="4" w:space="0" w:color="auto"/>
              <w:right w:val="single" w:sz="4" w:space="0" w:color="auto"/>
            </w:tcBorders>
            <w:shd w:val="clear" w:color="auto" w:fill="auto"/>
            <w:noWrap/>
            <w:vAlign w:val="center"/>
            <w:hideMark/>
          </w:tcPr>
          <w:p w14:paraId="6D63730B"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2 527</w:t>
            </w:r>
          </w:p>
        </w:tc>
        <w:tc>
          <w:tcPr>
            <w:tcW w:w="584" w:type="pct"/>
            <w:tcBorders>
              <w:top w:val="nil"/>
              <w:left w:val="nil"/>
              <w:bottom w:val="single" w:sz="4" w:space="0" w:color="auto"/>
              <w:right w:val="single" w:sz="4" w:space="0" w:color="auto"/>
            </w:tcBorders>
            <w:shd w:val="clear" w:color="auto" w:fill="auto"/>
            <w:noWrap/>
            <w:vAlign w:val="center"/>
            <w:hideMark/>
          </w:tcPr>
          <w:p w14:paraId="1B4155F9"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2 607</w:t>
            </w:r>
          </w:p>
        </w:tc>
        <w:tc>
          <w:tcPr>
            <w:tcW w:w="618" w:type="pct"/>
            <w:tcBorders>
              <w:top w:val="nil"/>
              <w:left w:val="nil"/>
              <w:bottom w:val="single" w:sz="4" w:space="0" w:color="auto"/>
              <w:right w:val="single" w:sz="4" w:space="0" w:color="auto"/>
            </w:tcBorders>
            <w:shd w:val="clear" w:color="auto" w:fill="auto"/>
            <w:noWrap/>
            <w:vAlign w:val="center"/>
            <w:hideMark/>
          </w:tcPr>
          <w:p w14:paraId="348BF75E"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4,8</w:t>
            </w:r>
          </w:p>
        </w:tc>
        <w:tc>
          <w:tcPr>
            <w:tcW w:w="637" w:type="pct"/>
            <w:tcBorders>
              <w:top w:val="nil"/>
              <w:left w:val="nil"/>
              <w:bottom w:val="single" w:sz="4" w:space="0" w:color="auto"/>
              <w:right w:val="single" w:sz="4" w:space="0" w:color="auto"/>
            </w:tcBorders>
            <w:shd w:val="clear" w:color="auto" w:fill="auto"/>
            <w:noWrap/>
            <w:vAlign w:val="center"/>
            <w:hideMark/>
          </w:tcPr>
          <w:p w14:paraId="789D96AE"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23</w:t>
            </w:r>
          </w:p>
        </w:tc>
        <w:tc>
          <w:tcPr>
            <w:tcW w:w="74" w:type="pct"/>
            <w:vAlign w:val="center"/>
            <w:hideMark/>
          </w:tcPr>
          <w:p w14:paraId="50AA80A1"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78D640BD"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2B983377"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Janów Podlaski </w:t>
            </w:r>
          </w:p>
        </w:tc>
        <w:tc>
          <w:tcPr>
            <w:tcW w:w="591" w:type="pct"/>
            <w:tcBorders>
              <w:top w:val="nil"/>
              <w:left w:val="nil"/>
              <w:bottom w:val="single" w:sz="4" w:space="0" w:color="auto"/>
              <w:right w:val="single" w:sz="4" w:space="0" w:color="auto"/>
            </w:tcBorders>
            <w:shd w:val="clear" w:color="auto" w:fill="auto"/>
            <w:noWrap/>
            <w:vAlign w:val="center"/>
            <w:hideMark/>
          </w:tcPr>
          <w:p w14:paraId="08FB1F25"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5 036</w:t>
            </w:r>
          </w:p>
        </w:tc>
        <w:tc>
          <w:tcPr>
            <w:tcW w:w="579" w:type="pct"/>
            <w:tcBorders>
              <w:top w:val="nil"/>
              <w:left w:val="nil"/>
              <w:bottom w:val="single" w:sz="4" w:space="0" w:color="auto"/>
              <w:right w:val="single" w:sz="4" w:space="0" w:color="auto"/>
            </w:tcBorders>
            <w:shd w:val="clear" w:color="auto" w:fill="auto"/>
            <w:noWrap/>
            <w:vAlign w:val="center"/>
            <w:hideMark/>
          </w:tcPr>
          <w:p w14:paraId="24E689C9"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2 478</w:t>
            </w:r>
          </w:p>
        </w:tc>
        <w:tc>
          <w:tcPr>
            <w:tcW w:w="584" w:type="pct"/>
            <w:tcBorders>
              <w:top w:val="nil"/>
              <w:left w:val="nil"/>
              <w:bottom w:val="single" w:sz="4" w:space="0" w:color="auto"/>
              <w:right w:val="single" w:sz="4" w:space="0" w:color="auto"/>
            </w:tcBorders>
            <w:shd w:val="clear" w:color="auto" w:fill="auto"/>
            <w:noWrap/>
            <w:vAlign w:val="center"/>
            <w:hideMark/>
          </w:tcPr>
          <w:p w14:paraId="3B40B877"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2 558</w:t>
            </w:r>
          </w:p>
        </w:tc>
        <w:tc>
          <w:tcPr>
            <w:tcW w:w="618" w:type="pct"/>
            <w:tcBorders>
              <w:top w:val="nil"/>
              <w:left w:val="nil"/>
              <w:bottom w:val="single" w:sz="4" w:space="0" w:color="auto"/>
              <w:right w:val="single" w:sz="4" w:space="0" w:color="auto"/>
            </w:tcBorders>
            <w:shd w:val="clear" w:color="auto" w:fill="auto"/>
            <w:noWrap/>
            <w:vAlign w:val="center"/>
            <w:hideMark/>
          </w:tcPr>
          <w:p w14:paraId="3CF17BE8"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4,7</w:t>
            </w:r>
          </w:p>
        </w:tc>
        <w:tc>
          <w:tcPr>
            <w:tcW w:w="637" w:type="pct"/>
            <w:tcBorders>
              <w:top w:val="nil"/>
              <w:left w:val="nil"/>
              <w:bottom w:val="single" w:sz="4" w:space="0" w:color="auto"/>
              <w:right w:val="single" w:sz="4" w:space="0" w:color="auto"/>
            </w:tcBorders>
            <w:shd w:val="clear" w:color="auto" w:fill="auto"/>
            <w:noWrap/>
            <w:vAlign w:val="center"/>
            <w:hideMark/>
          </w:tcPr>
          <w:p w14:paraId="172B427C"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37</w:t>
            </w:r>
          </w:p>
        </w:tc>
        <w:tc>
          <w:tcPr>
            <w:tcW w:w="74" w:type="pct"/>
            <w:vAlign w:val="center"/>
            <w:hideMark/>
          </w:tcPr>
          <w:p w14:paraId="71A2424C"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72AB67C1"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4E7E787D"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Kodeń </w:t>
            </w:r>
          </w:p>
        </w:tc>
        <w:tc>
          <w:tcPr>
            <w:tcW w:w="591" w:type="pct"/>
            <w:tcBorders>
              <w:top w:val="nil"/>
              <w:left w:val="nil"/>
              <w:bottom w:val="single" w:sz="4" w:space="0" w:color="auto"/>
              <w:right w:val="single" w:sz="4" w:space="0" w:color="auto"/>
            </w:tcBorders>
            <w:shd w:val="clear" w:color="auto" w:fill="auto"/>
            <w:noWrap/>
            <w:vAlign w:val="center"/>
            <w:hideMark/>
          </w:tcPr>
          <w:p w14:paraId="64E1278D"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3 355</w:t>
            </w:r>
          </w:p>
        </w:tc>
        <w:tc>
          <w:tcPr>
            <w:tcW w:w="579" w:type="pct"/>
            <w:tcBorders>
              <w:top w:val="nil"/>
              <w:left w:val="nil"/>
              <w:bottom w:val="single" w:sz="4" w:space="0" w:color="auto"/>
              <w:right w:val="single" w:sz="4" w:space="0" w:color="auto"/>
            </w:tcBorders>
            <w:shd w:val="clear" w:color="auto" w:fill="auto"/>
            <w:noWrap/>
            <w:vAlign w:val="center"/>
            <w:hideMark/>
          </w:tcPr>
          <w:p w14:paraId="2CB74BC1"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1 704</w:t>
            </w:r>
          </w:p>
        </w:tc>
        <w:tc>
          <w:tcPr>
            <w:tcW w:w="584" w:type="pct"/>
            <w:tcBorders>
              <w:top w:val="nil"/>
              <w:left w:val="nil"/>
              <w:bottom w:val="single" w:sz="4" w:space="0" w:color="auto"/>
              <w:right w:val="single" w:sz="4" w:space="0" w:color="auto"/>
            </w:tcBorders>
            <w:shd w:val="clear" w:color="auto" w:fill="auto"/>
            <w:noWrap/>
            <w:vAlign w:val="center"/>
            <w:hideMark/>
          </w:tcPr>
          <w:p w14:paraId="0EE1E470"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1 651</w:t>
            </w:r>
          </w:p>
        </w:tc>
        <w:tc>
          <w:tcPr>
            <w:tcW w:w="618" w:type="pct"/>
            <w:tcBorders>
              <w:top w:val="nil"/>
              <w:left w:val="nil"/>
              <w:bottom w:val="single" w:sz="4" w:space="0" w:color="auto"/>
              <w:right w:val="single" w:sz="4" w:space="0" w:color="auto"/>
            </w:tcBorders>
            <w:shd w:val="clear" w:color="auto" w:fill="auto"/>
            <w:noWrap/>
            <w:vAlign w:val="center"/>
            <w:hideMark/>
          </w:tcPr>
          <w:p w14:paraId="0B054E72"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3,1</w:t>
            </w:r>
          </w:p>
        </w:tc>
        <w:tc>
          <w:tcPr>
            <w:tcW w:w="637" w:type="pct"/>
            <w:tcBorders>
              <w:top w:val="nil"/>
              <w:left w:val="nil"/>
              <w:bottom w:val="single" w:sz="4" w:space="0" w:color="auto"/>
              <w:right w:val="single" w:sz="4" w:space="0" w:color="auto"/>
            </w:tcBorders>
            <w:shd w:val="clear" w:color="auto" w:fill="auto"/>
            <w:noWrap/>
            <w:vAlign w:val="center"/>
            <w:hideMark/>
          </w:tcPr>
          <w:p w14:paraId="659F0FE7"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22</w:t>
            </w:r>
          </w:p>
        </w:tc>
        <w:tc>
          <w:tcPr>
            <w:tcW w:w="74" w:type="pct"/>
            <w:vAlign w:val="center"/>
            <w:hideMark/>
          </w:tcPr>
          <w:p w14:paraId="2231FC5E"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487BD920"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34B84D80"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Konstantynów </w:t>
            </w:r>
          </w:p>
        </w:tc>
        <w:tc>
          <w:tcPr>
            <w:tcW w:w="591" w:type="pct"/>
            <w:tcBorders>
              <w:top w:val="nil"/>
              <w:left w:val="nil"/>
              <w:bottom w:val="single" w:sz="4" w:space="0" w:color="auto"/>
              <w:right w:val="single" w:sz="4" w:space="0" w:color="auto"/>
            </w:tcBorders>
            <w:shd w:val="clear" w:color="auto" w:fill="auto"/>
            <w:noWrap/>
            <w:vAlign w:val="center"/>
            <w:hideMark/>
          </w:tcPr>
          <w:p w14:paraId="1D82010B"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3 920</w:t>
            </w:r>
          </w:p>
        </w:tc>
        <w:tc>
          <w:tcPr>
            <w:tcW w:w="579" w:type="pct"/>
            <w:tcBorders>
              <w:top w:val="nil"/>
              <w:left w:val="nil"/>
              <w:bottom w:val="single" w:sz="4" w:space="0" w:color="auto"/>
              <w:right w:val="single" w:sz="4" w:space="0" w:color="auto"/>
            </w:tcBorders>
            <w:shd w:val="clear" w:color="auto" w:fill="auto"/>
            <w:noWrap/>
            <w:vAlign w:val="center"/>
            <w:hideMark/>
          </w:tcPr>
          <w:p w14:paraId="1F6EB8CC"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1 964</w:t>
            </w:r>
          </w:p>
        </w:tc>
        <w:tc>
          <w:tcPr>
            <w:tcW w:w="584" w:type="pct"/>
            <w:tcBorders>
              <w:top w:val="nil"/>
              <w:left w:val="nil"/>
              <w:bottom w:val="single" w:sz="4" w:space="0" w:color="auto"/>
              <w:right w:val="single" w:sz="4" w:space="0" w:color="auto"/>
            </w:tcBorders>
            <w:shd w:val="clear" w:color="auto" w:fill="auto"/>
            <w:noWrap/>
            <w:vAlign w:val="center"/>
            <w:hideMark/>
          </w:tcPr>
          <w:p w14:paraId="75B42D9E"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1 956</w:t>
            </w:r>
          </w:p>
        </w:tc>
        <w:tc>
          <w:tcPr>
            <w:tcW w:w="618" w:type="pct"/>
            <w:tcBorders>
              <w:top w:val="nil"/>
              <w:left w:val="nil"/>
              <w:bottom w:val="single" w:sz="4" w:space="0" w:color="auto"/>
              <w:right w:val="single" w:sz="4" w:space="0" w:color="auto"/>
            </w:tcBorders>
            <w:shd w:val="clear" w:color="auto" w:fill="auto"/>
            <w:noWrap/>
            <w:vAlign w:val="center"/>
            <w:hideMark/>
          </w:tcPr>
          <w:p w14:paraId="1C46F97E"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3,7</w:t>
            </w:r>
          </w:p>
        </w:tc>
        <w:tc>
          <w:tcPr>
            <w:tcW w:w="637" w:type="pct"/>
            <w:tcBorders>
              <w:top w:val="nil"/>
              <w:left w:val="nil"/>
              <w:bottom w:val="single" w:sz="4" w:space="0" w:color="auto"/>
              <w:right w:val="single" w:sz="4" w:space="0" w:color="auto"/>
            </w:tcBorders>
            <w:shd w:val="clear" w:color="auto" w:fill="auto"/>
            <w:noWrap/>
            <w:vAlign w:val="center"/>
            <w:hideMark/>
          </w:tcPr>
          <w:p w14:paraId="69DE0A3F"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45</w:t>
            </w:r>
          </w:p>
        </w:tc>
        <w:tc>
          <w:tcPr>
            <w:tcW w:w="74" w:type="pct"/>
            <w:vAlign w:val="center"/>
            <w:hideMark/>
          </w:tcPr>
          <w:p w14:paraId="063C0AED"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62731EF5"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52456ED9"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Leśna Podlaska </w:t>
            </w:r>
          </w:p>
        </w:tc>
        <w:tc>
          <w:tcPr>
            <w:tcW w:w="591" w:type="pct"/>
            <w:tcBorders>
              <w:top w:val="nil"/>
              <w:left w:val="nil"/>
              <w:bottom w:val="single" w:sz="4" w:space="0" w:color="auto"/>
              <w:right w:val="single" w:sz="4" w:space="0" w:color="auto"/>
            </w:tcBorders>
            <w:shd w:val="clear" w:color="auto" w:fill="auto"/>
            <w:noWrap/>
            <w:vAlign w:val="center"/>
            <w:hideMark/>
          </w:tcPr>
          <w:p w14:paraId="4CBA6CF3"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4 067</w:t>
            </w:r>
          </w:p>
        </w:tc>
        <w:tc>
          <w:tcPr>
            <w:tcW w:w="579" w:type="pct"/>
            <w:tcBorders>
              <w:top w:val="nil"/>
              <w:left w:val="nil"/>
              <w:bottom w:val="single" w:sz="4" w:space="0" w:color="auto"/>
              <w:right w:val="single" w:sz="4" w:space="0" w:color="auto"/>
            </w:tcBorders>
            <w:shd w:val="clear" w:color="auto" w:fill="auto"/>
            <w:noWrap/>
            <w:vAlign w:val="center"/>
            <w:hideMark/>
          </w:tcPr>
          <w:p w14:paraId="26F27242"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2 026</w:t>
            </w:r>
          </w:p>
        </w:tc>
        <w:tc>
          <w:tcPr>
            <w:tcW w:w="584" w:type="pct"/>
            <w:tcBorders>
              <w:top w:val="nil"/>
              <w:left w:val="nil"/>
              <w:bottom w:val="single" w:sz="4" w:space="0" w:color="auto"/>
              <w:right w:val="single" w:sz="4" w:space="0" w:color="auto"/>
            </w:tcBorders>
            <w:shd w:val="clear" w:color="auto" w:fill="auto"/>
            <w:noWrap/>
            <w:vAlign w:val="center"/>
            <w:hideMark/>
          </w:tcPr>
          <w:p w14:paraId="3E16087F"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2 041</w:t>
            </w:r>
          </w:p>
        </w:tc>
        <w:tc>
          <w:tcPr>
            <w:tcW w:w="618" w:type="pct"/>
            <w:tcBorders>
              <w:top w:val="nil"/>
              <w:left w:val="nil"/>
              <w:bottom w:val="single" w:sz="4" w:space="0" w:color="auto"/>
              <w:right w:val="single" w:sz="4" w:space="0" w:color="auto"/>
            </w:tcBorders>
            <w:shd w:val="clear" w:color="auto" w:fill="auto"/>
            <w:noWrap/>
            <w:vAlign w:val="center"/>
            <w:hideMark/>
          </w:tcPr>
          <w:p w14:paraId="6E50C4A7"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3,8</w:t>
            </w:r>
          </w:p>
        </w:tc>
        <w:tc>
          <w:tcPr>
            <w:tcW w:w="637" w:type="pct"/>
            <w:tcBorders>
              <w:top w:val="nil"/>
              <w:left w:val="nil"/>
              <w:bottom w:val="single" w:sz="4" w:space="0" w:color="auto"/>
              <w:right w:val="single" w:sz="4" w:space="0" w:color="auto"/>
            </w:tcBorders>
            <w:shd w:val="clear" w:color="auto" w:fill="auto"/>
            <w:noWrap/>
            <w:vAlign w:val="center"/>
            <w:hideMark/>
          </w:tcPr>
          <w:p w14:paraId="2B9536AD"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42</w:t>
            </w:r>
          </w:p>
        </w:tc>
        <w:tc>
          <w:tcPr>
            <w:tcW w:w="74" w:type="pct"/>
            <w:vAlign w:val="center"/>
            <w:hideMark/>
          </w:tcPr>
          <w:p w14:paraId="165F5601"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51C2716F"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7577787D"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Łomazy </w:t>
            </w:r>
          </w:p>
        </w:tc>
        <w:tc>
          <w:tcPr>
            <w:tcW w:w="591" w:type="pct"/>
            <w:tcBorders>
              <w:top w:val="nil"/>
              <w:left w:val="nil"/>
              <w:bottom w:val="single" w:sz="4" w:space="0" w:color="auto"/>
              <w:right w:val="single" w:sz="4" w:space="0" w:color="auto"/>
            </w:tcBorders>
            <w:shd w:val="clear" w:color="auto" w:fill="auto"/>
            <w:noWrap/>
            <w:vAlign w:val="center"/>
            <w:hideMark/>
          </w:tcPr>
          <w:p w14:paraId="03564B4D"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4 714</w:t>
            </w:r>
          </w:p>
        </w:tc>
        <w:tc>
          <w:tcPr>
            <w:tcW w:w="579" w:type="pct"/>
            <w:tcBorders>
              <w:top w:val="nil"/>
              <w:left w:val="nil"/>
              <w:bottom w:val="single" w:sz="4" w:space="0" w:color="auto"/>
              <w:right w:val="single" w:sz="4" w:space="0" w:color="auto"/>
            </w:tcBorders>
            <w:shd w:val="clear" w:color="auto" w:fill="auto"/>
            <w:noWrap/>
            <w:vAlign w:val="center"/>
            <w:hideMark/>
          </w:tcPr>
          <w:p w14:paraId="20936E10"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2 352</w:t>
            </w:r>
          </w:p>
        </w:tc>
        <w:tc>
          <w:tcPr>
            <w:tcW w:w="584" w:type="pct"/>
            <w:tcBorders>
              <w:top w:val="nil"/>
              <w:left w:val="nil"/>
              <w:bottom w:val="single" w:sz="4" w:space="0" w:color="auto"/>
              <w:right w:val="single" w:sz="4" w:space="0" w:color="auto"/>
            </w:tcBorders>
            <w:shd w:val="clear" w:color="auto" w:fill="auto"/>
            <w:noWrap/>
            <w:vAlign w:val="center"/>
            <w:hideMark/>
          </w:tcPr>
          <w:p w14:paraId="52F23247"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2 362</w:t>
            </w:r>
          </w:p>
        </w:tc>
        <w:tc>
          <w:tcPr>
            <w:tcW w:w="618" w:type="pct"/>
            <w:tcBorders>
              <w:top w:val="nil"/>
              <w:left w:val="nil"/>
              <w:bottom w:val="single" w:sz="4" w:space="0" w:color="auto"/>
              <w:right w:val="single" w:sz="4" w:space="0" w:color="auto"/>
            </w:tcBorders>
            <w:shd w:val="clear" w:color="auto" w:fill="auto"/>
            <w:noWrap/>
            <w:vAlign w:val="center"/>
            <w:hideMark/>
          </w:tcPr>
          <w:p w14:paraId="307FBF29"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4,4</w:t>
            </w:r>
          </w:p>
        </w:tc>
        <w:tc>
          <w:tcPr>
            <w:tcW w:w="637" w:type="pct"/>
            <w:tcBorders>
              <w:top w:val="nil"/>
              <w:left w:val="nil"/>
              <w:bottom w:val="single" w:sz="4" w:space="0" w:color="auto"/>
              <w:right w:val="single" w:sz="4" w:space="0" w:color="auto"/>
            </w:tcBorders>
            <w:shd w:val="clear" w:color="auto" w:fill="auto"/>
            <w:noWrap/>
            <w:vAlign w:val="center"/>
            <w:hideMark/>
          </w:tcPr>
          <w:p w14:paraId="2FD55AEB"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24</w:t>
            </w:r>
          </w:p>
        </w:tc>
        <w:tc>
          <w:tcPr>
            <w:tcW w:w="74" w:type="pct"/>
            <w:vAlign w:val="center"/>
            <w:hideMark/>
          </w:tcPr>
          <w:p w14:paraId="270DA6BD"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034D3164"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2B8681D2"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Międzyrzec Podlaski </w:t>
            </w:r>
          </w:p>
        </w:tc>
        <w:tc>
          <w:tcPr>
            <w:tcW w:w="591" w:type="pct"/>
            <w:tcBorders>
              <w:top w:val="nil"/>
              <w:left w:val="nil"/>
              <w:bottom w:val="single" w:sz="4" w:space="0" w:color="auto"/>
              <w:right w:val="single" w:sz="4" w:space="0" w:color="auto"/>
            </w:tcBorders>
            <w:shd w:val="clear" w:color="auto" w:fill="auto"/>
            <w:noWrap/>
            <w:vAlign w:val="center"/>
            <w:hideMark/>
          </w:tcPr>
          <w:p w14:paraId="622F2E9A"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10 287</w:t>
            </w:r>
          </w:p>
        </w:tc>
        <w:tc>
          <w:tcPr>
            <w:tcW w:w="579" w:type="pct"/>
            <w:tcBorders>
              <w:top w:val="nil"/>
              <w:left w:val="nil"/>
              <w:bottom w:val="single" w:sz="4" w:space="0" w:color="auto"/>
              <w:right w:val="single" w:sz="4" w:space="0" w:color="auto"/>
            </w:tcBorders>
            <w:shd w:val="clear" w:color="auto" w:fill="auto"/>
            <w:noWrap/>
            <w:vAlign w:val="center"/>
            <w:hideMark/>
          </w:tcPr>
          <w:p w14:paraId="471BB791"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5 053</w:t>
            </w:r>
          </w:p>
        </w:tc>
        <w:tc>
          <w:tcPr>
            <w:tcW w:w="584" w:type="pct"/>
            <w:tcBorders>
              <w:top w:val="nil"/>
              <w:left w:val="nil"/>
              <w:bottom w:val="single" w:sz="4" w:space="0" w:color="auto"/>
              <w:right w:val="single" w:sz="4" w:space="0" w:color="auto"/>
            </w:tcBorders>
            <w:shd w:val="clear" w:color="auto" w:fill="auto"/>
            <w:noWrap/>
            <w:vAlign w:val="center"/>
            <w:hideMark/>
          </w:tcPr>
          <w:p w14:paraId="0D5E058E"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5 234</w:t>
            </w:r>
          </w:p>
        </w:tc>
        <w:tc>
          <w:tcPr>
            <w:tcW w:w="618" w:type="pct"/>
            <w:tcBorders>
              <w:top w:val="nil"/>
              <w:left w:val="nil"/>
              <w:bottom w:val="single" w:sz="4" w:space="0" w:color="auto"/>
              <w:right w:val="single" w:sz="4" w:space="0" w:color="auto"/>
            </w:tcBorders>
            <w:shd w:val="clear" w:color="auto" w:fill="auto"/>
            <w:noWrap/>
            <w:vAlign w:val="center"/>
            <w:hideMark/>
          </w:tcPr>
          <w:p w14:paraId="6B07BDD3"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9,6</w:t>
            </w:r>
          </w:p>
        </w:tc>
        <w:tc>
          <w:tcPr>
            <w:tcW w:w="637" w:type="pct"/>
            <w:tcBorders>
              <w:top w:val="nil"/>
              <w:left w:val="nil"/>
              <w:bottom w:val="single" w:sz="4" w:space="0" w:color="auto"/>
              <w:right w:val="single" w:sz="4" w:space="0" w:color="auto"/>
            </w:tcBorders>
            <w:shd w:val="clear" w:color="auto" w:fill="auto"/>
            <w:noWrap/>
            <w:vAlign w:val="center"/>
            <w:hideMark/>
          </w:tcPr>
          <w:p w14:paraId="230A2C0F"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39</w:t>
            </w:r>
          </w:p>
        </w:tc>
        <w:tc>
          <w:tcPr>
            <w:tcW w:w="74" w:type="pct"/>
            <w:vAlign w:val="center"/>
            <w:hideMark/>
          </w:tcPr>
          <w:p w14:paraId="5848FE36"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384FE3A9"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436C7FA7"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Piszczac </w:t>
            </w:r>
          </w:p>
        </w:tc>
        <w:tc>
          <w:tcPr>
            <w:tcW w:w="591" w:type="pct"/>
            <w:tcBorders>
              <w:top w:val="nil"/>
              <w:left w:val="nil"/>
              <w:bottom w:val="single" w:sz="4" w:space="0" w:color="auto"/>
              <w:right w:val="single" w:sz="4" w:space="0" w:color="auto"/>
            </w:tcBorders>
            <w:shd w:val="clear" w:color="auto" w:fill="auto"/>
            <w:noWrap/>
            <w:vAlign w:val="center"/>
            <w:hideMark/>
          </w:tcPr>
          <w:p w14:paraId="3469F799"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6 865</w:t>
            </w:r>
          </w:p>
        </w:tc>
        <w:tc>
          <w:tcPr>
            <w:tcW w:w="579" w:type="pct"/>
            <w:tcBorders>
              <w:top w:val="nil"/>
              <w:left w:val="nil"/>
              <w:bottom w:val="single" w:sz="4" w:space="0" w:color="auto"/>
              <w:right w:val="single" w:sz="4" w:space="0" w:color="auto"/>
            </w:tcBorders>
            <w:shd w:val="clear" w:color="auto" w:fill="auto"/>
            <w:noWrap/>
            <w:vAlign w:val="center"/>
            <w:hideMark/>
          </w:tcPr>
          <w:p w14:paraId="604C6F76"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3 512</w:t>
            </w:r>
          </w:p>
        </w:tc>
        <w:tc>
          <w:tcPr>
            <w:tcW w:w="584" w:type="pct"/>
            <w:tcBorders>
              <w:top w:val="nil"/>
              <w:left w:val="nil"/>
              <w:bottom w:val="single" w:sz="4" w:space="0" w:color="auto"/>
              <w:right w:val="single" w:sz="4" w:space="0" w:color="auto"/>
            </w:tcBorders>
            <w:shd w:val="clear" w:color="auto" w:fill="auto"/>
            <w:noWrap/>
            <w:vAlign w:val="center"/>
            <w:hideMark/>
          </w:tcPr>
          <w:p w14:paraId="6F5CFBA0"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3 353</w:t>
            </w:r>
          </w:p>
        </w:tc>
        <w:tc>
          <w:tcPr>
            <w:tcW w:w="618" w:type="pct"/>
            <w:tcBorders>
              <w:top w:val="nil"/>
              <w:left w:val="nil"/>
              <w:bottom w:val="single" w:sz="4" w:space="0" w:color="auto"/>
              <w:right w:val="single" w:sz="4" w:space="0" w:color="auto"/>
            </w:tcBorders>
            <w:shd w:val="clear" w:color="auto" w:fill="auto"/>
            <w:noWrap/>
            <w:vAlign w:val="center"/>
            <w:hideMark/>
          </w:tcPr>
          <w:p w14:paraId="5D2E0955"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6,4</w:t>
            </w:r>
          </w:p>
        </w:tc>
        <w:tc>
          <w:tcPr>
            <w:tcW w:w="637" w:type="pct"/>
            <w:tcBorders>
              <w:top w:val="nil"/>
              <w:left w:val="nil"/>
              <w:bottom w:val="single" w:sz="4" w:space="0" w:color="auto"/>
              <w:right w:val="single" w:sz="4" w:space="0" w:color="auto"/>
            </w:tcBorders>
            <w:shd w:val="clear" w:color="auto" w:fill="auto"/>
            <w:noWrap/>
            <w:vAlign w:val="center"/>
            <w:hideMark/>
          </w:tcPr>
          <w:p w14:paraId="4A28E469"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40</w:t>
            </w:r>
          </w:p>
        </w:tc>
        <w:tc>
          <w:tcPr>
            <w:tcW w:w="74" w:type="pct"/>
            <w:vAlign w:val="center"/>
            <w:hideMark/>
          </w:tcPr>
          <w:p w14:paraId="1DCF6484"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18DFA8ED"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6BDD9DB6"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Rokitno </w:t>
            </w:r>
          </w:p>
        </w:tc>
        <w:tc>
          <w:tcPr>
            <w:tcW w:w="591" w:type="pct"/>
            <w:tcBorders>
              <w:top w:val="nil"/>
              <w:left w:val="nil"/>
              <w:bottom w:val="single" w:sz="4" w:space="0" w:color="auto"/>
              <w:right w:val="single" w:sz="4" w:space="0" w:color="auto"/>
            </w:tcBorders>
            <w:shd w:val="clear" w:color="auto" w:fill="auto"/>
            <w:noWrap/>
            <w:vAlign w:val="center"/>
            <w:hideMark/>
          </w:tcPr>
          <w:p w14:paraId="2FF84EB9"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2 821</w:t>
            </w:r>
          </w:p>
        </w:tc>
        <w:tc>
          <w:tcPr>
            <w:tcW w:w="579" w:type="pct"/>
            <w:tcBorders>
              <w:top w:val="nil"/>
              <w:left w:val="nil"/>
              <w:bottom w:val="single" w:sz="4" w:space="0" w:color="auto"/>
              <w:right w:val="single" w:sz="4" w:space="0" w:color="auto"/>
            </w:tcBorders>
            <w:shd w:val="clear" w:color="auto" w:fill="auto"/>
            <w:noWrap/>
            <w:vAlign w:val="center"/>
            <w:hideMark/>
          </w:tcPr>
          <w:p w14:paraId="63F0CF92"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1 373</w:t>
            </w:r>
          </w:p>
        </w:tc>
        <w:tc>
          <w:tcPr>
            <w:tcW w:w="584" w:type="pct"/>
            <w:tcBorders>
              <w:top w:val="nil"/>
              <w:left w:val="nil"/>
              <w:bottom w:val="single" w:sz="4" w:space="0" w:color="auto"/>
              <w:right w:val="single" w:sz="4" w:space="0" w:color="auto"/>
            </w:tcBorders>
            <w:shd w:val="clear" w:color="auto" w:fill="auto"/>
            <w:noWrap/>
            <w:vAlign w:val="center"/>
            <w:hideMark/>
          </w:tcPr>
          <w:p w14:paraId="2857EF01"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1 448</w:t>
            </w:r>
          </w:p>
        </w:tc>
        <w:tc>
          <w:tcPr>
            <w:tcW w:w="618" w:type="pct"/>
            <w:tcBorders>
              <w:top w:val="nil"/>
              <w:left w:val="nil"/>
              <w:bottom w:val="single" w:sz="4" w:space="0" w:color="auto"/>
              <w:right w:val="single" w:sz="4" w:space="0" w:color="auto"/>
            </w:tcBorders>
            <w:shd w:val="clear" w:color="auto" w:fill="auto"/>
            <w:noWrap/>
            <w:vAlign w:val="center"/>
            <w:hideMark/>
          </w:tcPr>
          <w:p w14:paraId="5078C078"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2,6</w:t>
            </w:r>
          </w:p>
        </w:tc>
        <w:tc>
          <w:tcPr>
            <w:tcW w:w="637" w:type="pct"/>
            <w:tcBorders>
              <w:top w:val="nil"/>
              <w:left w:val="nil"/>
              <w:bottom w:val="single" w:sz="4" w:space="0" w:color="auto"/>
              <w:right w:val="single" w:sz="4" w:space="0" w:color="auto"/>
            </w:tcBorders>
            <w:shd w:val="clear" w:color="auto" w:fill="auto"/>
            <w:noWrap/>
            <w:vAlign w:val="center"/>
            <w:hideMark/>
          </w:tcPr>
          <w:p w14:paraId="437CA3E5"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20</w:t>
            </w:r>
          </w:p>
        </w:tc>
        <w:tc>
          <w:tcPr>
            <w:tcW w:w="74" w:type="pct"/>
            <w:vAlign w:val="center"/>
            <w:hideMark/>
          </w:tcPr>
          <w:p w14:paraId="1FA85C0A"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6D330C8C"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576055E7"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Rossosz </w:t>
            </w:r>
          </w:p>
        </w:tc>
        <w:tc>
          <w:tcPr>
            <w:tcW w:w="591" w:type="pct"/>
            <w:tcBorders>
              <w:top w:val="nil"/>
              <w:left w:val="nil"/>
              <w:bottom w:val="single" w:sz="4" w:space="0" w:color="auto"/>
              <w:right w:val="single" w:sz="4" w:space="0" w:color="auto"/>
            </w:tcBorders>
            <w:shd w:val="clear" w:color="auto" w:fill="auto"/>
            <w:noWrap/>
            <w:vAlign w:val="center"/>
            <w:hideMark/>
          </w:tcPr>
          <w:p w14:paraId="25CC5589"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2 136</w:t>
            </w:r>
          </w:p>
        </w:tc>
        <w:tc>
          <w:tcPr>
            <w:tcW w:w="579" w:type="pct"/>
            <w:tcBorders>
              <w:top w:val="nil"/>
              <w:left w:val="nil"/>
              <w:bottom w:val="single" w:sz="4" w:space="0" w:color="auto"/>
              <w:right w:val="single" w:sz="4" w:space="0" w:color="auto"/>
            </w:tcBorders>
            <w:shd w:val="clear" w:color="auto" w:fill="auto"/>
            <w:noWrap/>
            <w:vAlign w:val="center"/>
            <w:hideMark/>
          </w:tcPr>
          <w:p w14:paraId="2AFA41B6"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1 067</w:t>
            </w:r>
          </w:p>
        </w:tc>
        <w:tc>
          <w:tcPr>
            <w:tcW w:w="584" w:type="pct"/>
            <w:tcBorders>
              <w:top w:val="nil"/>
              <w:left w:val="nil"/>
              <w:bottom w:val="single" w:sz="4" w:space="0" w:color="auto"/>
              <w:right w:val="single" w:sz="4" w:space="0" w:color="auto"/>
            </w:tcBorders>
            <w:shd w:val="clear" w:color="auto" w:fill="auto"/>
            <w:noWrap/>
            <w:vAlign w:val="center"/>
            <w:hideMark/>
          </w:tcPr>
          <w:p w14:paraId="5DB7ADE5"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1 069</w:t>
            </w:r>
          </w:p>
        </w:tc>
        <w:tc>
          <w:tcPr>
            <w:tcW w:w="618" w:type="pct"/>
            <w:tcBorders>
              <w:top w:val="nil"/>
              <w:left w:val="nil"/>
              <w:bottom w:val="single" w:sz="4" w:space="0" w:color="auto"/>
              <w:right w:val="single" w:sz="4" w:space="0" w:color="auto"/>
            </w:tcBorders>
            <w:shd w:val="clear" w:color="auto" w:fill="auto"/>
            <w:noWrap/>
            <w:vAlign w:val="center"/>
            <w:hideMark/>
          </w:tcPr>
          <w:p w14:paraId="6A970EAB"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2,0</w:t>
            </w:r>
          </w:p>
        </w:tc>
        <w:tc>
          <w:tcPr>
            <w:tcW w:w="637" w:type="pct"/>
            <w:tcBorders>
              <w:top w:val="nil"/>
              <w:left w:val="nil"/>
              <w:bottom w:val="single" w:sz="4" w:space="0" w:color="auto"/>
              <w:right w:val="single" w:sz="4" w:space="0" w:color="auto"/>
            </w:tcBorders>
            <w:shd w:val="clear" w:color="auto" w:fill="auto"/>
            <w:noWrap/>
            <w:vAlign w:val="center"/>
            <w:hideMark/>
          </w:tcPr>
          <w:p w14:paraId="401AA637"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28</w:t>
            </w:r>
          </w:p>
        </w:tc>
        <w:tc>
          <w:tcPr>
            <w:tcW w:w="74" w:type="pct"/>
            <w:vAlign w:val="center"/>
            <w:hideMark/>
          </w:tcPr>
          <w:p w14:paraId="59675BA1"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27E5DBB7"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5A7547A0"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Sławatycze </w:t>
            </w:r>
          </w:p>
        </w:tc>
        <w:tc>
          <w:tcPr>
            <w:tcW w:w="591" w:type="pct"/>
            <w:tcBorders>
              <w:top w:val="nil"/>
              <w:left w:val="nil"/>
              <w:bottom w:val="single" w:sz="4" w:space="0" w:color="auto"/>
              <w:right w:val="single" w:sz="4" w:space="0" w:color="auto"/>
            </w:tcBorders>
            <w:shd w:val="clear" w:color="auto" w:fill="auto"/>
            <w:noWrap/>
            <w:vAlign w:val="center"/>
            <w:hideMark/>
          </w:tcPr>
          <w:p w14:paraId="6049AD33"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2 296</w:t>
            </w:r>
          </w:p>
        </w:tc>
        <w:tc>
          <w:tcPr>
            <w:tcW w:w="579" w:type="pct"/>
            <w:tcBorders>
              <w:top w:val="nil"/>
              <w:left w:val="nil"/>
              <w:bottom w:val="single" w:sz="4" w:space="0" w:color="auto"/>
              <w:right w:val="single" w:sz="4" w:space="0" w:color="auto"/>
            </w:tcBorders>
            <w:shd w:val="clear" w:color="auto" w:fill="auto"/>
            <w:noWrap/>
            <w:vAlign w:val="center"/>
            <w:hideMark/>
          </w:tcPr>
          <w:p w14:paraId="058662D6"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1 153</w:t>
            </w:r>
          </w:p>
        </w:tc>
        <w:tc>
          <w:tcPr>
            <w:tcW w:w="584" w:type="pct"/>
            <w:tcBorders>
              <w:top w:val="nil"/>
              <w:left w:val="nil"/>
              <w:bottom w:val="single" w:sz="4" w:space="0" w:color="auto"/>
              <w:right w:val="single" w:sz="4" w:space="0" w:color="auto"/>
            </w:tcBorders>
            <w:shd w:val="clear" w:color="auto" w:fill="auto"/>
            <w:noWrap/>
            <w:vAlign w:val="center"/>
            <w:hideMark/>
          </w:tcPr>
          <w:p w14:paraId="0F8A4F09"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1 143</w:t>
            </w:r>
          </w:p>
        </w:tc>
        <w:tc>
          <w:tcPr>
            <w:tcW w:w="618" w:type="pct"/>
            <w:tcBorders>
              <w:top w:val="nil"/>
              <w:left w:val="nil"/>
              <w:bottom w:val="single" w:sz="4" w:space="0" w:color="auto"/>
              <w:right w:val="single" w:sz="4" w:space="0" w:color="auto"/>
            </w:tcBorders>
            <w:shd w:val="clear" w:color="auto" w:fill="auto"/>
            <w:noWrap/>
            <w:vAlign w:val="center"/>
            <w:hideMark/>
          </w:tcPr>
          <w:p w14:paraId="4806D4F3"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2,1</w:t>
            </w:r>
          </w:p>
        </w:tc>
        <w:tc>
          <w:tcPr>
            <w:tcW w:w="637" w:type="pct"/>
            <w:tcBorders>
              <w:top w:val="nil"/>
              <w:left w:val="nil"/>
              <w:bottom w:val="single" w:sz="4" w:space="0" w:color="auto"/>
              <w:right w:val="single" w:sz="4" w:space="0" w:color="auto"/>
            </w:tcBorders>
            <w:shd w:val="clear" w:color="auto" w:fill="auto"/>
            <w:noWrap/>
            <w:vAlign w:val="center"/>
            <w:hideMark/>
          </w:tcPr>
          <w:p w14:paraId="49244F76"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32</w:t>
            </w:r>
          </w:p>
        </w:tc>
        <w:tc>
          <w:tcPr>
            <w:tcW w:w="74" w:type="pct"/>
            <w:vAlign w:val="center"/>
            <w:hideMark/>
          </w:tcPr>
          <w:p w14:paraId="11092BE6"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12716BBF"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382AC80F"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Sosnówka </w:t>
            </w:r>
          </w:p>
        </w:tc>
        <w:tc>
          <w:tcPr>
            <w:tcW w:w="591" w:type="pct"/>
            <w:tcBorders>
              <w:top w:val="nil"/>
              <w:left w:val="nil"/>
              <w:bottom w:val="single" w:sz="4" w:space="0" w:color="auto"/>
              <w:right w:val="single" w:sz="4" w:space="0" w:color="auto"/>
            </w:tcBorders>
            <w:shd w:val="clear" w:color="auto" w:fill="auto"/>
            <w:noWrap/>
            <w:vAlign w:val="center"/>
            <w:hideMark/>
          </w:tcPr>
          <w:p w14:paraId="5C49B35A"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2 258</w:t>
            </w:r>
          </w:p>
        </w:tc>
        <w:tc>
          <w:tcPr>
            <w:tcW w:w="579" w:type="pct"/>
            <w:tcBorders>
              <w:top w:val="nil"/>
              <w:left w:val="nil"/>
              <w:bottom w:val="single" w:sz="4" w:space="0" w:color="auto"/>
              <w:right w:val="single" w:sz="4" w:space="0" w:color="auto"/>
            </w:tcBorders>
            <w:shd w:val="clear" w:color="auto" w:fill="auto"/>
            <w:noWrap/>
            <w:vAlign w:val="center"/>
            <w:hideMark/>
          </w:tcPr>
          <w:p w14:paraId="12725D9D"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1 102</w:t>
            </w:r>
          </w:p>
        </w:tc>
        <w:tc>
          <w:tcPr>
            <w:tcW w:w="584" w:type="pct"/>
            <w:tcBorders>
              <w:top w:val="nil"/>
              <w:left w:val="nil"/>
              <w:bottom w:val="single" w:sz="4" w:space="0" w:color="auto"/>
              <w:right w:val="single" w:sz="4" w:space="0" w:color="auto"/>
            </w:tcBorders>
            <w:shd w:val="clear" w:color="auto" w:fill="auto"/>
            <w:noWrap/>
            <w:vAlign w:val="center"/>
            <w:hideMark/>
          </w:tcPr>
          <w:p w14:paraId="487E0250"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1 156</w:t>
            </w:r>
          </w:p>
        </w:tc>
        <w:tc>
          <w:tcPr>
            <w:tcW w:w="618" w:type="pct"/>
            <w:tcBorders>
              <w:top w:val="nil"/>
              <w:left w:val="nil"/>
              <w:bottom w:val="single" w:sz="4" w:space="0" w:color="auto"/>
              <w:right w:val="single" w:sz="4" w:space="0" w:color="auto"/>
            </w:tcBorders>
            <w:shd w:val="clear" w:color="auto" w:fill="auto"/>
            <w:noWrap/>
            <w:vAlign w:val="center"/>
            <w:hideMark/>
          </w:tcPr>
          <w:p w14:paraId="252B8C55"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2,1</w:t>
            </w:r>
          </w:p>
        </w:tc>
        <w:tc>
          <w:tcPr>
            <w:tcW w:w="637" w:type="pct"/>
            <w:tcBorders>
              <w:top w:val="nil"/>
              <w:left w:val="nil"/>
              <w:bottom w:val="single" w:sz="4" w:space="0" w:color="auto"/>
              <w:right w:val="single" w:sz="4" w:space="0" w:color="auto"/>
            </w:tcBorders>
            <w:shd w:val="clear" w:color="auto" w:fill="auto"/>
            <w:noWrap/>
            <w:vAlign w:val="center"/>
            <w:hideMark/>
          </w:tcPr>
          <w:p w14:paraId="12B3677B"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15</w:t>
            </w:r>
          </w:p>
        </w:tc>
        <w:tc>
          <w:tcPr>
            <w:tcW w:w="74" w:type="pct"/>
            <w:vAlign w:val="center"/>
            <w:hideMark/>
          </w:tcPr>
          <w:p w14:paraId="0795A1EB"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0B4BD963"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243F3AC8"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Terespol </w:t>
            </w:r>
          </w:p>
        </w:tc>
        <w:tc>
          <w:tcPr>
            <w:tcW w:w="591" w:type="pct"/>
            <w:tcBorders>
              <w:top w:val="nil"/>
              <w:left w:val="nil"/>
              <w:bottom w:val="single" w:sz="4" w:space="0" w:color="auto"/>
              <w:right w:val="single" w:sz="4" w:space="0" w:color="auto"/>
            </w:tcBorders>
            <w:shd w:val="clear" w:color="auto" w:fill="auto"/>
            <w:noWrap/>
            <w:vAlign w:val="center"/>
            <w:hideMark/>
          </w:tcPr>
          <w:p w14:paraId="28BECD92"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6 220</w:t>
            </w:r>
          </w:p>
        </w:tc>
        <w:tc>
          <w:tcPr>
            <w:tcW w:w="579" w:type="pct"/>
            <w:tcBorders>
              <w:top w:val="nil"/>
              <w:left w:val="nil"/>
              <w:bottom w:val="single" w:sz="4" w:space="0" w:color="auto"/>
              <w:right w:val="single" w:sz="4" w:space="0" w:color="auto"/>
            </w:tcBorders>
            <w:shd w:val="clear" w:color="auto" w:fill="auto"/>
            <w:noWrap/>
            <w:vAlign w:val="center"/>
            <w:hideMark/>
          </w:tcPr>
          <w:p w14:paraId="3AE11562"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3 082</w:t>
            </w:r>
          </w:p>
        </w:tc>
        <w:tc>
          <w:tcPr>
            <w:tcW w:w="584" w:type="pct"/>
            <w:tcBorders>
              <w:top w:val="nil"/>
              <w:left w:val="nil"/>
              <w:bottom w:val="single" w:sz="4" w:space="0" w:color="auto"/>
              <w:right w:val="single" w:sz="4" w:space="0" w:color="auto"/>
            </w:tcBorders>
            <w:shd w:val="clear" w:color="auto" w:fill="auto"/>
            <w:noWrap/>
            <w:vAlign w:val="center"/>
            <w:hideMark/>
          </w:tcPr>
          <w:p w14:paraId="67FE250B"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3 138</w:t>
            </w:r>
          </w:p>
        </w:tc>
        <w:tc>
          <w:tcPr>
            <w:tcW w:w="618" w:type="pct"/>
            <w:tcBorders>
              <w:top w:val="nil"/>
              <w:left w:val="nil"/>
              <w:bottom w:val="single" w:sz="4" w:space="0" w:color="auto"/>
              <w:right w:val="single" w:sz="4" w:space="0" w:color="auto"/>
            </w:tcBorders>
            <w:shd w:val="clear" w:color="auto" w:fill="auto"/>
            <w:noWrap/>
            <w:vAlign w:val="center"/>
            <w:hideMark/>
          </w:tcPr>
          <w:p w14:paraId="1BE00C09"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5,8</w:t>
            </w:r>
          </w:p>
        </w:tc>
        <w:tc>
          <w:tcPr>
            <w:tcW w:w="637" w:type="pct"/>
            <w:tcBorders>
              <w:top w:val="nil"/>
              <w:left w:val="nil"/>
              <w:bottom w:val="single" w:sz="4" w:space="0" w:color="auto"/>
              <w:right w:val="single" w:sz="4" w:space="0" w:color="auto"/>
            </w:tcBorders>
            <w:shd w:val="clear" w:color="auto" w:fill="auto"/>
            <w:noWrap/>
            <w:vAlign w:val="center"/>
            <w:hideMark/>
          </w:tcPr>
          <w:p w14:paraId="7D3A8477"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44</w:t>
            </w:r>
          </w:p>
        </w:tc>
        <w:tc>
          <w:tcPr>
            <w:tcW w:w="74" w:type="pct"/>
            <w:vAlign w:val="center"/>
            <w:hideMark/>
          </w:tcPr>
          <w:p w14:paraId="48F8C935"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560A755B"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77DF6A5A"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Tuczna </w:t>
            </w:r>
          </w:p>
        </w:tc>
        <w:tc>
          <w:tcPr>
            <w:tcW w:w="591" w:type="pct"/>
            <w:tcBorders>
              <w:top w:val="nil"/>
              <w:left w:val="nil"/>
              <w:bottom w:val="single" w:sz="4" w:space="0" w:color="auto"/>
              <w:right w:val="single" w:sz="4" w:space="0" w:color="auto"/>
            </w:tcBorders>
            <w:shd w:val="clear" w:color="auto" w:fill="auto"/>
            <w:noWrap/>
            <w:vAlign w:val="center"/>
            <w:hideMark/>
          </w:tcPr>
          <w:p w14:paraId="50FFF229"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2 891</w:t>
            </w:r>
          </w:p>
        </w:tc>
        <w:tc>
          <w:tcPr>
            <w:tcW w:w="579" w:type="pct"/>
            <w:tcBorders>
              <w:top w:val="nil"/>
              <w:left w:val="nil"/>
              <w:bottom w:val="single" w:sz="4" w:space="0" w:color="auto"/>
              <w:right w:val="single" w:sz="4" w:space="0" w:color="auto"/>
            </w:tcBorders>
            <w:shd w:val="clear" w:color="auto" w:fill="auto"/>
            <w:noWrap/>
            <w:vAlign w:val="center"/>
            <w:hideMark/>
          </w:tcPr>
          <w:p w14:paraId="05F9E54A"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1 445</w:t>
            </w:r>
          </w:p>
        </w:tc>
        <w:tc>
          <w:tcPr>
            <w:tcW w:w="584" w:type="pct"/>
            <w:tcBorders>
              <w:top w:val="nil"/>
              <w:left w:val="nil"/>
              <w:bottom w:val="single" w:sz="4" w:space="0" w:color="auto"/>
              <w:right w:val="single" w:sz="4" w:space="0" w:color="auto"/>
            </w:tcBorders>
            <w:shd w:val="clear" w:color="auto" w:fill="auto"/>
            <w:noWrap/>
            <w:vAlign w:val="center"/>
            <w:hideMark/>
          </w:tcPr>
          <w:p w14:paraId="5EDE0BEB"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1 446</w:t>
            </w:r>
          </w:p>
        </w:tc>
        <w:tc>
          <w:tcPr>
            <w:tcW w:w="618" w:type="pct"/>
            <w:tcBorders>
              <w:top w:val="nil"/>
              <w:left w:val="nil"/>
              <w:bottom w:val="single" w:sz="4" w:space="0" w:color="auto"/>
              <w:right w:val="single" w:sz="4" w:space="0" w:color="auto"/>
            </w:tcBorders>
            <w:shd w:val="clear" w:color="auto" w:fill="auto"/>
            <w:noWrap/>
            <w:vAlign w:val="center"/>
            <w:hideMark/>
          </w:tcPr>
          <w:p w14:paraId="077C0D84"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2,7</w:t>
            </w:r>
          </w:p>
        </w:tc>
        <w:tc>
          <w:tcPr>
            <w:tcW w:w="637" w:type="pct"/>
            <w:tcBorders>
              <w:top w:val="nil"/>
              <w:left w:val="nil"/>
              <w:bottom w:val="single" w:sz="4" w:space="0" w:color="auto"/>
              <w:right w:val="single" w:sz="4" w:space="0" w:color="auto"/>
            </w:tcBorders>
            <w:shd w:val="clear" w:color="auto" w:fill="auto"/>
            <w:noWrap/>
            <w:vAlign w:val="center"/>
            <w:hideMark/>
          </w:tcPr>
          <w:p w14:paraId="3D1F3DF2"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17</w:t>
            </w:r>
          </w:p>
        </w:tc>
        <w:tc>
          <w:tcPr>
            <w:tcW w:w="74" w:type="pct"/>
            <w:vAlign w:val="center"/>
            <w:hideMark/>
          </w:tcPr>
          <w:p w14:paraId="72984135"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499E351A"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6A44FB7F"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Wisznice </w:t>
            </w:r>
          </w:p>
        </w:tc>
        <w:tc>
          <w:tcPr>
            <w:tcW w:w="591" w:type="pct"/>
            <w:tcBorders>
              <w:top w:val="nil"/>
              <w:left w:val="nil"/>
              <w:bottom w:val="single" w:sz="4" w:space="0" w:color="auto"/>
              <w:right w:val="single" w:sz="4" w:space="0" w:color="auto"/>
            </w:tcBorders>
            <w:shd w:val="clear" w:color="auto" w:fill="auto"/>
            <w:noWrap/>
            <w:vAlign w:val="center"/>
            <w:hideMark/>
          </w:tcPr>
          <w:p w14:paraId="7371365D"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4 628</w:t>
            </w:r>
          </w:p>
        </w:tc>
        <w:tc>
          <w:tcPr>
            <w:tcW w:w="579" w:type="pct"/>
            <w:tcBorders>
              <w:top w:val="nil"/>
              <w:left w:val="nil"/>
              <w:bottom w:val="single" w:sz="4" w:space="0" w:color="auto"/>
              <w:right w:val="single" w:sz="4" w:space="0" w:color="auto"/>
            </w:tcBorders>
            <w:shd w:val="clear" w:color="auto" w:fill="auto"/>
            <w:noWrap/>
            <w:vAlign w:val="center"/>
            <w:hideMark/>
          </w:tcPr>
          <w:p w14:paraId="593F77F5"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2 364</w:t>
            </w:r>
          </w:p>
        </w:tc>
        <w:tc>
          <w:tcPr>
            <w:tcW w:w="584" w:type="pct"/>
            <w:tcBorders>
              <w:top w:val="nil"/>
              <w:left w:val="nil"/>
              <w:bottom w:val="single" w:sz="4" w:space="0" w:color="auto"/>
              <w:right w:val="single" w:sz="4" w:space="0" w:color="auto"/>
            </w:tcBorders>
            <w:shd w:val="clear" w:color="auto" w:fill="auto"/>
            <w:noWrap/>
            <w:vAlign w:val="center"/>
            <w:hideMark/>
          </w:tcPr>
          <w:p w14:paraId="72E9DAAD"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2 264</w:t>
            </w:r>
          </w:p>
        </w:tc>
        <w:tc>
          <w:tcPr>
            <w:tcW w:w="618" w:type="pct"/>
            <w:tcBorders>
              <w:top w:val="nil"/>
              <w:left w:val="nil"/>
              <w:bottom w:val="single" w:sz="4" w:space="0" w:color="auto"/>
              <w:right w:val="single" w:sz="4" w:space="0" w:color="auto"/>
            </w:tcBorders>
            <w:shd w:val="clear" w:color="auto" w:fill="auto"/>
            <w:noWrap/>
            <w:vAlign w:val="center"/>
            <w:hideMark/>
          </w:tcPr>
          <w:p w14:paraId="1077158A"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4,3</w:t>
            </w:r>
          </w:p>
        </w:tc>
        <w:tc>
          <w:tcPr>
            <w:tcW w:w="637" w:type="pct"/>
            <w:tcBorders>
              <w:top w:val="nil"/>
              <w:left w:val="nil"/>
              <w:bottom w:val="single" w:sz="4" w:space="0" w:color="auto"/>
              <w:right w:val="single" w:sz="4" w:space="0" w:color="auto"/>
            </w:tcBorders>
            <w:shd w:val="clear" w:color="auto" w:fill="auto"/>
            <w:noWrap/>
            <w:vAlign w:val="center"/>
            <w:hideMark/>
          </w:tcPr>
          <w:p w14:paraId="4381F7D2"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27</w:t>
            </w:r>
          </w:p>
        </w:tc>
        <w:tc>
          <w:tcPr>
            <w:tcW w:w="74" w:type="pct"/>
            <w:vAlign w:val="center"/>
            <w:hideMark/>
          </w:tcPr>
          <w:p w14:paraId="6C0CFEF7"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4AD6AD57"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55680B86" w14:textId="77777777" w:rsidR="00D94122" w:rsidRPr="00343B06" w:rsidRDefault="00D94122" w:rsidP="000F4949">
            <w:pPr>
              <w:spacing w:after="0" w:line="240" w:lineRule="auto"/>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 xml:space="preserve">Zalesie </w:t>
            </w:r>
          </w:p>
        </w:tc>
        <w:tc>
          <w:tcPr>
            <w:tcW w:w="591" w:type="pct"/>
            <w:tcBorders>
              <w:top w:val="nil"/>
              <w:left w:val="nil"/>
              <w:bottom w:val="single" w:sz="4" w:space="0" w:color="auto"/>
              <w:right w:val="single" w:sz="4" w:space="0" w:color="auto"/>
            </w:tcBorders>
            <w:shd w:val="clear" w:color="auto" w:fill="auto"/>
            <w:noWrap/>
            <w:vAlign w:val="center"/>
            <w:hideMark/>
          </w:tcPr>
          <w:p w14:paraId="138EEECC"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4 201</w:t>
            </w:r>
          </w:p>
        </w:tc>
        <w:tc>
          <w:tcPr>
            <w:tcW w:w="579" w:type="pct"/>
            <w:tcBorders>
              <w:top w:val="nil"/>
              <w:left w:val="nil"/>
              <w:bottom w:val="single" w:sz="4" w:space="0" w:color="auto"/>
              <w:right w:val="single" w:sz="4" w:space="0" w:color="auto"/>
            </w:tcBorders>
            <w:shd w:val="clear" w:color="auto" w:fill="auto"/>
            <w:noWrap/>
            <w:vAlign w:val="center"/>
            <w:hideMark/>
          </w:tcPr>
          <w:p w14:paraId="6D6BB6CA"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2 039</w:t>
            </w:r>
          </w:p>
        </w:tc>
        <w:tc>
          <w:tcPr>
            <w:tcW w:w="584" w:type="pct"/>
            <w:tcBorders>
              <w:top w:val="nil"/>
              <w:left w:val="nil"/>
              <w:bottom w:val="single" w:sz="4" w:space="0" w:color="auto"/>
              <w:right w:val="single" w:sz="4" w:space="0" w:color="auto"/>
            </w:tcBorders>
            <w:shd w:val="clear" w:color="auto" w:fill="auto"/>
            <w:noWrap/>
            <w:vAlign w:val="center"/>
            <w:hideMark/>
          </w:tcPr>
          <w:p w14:paraId="58504371"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2 162</w:t>
            </w:r>
          </w:p>
        </w:tc>
        <w:tc>
          <w:tcPr>
            <w:tcW w:w="618" w:type="pct"/>
            <w:tcBorders>
              <w:top w:val="nil"/>
              <w:left w:val="nil"/>
              <w:bottom w:val="single" w:sz="4" w:space="0" w:color="auto"/>
              <w:right w:val="single" w:sz="4" w:space="0" w:color="auto"/>
            </w:tcBorders>
            <w:shd w:val="clear" w:color="auto" w:fill="auto"/>
            <w:noWrap/>
            <w:vAlign w:val="center"/>
            <w:hideMark/>
          </w:tcPr>
          <w:p w14:paraId="1A381ACC"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3,9</w:t>
            </w:r>
          </w:p>
        </w:tc>
        <w:tc>
          <w:tcPr>
            <w:tcW w:w="637" w:type="pct"/>
            <w:tcBorders>
              <w:top w:val="nil"/>
              <w:left w:val="nil"/>
              <w:bottom w:val="single" w:sz="4" w:space="0" w:color="auto"/>
              <w:right w:val="single" w:sz="4" w:space="0" w:color="auto"/>
            </w:tcBorders>
            <w:shd w:val="clear" w:color="auto" w:fill="auto"/>
            <w:noWrap/>
            <w:vAlign w:val="center"/>
            <w:hideMark/>
          </w:tcPr>
          <w:p w14:paraId="7568C84B" w14:textId="77777777" w:rsidR="00D94122" w:rsidRPr="00343B06" w:rsidRDefault="00D94122" w:rsidP="000F4949">
            <w:pPr>
              <w:spacing w:after="0" w:line="240" w:lineRule="auto"/>
              <w:jc w:val="center"/>
              <w:rPr>
                <w:rFonts w:ascii="Times New Roman" w:eastAsia="Times New Roman" w:hAnsi="Times New Roman" w:cs="Times New Roman"/>
                <w:color w:val="000000"/>
                <w:sz w:val="20"/>
                <w:szCs w:val="20"/>
                <w:lang w:eastAsia="pl-PL"/>
              </w:rPr>
            </w:pPr>
            <w:r w:rsidRPr="00343B06">
              <w:rPr>
                <w:rFonts w:ascii="Times New Roman" w:eastAsia="Times New Roman" w:hAnsi="Times New Roman" w:cs="Times New Roman"/>
                <w:color w:val="000000"/>
                <w:sz w:val="20"/>
                <w:szCs w:val="20"/>
                <w:lang w:eastAsia="pl-PL"/>
              </w:rPr>
              <w:t>29</w:t>
            </w:r>
          </w:p>
        </w:tc>
        <w:tc>
          <w:tcPr>
            <w:tcW w:w="74" w:type="pct"/>
            <w:vAlign w:val="center"/>
            <w:hideMark/>
          </w:tcPr>
          <w:p w14:paraId="4FD8CA53"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r w:rsidR="00D94122" w:rsidRPr="00343B06" w14:paraId="64016787" w14:textId="77777777" w:rsidTr="000F4949">
        <w:trPr>
          <w:trHeight w:val="340"/>
        </w:trPr>
        <w:tc>
          <w:tcPr>
            <w:tcW w:w="1918" w:type="pct"/>
            <w:tcBorders>
              <w:top w:val="nil"/>
              <w:left w:val="single" w:sz="4" w:space="0" w:color="auto"/>
              <w:bottom w:val="single" w:sz="4" w:space="0" w:color="auto"/>
              <w:right w:val="single" w:sz="4" w:space="0" w:color="auto"/>
            </w:tcBorders>
            <w:shd w:val="clear" w:color="auto" w:fill="auto"/>
            <w:noWrap/>
            <w:vAlign w:val="center"/>
            <w:hideMark/>
          </w:tcPr>
          <w:p w14:paraId="28C4BE9F" w14:textId="77777777" w:rsidR="00D94122" w:rsidRPr="00343B06" w:rsidRDefault="00D94122" w:rsidP="000F4949">
            <w:pPr>
              <w:spacing w:after="0" w:line="240" w:lineRule="auto"/>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Razem Bialskopodlaska LGD</w:t>
            </w:r>
          </w:p>
        </w:tc>
        <w:tc>
          <w:tcPr>
            <w:tcW w:w="591" w:type="pct"/>
            <w:tcBorders>
              <w:top w:val="nil"/>
              <w:left w:val="nil"/>
              <w:bottom w:val="single" w:sz="4" w:space="0" w:color="auto"/>
              <w:right w:val="single" w:sz="4" w:space="0" w:color="auto"/>
            </w:tcBorders>
            <w:shd w:val="clear" w:color="auto" w:fill="auto"/>
            <w:noWrap/>
            <w:vAlign w:val="center"/>
            <w:hideMark/>
          </w:tcPr>
          <w:p w14:paraId="1ED18F56" w14:textId="77777777" w:rsidR="00D94122" w:rsidRPr="00343B06"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bookmarkStart w:id="30" w:name="_Hlk135833800"/>
            <w:r w:rsidRPr="00343B06">
              <w:rPr>
                <w:rFonts w:ascii="Times New Roman" w:eastAsia="Times New Roman" w:hAnsi="Times New Roman" w:cs="Times New Roman"/>
                <w:b/>
                <w:bCs/>
                <w:color w:val="000000"/>
                <w:sz w:val="20"/>
                <w:szCs w:val="20"/>
                <w:lang w:eastAsia="pl-PL"/>
              </w:rPr>
              <w:t>107 031</w:t>
            </w:r>
            <w:bookmarkEnd w:id="30"/>
          </w:p>
        </w:tc>
        <w:tc>
          <w:tcPr>
            <w:tcW w:w="579" w:type="pct"/>
            <w:tcBorders>
              <w:top w:val="nil"/>
              <w:left w:val="nil"/>
              <w:bottom w:val="single" w:sz="4" w:space="0" w:color="auto"/>
              <w:right w:val="single" w:sz="4" w:space="0" w:color="auto"/>
            </w:tcBorders>
            <w:shd w:val="clear" w:color="auto" w:fill="auto"/>
            <w:noWrap/>
            <w:vAlign w:val="center"/>
            <w:hideMark/>
          </w:tcPr>
          <w:p w14:paraId="6874AB35" w14:textId="77777777" w:rsidR="00D94122" w:rsidRPr="00343B06"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53 602</w:t>
            </w:r>
          </w:p>
        </w:tc>
        <w:tc>
          <w:tcPr>
            <w:tcW w:w="584" w:type="pct"/>
            <w:tcBorders>
              <w:top w:val="nil"/>
              <w:left w:val="nil"/>
              <w:bottom w:val="single" w:sz="4" w:space="0" w:color="auto"/>
              <w:right w:val="single" w:sz="4" w:space="0" w:color="auto"/>
            </w:tcBorders>
            <w:shd w:val="clear" w:color="auto" w:fill="auto"/>
            <w:noWrap/>
            <w:vAlign w:val="center"/>
            <w:hideMark/>
          </w:tcPr>
          <w:p w14:paraId="5ED90FB5" w14:textId="77777777" w:rsidR="00D94122" w:rsidRPr="00343B06"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53 429</w:t>
            </w:r>
          </w:p>
        </w:tc>
        <w:tc>
          <w:tcPr>
            <w:tcW w:w="618" w:type="pct"/>
            <w:tcBorders>
              <w:top w:val="nil"/>
              <w:left w:val="nil"/>
              <w:bottom w:val="single" w:sz="4" w:space="0" w:color="auto"/>
              <w:right w:val="single" w:sz="4" w:space="0" w:color="auto"/>
            </w:tcBorders>
            <w:shd w:val="clear" w:color="auto" w:fill="auto"/>
            <w:noWrap/>
            <w:vAlign w:val="center"/>
            <w:hideMark/>
          </w:tcPr>
          <w:p w14:paraId="483C6B78" w14:textId="77777777" w:rsidR="00D94122" w:rsidRPr="00343B06"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100</w:t>
            </w:r>
          </w:p>
        </w:tc>
        <w:tc>
          <w:tcPr>
            <w:tcW w:w="637" w:type="pct"/>
            <w:tcBorders>
              <w:top w:val="nil"/>
              <w:left w:val="nil"/>
              <w:bottom w:val="single" w:sz="4" w:space="0" w:color="auto"/>
              <w:right w:val="single" w:sz="4" w:space="0" w:color="auto"/>
            </w:tcBorders>
            <w:shd w:val="clear" w:color="auto" w:fill="auto"/>
            <w:noWrap/>
            <w:vAlign w:val="center"/>
            <w:hideMark/>
          </w:tcPr>
          <w:p w14:paraId="50F3B6D4" w14:textId="77777777" w:rsidR="00D94122" w:rsidRPr="00343B06" w:rsidRDefault="00D94122" w:rsidP="000F4949">
            <w:pPr>
              <w:spacing w:after="0" w:line="240" w:lineRule="auto"/>
              <w:jc w:val="center"/>
              <w:rPr>
                <w:rFonts w:ascii="Times New Roman" w:eastAsia="Times New Roman" w:hAnsi="Times New Roman" w:cs="Times New Roman"/>
                <w:b/>
                <w:bCs/>
                <w:color w:val="000000"/>
                <w:sz w:val="20"/>
                <w:szCs w:val="20"/>
                <w:lang w:eastAsia="pl-PL"/>
              </w:rPr>
            </w:pPr>
            <w:r w:rsidRPr="00343B06">
              <w:rPr>
                <w:rFonts w:ascii="Times New Roman" w:eastAsia="Times New Roman" w:hAnsi="Times New Roman" w:cs="Times New Roman"/>
                <w:b/>
                <w:bCs/>
                <w:color w:val="000000"/>
                <w:sz w:val="20"/>
                <w:szCs w:val="20"/>
                <w:lang w:eastAsia="pl-PL"/>
              </w:rPr>
              <w:t>39</w:t>
            </w:r>
          </w:p>
        </w:tc>
        <w:tc>
          <w:tcPr>
            <w:tcW w:w="74" w:type="pct"/>
            <w:vAlign w:val="center"/>
            <w:hideMark/>
          </w:tcPr>
          <w:p w14:paraId="30B9D3DC" w14:textId="77777777" w:rsidR="00D94122" w:rsidRPr="00343B06" w:rsidRDefault="00D94122" w:rsidP="000F4949">
            <w:pPr>
              <w:spacing w:after="0" w:line="240" w:lineRule="auto"/>
              <w:rPr>
                <w:rFonts w:ascii="Times New Roman" w:eastAsia="Times New Roman" w:hAnsi="Times New Roman" w:cs="Times New Roman"/>
                <w:sz w:val="20"/>
                <w:szCs w:val="20"/>
                <w:lang w:eastAsia="pl-PL"/>
              </w:rPr>
            </w:pPr>
          </w:p>
        </w:tc>
      </w:tr>
    </w:tbl>
    <w:p w14:paraId="43B14A7B" w14:textId="77777777" w:rsidR="0094673B" w:rsidRDefault="00A17173" w:rsidP="00A17173">
      <w:pPr>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7AE8A883" w14:textId="77777777" w:rsidR="0094673B" w:rsidRDefault="00A17173" w:rsidP="0094673B">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sz w:val="24"/>
          <w:szCs w:val="24"/>
        </w:rPr>
        <w:tab/>
      </w:r>
      <w:r w:rsidRPr="00431356">
        <w:rPr>
          <w:rFonts w:ascii="Times New Roman" w:hAnsi="Times New Roman" w:cs="Times New Roman"/>
          <w:color w:val="000000" w:themeColor="text1"/>
        </w:rPr>
        <w:t>Na przestrzeni ostatnich lat liczba ludności obszaru</w:t>
      </w:r>
      <w:r>
        <w:rPr>
          <w:rFonts w:ascii="Times New Roman" w:hAnsi="Times New Roman" w:cs="Times New Roman"/>
          <w:color w:val="000000" w:themeColor="text1"/>
        </w:rPr>
        <w:t xml:space="preserve"> systematycznie malała</w:t>
      </w:r>
      <w:r w:rsidRPr="00431356">
        <w:rPr>
          <w:rFonts w:ascii="Times New Roman" w:hAnsi="Times New Roman" w:cs="Times New Roman"/>
          <w:color w:val="000000" w:themeColor="text1"/>
        </w:rPr>
        <w:t xml:space="preserve"> (wykres 1).</w:t>
      </w:r>
      <w:r>
        <w:rPr>
          <w:rFonts w:ascii="Times New Roman" w:hAnsi="Times New Roman" w:cs="Times New Roman"/>
          <w:color w:val="000000" w:themeColor="text1"/>
        </w:rPr>
        <w:t xml:space="preserve"> </w:t>
      </w:r>
      <w:bookmarkStart w:id="31" w:name="_Toc115335696"/>
    </w:p>
    <w:p w14:paraId="6C245443" w14:textId="3907CA4C" w:rsidR="00A17173" w:rsidRPr="007B7DAA" w:rsidRDefault="00A17173" w:rsidP="0094673B">
      <w:pPr>
        <w:spacing w:after="0" w:line="276" w:lineRule="auto"/>
        <w:jc w:val="center"/>
        <w:rPr>
          <w:rFonts w:ascii="Times New Roman" w:hAnsi="Times New Roman" w:cs="Times New Roman"/>
          <w:b/>
          <w:bCs/>
          <w:i/>
          <w:iCs/>
          <w:color w:val="000000" w:themeColor="text1"/>
          <w:sz w:val="20"/>
          <w:szCs w:val="20"/>
        </w:rPr>
      </w:pPr>
      <w:bookmarkStart w:id="32" w:name="_Toc135896516"/>
      <w:r w:rsidRPr="007B7DAA">
        <w:rPr>
          <w:rFonts w:ascii="Times New Roman" w:hAnsi="Times New Roman" w:cs="Times New Roman"/>
          <w:b/>
          <w:bCs/>
          <w:color w:val="000000" w:themeColor="text1"/>
          <w:sz w:val="20"/>
          <w:szCs w:val="20"/>
        </w:rPr>
        <w:t xml:space="preserve">Wykres </w:t>
      </w:r>
      <w:r w:rsidRPr="007B7DAA">
        <w:rPr>
          <w:rFonts w:ascii="Times New Roman" w:hAnsi="Times New Roman" w:cs="Times New Roman"/>
          <w:b/>
          <w:bCs/>
          <w:i/>
          <w:iCs/>
          <w:color w:val="000000" w:themeColor="text1"/>
          <w:sz w:val="20"/>
          <w:szCs w:val="20"/>
        </w:rPr>
        <w:fldChar w:fldCharType="begin"/>
      </w:r>
      <w:r w:rsidRPr="007B7DAA">
        <w:rPr>
          <w:rFonts w:ascii="Times New Roman" w:hAnsi="Times New Roman" w:cs="Times New Roman"/>
          <w:b/>
          <w:bCs/>
          <w:color w:val="000000" w:themeColor="text1"/>
          <w:sz w:val="20"/>
          <w:szCs w:val="20"/>
        </w:rPr>
        <w:instrText xml:space="preserve"> SEQ Wykres \* ARABIC </w:instrText>
      </w:r>
      <w:r w:rsidRPr="007B7DAA">
        <w:rPr>
          <w:rFonts w:ascii="Times New Roman" w:hAnsi="Times New Roman" w:cs="Times New Roman"/>
          <w:b/>
          <w:bCs/>
          <w:i/>
          <w:iCs/>
          <w:color w:val="000000" w:themeColor="text1"/>
          <w:sz w:val="20"/>
          <w:szCs w:val="20"/>
        </w:rPr>
        <w:fldChar w:fldCharType="separate"/>
      </w:r>
      <w:r w:rsidR="007359D0">
        <w:rPr>
          <w:rFonts w:ascii="Times New Roman" w:hAnsi="Times New Roman" w:cs="Times New Roman"/>
          <w:b/>
          <w:bCs/>
          <w:noProof/>
          <w:color w:val="000000" w:themeColor="text1"/>
          <w:sz w:val="20"/>
          <w:szCs w:val="20"/>
        </w:rPr>
        <w:t>1</w:t>
      </w:r>
      <w:r w:rsidRPr="007B7DAA">
        <w:rPr>
          <w:rFonts w:ascii="Times New Roman" w:hAnsi="Times New Roman" w:cs="Times New Roman"/>
          <w:b/>
          <w:bCs/>
          <w:i/>
          <w:iCs/>
          <w:color w:val="000000" w:themeColor="text1"/>
          <w:sz w:val="20"/>
          <w:szCs w:val="20"/>
        </w:rPr>
        <w:fldChar w:fldCharType="end"/>
      </w:r>
      <w:r w:rsidRPr="007B7DAA">
        <w:rPr>
          <w:rFonts w:ascii="Times New Roman" w:hAnsi="Times New Roman" w:cs="Times New Roman"/>
          <w:b/>
          <w:bCs/>
          <w:color w:val="000000" w:themeColor="text1"/>
          <w:sz w:val="20"/>
          <w:szCs w:val="20"/>
        </w:rPr>
        <w:t xml:space="preserve"> </w:t>
      </w:r>
      <w:r w:rsidRPr="00C16077">
        <w:rPr>
          <w:rFonts w:ascii="Times New Roman" w:hAnsi="Times New Roman" w:cs="Times New Roman"/>
          <w:b/>
          <w:bCs/>
          <w:color w:val="000000" w:themeColor="text1"/>
          <w:sz w:val="20"/>
          <w:szCs w:val="20"/>
        </w:rPr>
        <w:t xml:space="preserve">Liczba ludności ogółem </w:t>
      </w:r>
      <w:r>
        <w:rPr>
          <w:rFonts w:ascii="Times New Roman" w:hAnsi="Times New Roman" w:cs="Times New Roman"/>
          <w:b/>
          <w:bCs/>
          <w:color w:val="000000" w:themeColor="text1"/>
          <w:sz w:val="20"/>
          <w:szCs w:val="20"/>
        </w:rPr>
        <w:t>na obszarze</w:t>
      </w:r>
      <w:r w:rsidRPr="00C16077">
        <w:rPr>
          <w:rFonts w:ascii="Times New Roman" w:hAnsi="Times New Roman" w:cs="Times New Roman"/>
          <w:b/>
          <w:bCs/>
          <w:color w:val="000000" w:themeColor="text1"/>
          <w:sz w:val="20"/>
          <w:szCs w:val="20"/>
        </w:rPr>
        <w:t xml:space="preserve"> LGD w latach 2016–202</w:t>
      </w:r>
      <w:bookmarkEnd w:id="31"/>
      <w:r>
        <w:rPr>
          <w:rFonts w:ascii="Times New Roman" w:hAnsi="Times New Roman" w:cs="Times New Roman"/>
          <w:b/>
          <w:bCs/>
          <w:color w:val="000000" w:themeColor="text1"/>
          <w:sz w:val="20"/>
          <w:szCs w:val="20"/>
        </w:rPr>
        <w:t>1</w:t>
      </w:r>
      <w:bookmarkEnd w:id="32"/>
    </w:p>
    <w:p w14:paraId="48C18B2C" w14:textId="49F08DA9" w:rsidR="00A17173" w:rsidRDefault="00D94122" w:rsidP="004216CF">
      <w:pPr>
        <w:spacing w:after="0"/>
        <w:jc w:val="center"/>
      </w:pPr>
      <w:r>
        <w:rPr>
          <w:noProof/>
        </w:rPr>
        <w:drawing>
          <wp:inline distT="0" distB="0" distL="0" distR="0" wp14:anchorId="2C777B11" wp14:editId="5F201CD4">
            <wp:extent cx="4800600" cy="2047875"/>
            <wp:effectExtent l="0" t="0" r="0" b="0"/>
            <wp:docPr id="3" name="Wykres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04E223" w14:textId="77777777" w:rsidR="00A17173" w:rsidRDefault="00A17173" w:rsidP="00A17173">
      <w:pPr>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17C45E3D" w14:textId="35FF6973" w:rsidR="000E5A01" w:rsidRDefault="00A17173" w:rsidP="000E5A01">
      <w:pPr>
        <w:spacing w:after="12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Struktura wieku ludności w LGD wskazuje, iż obszar charakteryzuje starzejące się społeczeństwo. N</w:t>
      </w:r>
      <w:r w:rsidRPr="00A52287">
        <w:rPr>
          <w:rFonts w:ascii="Times New Roman" w:hAnsi="Times New Roman" w:cs="Times New Roman"/>
          <w:color w:val="000000" w:themeColor="text1"/>
        </w:rPr>
        <w:t xml:space="preserve">a wykresie </w:t>
      </w:r>
      <w:r>
        <w:rPr>
          <w:rFonts w:ascii="Times New Roman" w:hAnsi="Times New Roman" w:cs="Times New Roman"/>
          <w:color w:val="000000" w:themeColor="text1"/>
        </w:rPr>
        <w:t>2</w:t>
      </w:r>
      <w:r w:rsidRPr="00A52287">
        <w:rPr>
          <w:rFonts w:ascii="Times New Roman" w:hAnsi="Times New Roman" w:cs="Times New Roman"/>
          <w:color w:val="000000" w:themeColor="text1"/>
        </w:rPr>
        <w:t xml:space="preserve"> zobrazowana została struktura ludności według poszczególnych grup wieku – tzw. </w:t>
      </w:r>
      <w:r w:rsidR="00917BC5">
        <w:rPr>
          <w:rFonts w:ascii="Times New Roman" w:hAnsi="Times New Roman" w:cs="Times New Roman"/>
          <w:color w:val="000000" w:themeColor="text1"/>
        </w:rPr>
        <w:t>p</w:t>
      </w:r>
      <w:r w:rsidRPr="00A52287">
        <w:rPr>
          <w:rFonts w:ascii="Times New Roman" w:hAnsi="Times New Roman" w:cs="Times New Roman"/>
          <w:color w:val="000000" w:themeColor="text1"/>
        </w:rPr>
        <w:t xml:space="preserve">iramida płci i wieku dla </w:t>
      </w:r>
      <w:r w:rsidR="00091AE5">
        <w:rPr>
          <w:rFonts w:ascii="Times New Roman" w:hAnsi="Times New Roman" w:cs="Times New Roman"/>
          <w:color w:val="000000" w:themeColor="text1"/>
        </w:rPr>
        <w:t>B</w:t>
      </w:r>
      <w:r w:rsidRPr="00A52287">
        <w:rPr>
          <w:rFonts w:ascii="Times New Roman" w:hAnsi="Times New Roman" w:cs="Times New Roman"/>
          <w:color w:val="000000" w:themeColor="text1"/>
        </w:rPr>
        <w:t xml:space="preserve">LGD </w:t>
      </w:r>
      <w:r w:rsidRPr="00FD66A6">
        <w:rPr>
          <w:rFonts w:ascii="Times New Roman" w:hAnsi="Times New Roman" w:cs="Times New Roman"/>
          <w:color w:val="000000" w:themeColor="text1"/>
        </w:rPr>
        <w:t>w 2021 r.</w:t>
      </w:r>
      <w:r w:rsidR="000E5A01">
        <w:rPr>
          <w:rFonts w:ascii="Times New Roman" w:hAnsi="Times New Roman" w:cs="Times New Roman"/>
          <w:color w:val="000000" w:themeColor="text1"/>
        </w:rPr>
        <w:t xml:space="preserve"> </w:t>
      </w:r>
      <w:r w:rsidR="000E5A01" w:rsidRPr="00B54B9B">
        <w:rPr>
          <w:rFonts w:ascii="Times New Roman" w:hAnsi="Times New Roman" w:cs="Times New Roman"/>
          <w:color w:val="000000" w:themeColor="text1"/>
        </w:rPr>
        <w:t xml:space="preserve">Struktura piramidy </w:t>
      </w:r>
      <w:r w:rsidR="00917BC5">
        <w:rPr>
          <w:rFonts w:ascii="Times New Roman" w:hAnsi="Times New Roman" w:cs="Times New Roman"/>
          <w:color w:val="000000" w:themeColor="text1"/>
        </w:rPr>
        <w:t xml:space="preserve">płci i </w:t>
      </w:r>
      <w:r w:rsidR="000E5A01" w:rsidRPr="00B54B9B">
        <w:rPr>
          <w:rFonts w:ascii="Times New Roman" w:hAnsi="Times New Roman" w:cs="Times New Roman"/>
          <w:color w:val="000000" w:themeColor="text1"/>
        </w:rPr>
        <w:t>wieku wskazuje na przewagę liczebności mężczyzn w wieku przed</w:t>
      </w:r>
      <w:r w:rsidR="000E5A01">
        <w:rPr>
          <w:rFonts w:ascii="Times New Roman" w:hAnsi="Times New Roman" w:cs="Times New Roman"/>
          <w:color w:val="000000" w:themeColor="text1"/>
        </w:rPr>
        <w:t>produkcyjnym</w:t>
      </w:r>
      <w:r w:rsidR="000E5A01" w:rsidRPr="00B54B9B">
        <w:rPr>
          <w:rFonts w:ascii="Times New Roman" w:hAnsi="Times New Roman" w:cs="Times New Roman"/>
          <w:color w:val="000000" w:themeColor="text1"/>
        </w:rPr>
        <w:t xml:space="preserve"> i produkcyjnym oraz znaczne odwrócenie tej tendencji wśród mieszkańców w wieku powyżej 70</w:t>
      </w:r>
      <w:r w:rsidR="000E5A01">
        <w:rPr>
          <w:rFonts w:ascii="Times New Roman" w:hAnsi="Times New Roman" w:cs="Times New Roman"/>
          <w:color w:val="000000" w:themeColor="text1"/>
        </w:rPr>
        <w:t> </w:t>
      </w:r>
      <w:r w:rsidR="000E5A01" w:rsidRPr="00B54B9B">
        <w:rPr>
          <w:rFonts w:ascii="Times New Roman" w:hAnsi="Times New Roman" w:cs="Times New Roman"/>
          <w:color w:val="000000" w:themeColor="text1"/>
        </w:rPr>
        <w:t xml:space="preserve">lat, kiedy to kobiety stanowią wyraźnie dominującą liczebnie płeć. </w:t>
      </w:r>
      <w:r w:rsidR="00C600C2">
        <w:rPr>
          <w:rFonts w:ascii="Times New Roman" w:hAnsi="Times New Roman" w:cs="Times New Roman"/>
          <w:color w:val="000000" w:themeColor="text1"/>
        </w:rPr>
        <w:t>B</w:t>
      </w:r>
      <w:r w:rsidR="000E5A01" w:rsidRPr="00B54B9B">
        <w:rPr>
          <w:rFonts w:ascii="Times New Roman" w:hAnsi="Times New Roman" w:cs="Times New Roman"/>
          <w:color w:val="000000" w:themeColor="text1"/>
        </w:rPr>
        <w:t xml:space="preserve">iorąc pod uwagę zwężanie się piramidy ku jej podstawie, można przewidywać, iż udział ludności w wieku przedprodukcyjnym i produkcyjnym stopniowo </w:t>
      </w:r>
      <w:r w:rsidR="000E5A01" w:rsidRPr="00B54B9B">
        <w:rPr>
          <w:rFonts w:ascii="Times New Roman" w:hAnsi="Times New Roman" w:cs="Times New Roman"/>
          <w:color w:val="000000" w:themeColor="text1"/>
        </w:rPr>
        <w:lastRenderedPageBreak/>
        <w:t>będzie malał. Spodziewać się wi</w:t>
      </w:r>
      <w:r w:rsidR="000E5A01">
        <w:rPr>
          <w:rFonts w:ascii="Times New Roman" w:hAnsi="Times New Roman" w:cs="Times New Roman"/>
          <w:color w:val="000000" w:themeColor="text1"/>
        </w:rPr>
        <w:t>ę</w:t>
      </w:r>
      <w:r w:rsidR="000E5A01" w:rsidRPr="00B54B9B">
        <w:rPr>
          <w:rFonts w:ascii="Times New Roman" w:hAnsi="Times New Roman" w:cs="Times New Roman"/>
          <w:color w:val="000000" w:themeColor="text1"/>
        </w:rPr>
        <w:t>c można w najbliższych latach wzrostu</w:t>
      </w:r>
      <w:r w:rsidR="000E5A01">
        <w:rPr>
          <w:rFonts w:ascii="Times New Roman" w:hAnsi="Times New Roman" w:cs="Times New Roman"/>
          <w:color w:val="000000" w:themeColor="text1"/>
        </w:rPr>
        <w:t xml:space="preserve"> wartości</w:t>
      </w:r>
      <w:r w:rsidR="000E5A01" w:rsidRPr="00B54B9B">
        <w:rPr>
          <w:rFonts w:ascii="Times New Roman" w:hAnsi="Times New Roman" w:cs="Times New Roman"/>
          <w:color w:val="000000" w:themeColor="text1"/>
        </w:rPr>
        <w:t xml:space="preserve"> wskaźników obciążenia demograficznego</w:t>
      </w:r>
      <w:r w:rsidR="00C600C2">
        <w:rPr>
          <w:rFonts w:ascii="Times New Roman" w:hAnsi="Times New Roman" w:cs="Times New Roman"/>
          <w:color w:val="000000" w:themeColor="text1"/>
        </w:rPr>
        <w:t>.</w:t>
      </w:r>
    </w:p>
    <w:p w14:paraId="61E65FFA" w14:textId="40D15584" w:rsidR="00A17173" w:rsidRDefault="00A17173" w:rsidP="00091AE5">
      <w:pPr>
        <w:pStyle w:val="Akapitzlist"/>
        <w:spacing w:after="0" w:line="276" w:lineRule="auto"/>
        <w:ind w:left="0" w:firstLine="709"/>
        <w:jc w:val="center"/>
        <w:rPr>
          <w:rFonts w:ascii="Times New Roman" w:hAnsi="Times New Roman" w:cs="Times New Roman"/>
          <w:b/>
          <w:bCs/>
          <w:i/>
          <w:iCs/>
          <w:color w:val="000000" w:themeColor="text1"/>
          <w:sz w:val="20"/>
          <w:szCs w:val="20"/>
        </w:rPr>
      </w:pPr>
      <w:bookmarkStart w:id="33" w:name="_Toc135896517"/>
      <w:r w:rsidRPr="00785374">
        <w:rPr>
          <w:rFonts w:ascii="Times New Roman" w:hAnsi="Times New Roman" w:cs="Times New Roman"/>
          <w:b/>
          <w:bCs/>
          <w:color w:val="000000" w:themeColor="text1"/>
        </w:rPr>
        <w:t xml:space="preserve">Wykres </w:t>
      </w:r>
      <w:r w:rsidRPr="00785374">
        <w:rPr>
          <w:rFonts w:ascii="Times New Roman" w:hAnsi="Times New Roman" w:cs="Times New Roman"/>
          <w:b/>
          <w:bCs/>
          <w:i/>
          <w:iCs/>
          <w:color w:val="000000" w:themeColor="text1"/>
        </w:rPr>
        <w:fldChar w:fldCharType="begin"/>
      </w:r>
      <w:r w:rsidRPr="00785374">
        <w:rPr>
          <w:rFonts w:ascii="Times New Roman" w:hAnsi="Times New Roman" w:cs="Times New Roman"/>
          <w:b/>
          <w:bCs/>
          <w:color w:val="000000" w:themeColor="text1"/>
        </w:rPr>
        <w:instrText xml:space="preserve"> SEQ Wykres \* ARABIC </w:instrText>
      </w:r>
      <w:r w:rsidRPr="00785374">
        <w:rPr>
          <w:rFonts w:ascii="Times New Roman" w:hAnsi="Times New Roman" w:cs="Times New Roman"/>
          <w:b/>
          <w:bCs/>
          <w:i/>
          <w:iCs/>
          <w:color w:val="000000" w:themeColor="text1"/>
        </w:rPr>
        <w:fldChar w:fldCharType="separate"/>
      </w:r>
      <w:r w:rsidR="007359D0">
        <w:rPr>
          <w:rFonts w:ascii="Times New Roman" w:hAnsi="Times New Roman" w:cs="Times New Roman"/>
          <w:b/>
          <w:bCs/>
          <w:noProof/>
          <w:color w:val="000000" w:themeColor="text1"/>
        </w:rPr>
        <w:t>2</w:t>
      </w:r>
      <w:r w:rsidRPr="00785374">
        <w:rPr>
          <w:rFonts w:ascii="Times New Roman" w:hAnsi="Times New Roman" w:cs="Times New Roman"/>
          <w:b/>
          <w:bCs/>
          <w:i/>
          <w:iCs/>
          <w:color w:val="000000" w:themeColor="text1"/>
        </w:rPr>
        <w:fldChar w:fldCharType="end"/>
      </w:r>
      <w:r w:rsidRPr="00785374">
        <w:rPr>
          <w:rFonts w:ascii="Times New Roman" w:hAnsi="Times New Roman" w:cs="Times New Roman"/>
          <w:b/>
          <w:bCs/>
          <w:color w:val="000000" w:themeColor="text1"/>
        </w:rPr>
        <w:t xml:space="preserve"> </w:t>
      </w:r>
      <w:r w:rsidRPr="00785374">
        <w:rPr>
          <w:rFonts w:ascii="Times New Roman" w:hAnsi="Times New Roman" w:cs="Times New Roman"/>
          <w:b/>
          <w:bCs/>
          <w:color w:val="000000" w:themeColor="text1"/>
          <w:sz w:val="20"/>
          <w:szCs w:val="20"/>
        </w:rPr>
        <w:t xml:space="preserve">Piramida </w:t>
      </w:r>
      <w:r w:rsidRPr="00A52287">
        <w:rPr>
          <w:rFonts w:ascii="Times New Roman" w:hAnsi="Times New Roman" w:cs="Times New Roman"/>
          <w:b/>
          <w:bCs/>
          <w:color w:val="000000" w:themeColor="text1"/>
          <w:sz w:val="20"/>
          <w:szCs w:val="20"/>
        </w:rPr>
        <w:t>płci i wieku dla obszaru LGD w 2021 r.</w:t>
      </w:r>
      <w:bookmarkEnd w:id="33"/>
    </w:p>
    <w:p w14:paraId="5DFCEBA3" w14:textId="1D9656C1" w:rsidR="00A17173" w:rsidRPr="0058467B" w:rsidRDefault="00091AE5" w:rsidP="00A17173">
      <w:pPr>
        <w:spacing w:after="0"/>
        <w:jc w:val="center"/>
      </w:pPr>
      <w:r>
        <w:rPr>
          <w:noProof/>
        </w:rPr>
        <w:drawing>
          <wp:inline distT="0" distB="0" distL="0" distR="0" wp14:anchorId="2B8AE71B" wp14:editId="6491A07B">
            <wp:extent cx="5372100" cy="3024570"/>
            <wp:effectExtent l="0" t="0" r="0" b="4445"/>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6072" cy="3026806"/>
                    </a:xfrm>
                    <a:prstGeom prst="rect">
                      <a:avLst/>
                    </a:prstGeom>
                    <a:noFill/>
                  </pic:spPr>
                </pic:pic>
              </a:graphicData>
            </a:graphic>
          </wp:inline>
        </w:drawing>
      </w:r>
    </w:p>
    <w:p w14:paraId="4AE8A2AF" w14:textId="77777777" w:rsidR="00A17173" w:rsidRDefault="00A17173" w:rsidP="00A17173">
      <w:pPr>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w:t>
      </w:r>
      <w:r w:rsidRPr="001F75C9">
        <w:rPr>
          <w:rFonts w:ascii="Times New Roman" w:hAnsi="Times New Roman" w:cs="Times New Roman"/>
          <w:i/>
          <w:iCs/>
          <w:sz w:val="20"/>
          <w:szCs w:val="20"/>
        </w:rPr>
        <w:t>pracowanie własne</w:t>
      </w:r>
      <w:r>
        <w:rPr>
          <w:rFonts w:ascii="Times New Roman" w:hAnsi="Times New Roman" w:cs="Times New Roman"/>
          <w:i/>
          <w:iCs/>
          <w:sz w:val="20"/>
          <w:szCs w:val="20"/>
        </w:rPr>
        <w:t xml:space="preserve"> na podstawie danych GUS</w:t>
      </w:r>
    </w:p>
    <w:p w14:paraId="3128A6CA" w14:textId="77777777" w:rsidR="00A17173" w:rsidRPr="009C36D6" w:rsidRDefault="00A17173" w:rsidP="00A17173">
      <w:pPr>
        <w:pStyle w:val="Akapitzlist"/>
        <w:spacing w:line="276" w:lineRule="auto"/>
        <w:ind w:left="0" w:firstLine="709"/>
        <w:jc w:val="both"/>
        <w:rPr>
          <w:rFonts w:ascii="Times New Roman" w:hAnsi="Times New Roman" w:cs="Times New Roman"/>
          <w:b/>
          <w:bCs/>
          <w:color w:val="000000" w:themeColor="text1"/>
        </w:rPr>
      </w:pPr>
      <w:r w:rsidRPr="009C36D6">
        <w:rPr>
          <w:rFonts w:ascii="Times New Roman" w:hAnsi="Times New Roman" w:cs="Times New Roman"/>
          <w:b/>
          <w:bCs/>
          <w:color w:val="000000" w:themeColor="text1"/>
        </w:rPr>
        <w:t xml:space="preserve">Przy obliczeniu wskaźnika </w:t>
      </w:r>
      <w:r w:rsidRPr="009C36D6">
        <w:rPr>
          <w:rFonts w:ascii="Times New Roman" w:hAnsi="Times New Roman" w:cs="Times New Roman"/>
          <w:b/>
          <w:bCs/>
          <w:i/>
          <w:iCs/>
          <w:color w:val="000000" w:themeColor="text1"/>
        </w:rPr>
        <w:t xml:space="preserve">ludność w wieku nieprodukcyjnym na obszarze LSR </w:t>
      </w:r>
      <w:r w:rsidRPr="00D03CAB">
        <w:rPr>
          <w:rFonts w:ascii="Times New Roman" w:hAnsi="Times New Roman" w:cs="Times New Roman"/>
          <w:b/>
          <w:bCs/>
          <w:color w:val="000000" w:themeColor="text1"/>
        </w:rPr>
        <w:t>za</w:t>
      </w:r>
      <w:r w:rsidRPr="009C36D6">
        <w:rPr>
          <w:rFonts w:ascii="Times New Roman" w:hAnsi="Times New Roman" w:cs="Times New Roman"/>
          <w:b/>
          <w:bCs/>
          <w:i/>
          <w:iCs/>
          <w:color w:val="000000" w:themeColor="text1"/>
        </w:rPr>
        <w:t xml:space="preserve"> </w:t>
      </w:r>
      <w:r w:rsidRPr="009C36D6">
        <w:rPr>
          <w:rFonts w:ascii="Times New Roman" w:hAnsi="Times New Roman" w:cs="Times New Roman"/>
          <w:b/>
          <w:bCs/>
          <w:color w:val="000000" w:themeColor="text1"/>
        </w:rPr>
        <w:t xml:space="preserve">2020 r. ze wzoru: </w:t>
      </w:r>
    </w:p>
    <w:p w14:paraId="7F9350BF" w14:textId="41156FD8" w:rsidR="00A17173" w:rsidRPr="00875755" w:rsidRDefault="00A17173" w:rsidP="00A17173">
      <w:pPr>
        <w:pStyle w:val="Tekstkomentarza"/>
        <w:jc w:val="center"/>
        <w:rPr>
          <w:rFonts w:cs="Times New Roman"/>
          <w:b/>
          <w:bCs/>
          <w:color w:val="000000" w:themeColor="text1"/>
          <w:sz w:val="22"/>
          <w:szCs w:val="22"/>
        </w:rPr>
      </w:pPr>
      <m:oMath>
        <m:r>
          <m:rPr>
            <m:sty m:val="b"/>
          </m:rPr>
          <w:rPr>
            <w:rFonts w:ascii="Cambria Math" w:hAnsi="Cambria Math" w:cs="Arial"/>
          </w:rPr>
          <m:t>30 x (1-</m:t>
        </m:r>
        <m:f>
          <m:fPr>
            <m:ctrlPr>
              <w:rPr>
                <w:rFonts w:ascii="Cambria Math" w:hAnsi="Cambria Math" w:cs="Arial"/>
                <w:b/>
                <w:bCs/>
              </w:rPr>
            </m:ctrlPr>
          </m:fPr>
          <m:num>
            <m:r>
              <m:rPr>
                <m:sty m:val="b"/>
              </m:rPr>
              <w:rPr>
                <w:rFonts w:ascii="Cambria Math" w:hAnsi="Cambria Math" w:cs="Arial"/>
              </w:rPr>
              <m:t>0,35 x liczba mieszkańców</m:t>
            </m:r>
          </m:num>
          <m:den>
            <m:r>
              <m:rPr>
                <m:sty m:val="bi"/>
              </m:rPr>
              <w:rPr>
                <w:rFonts w:ascii="Cambria Math" w:hAnsi="Cambria Math" w:cs="Arial"/>
              </w:rPr>
              <m:t>liczba osób w wieku nieprodukcyjnym</m:t>
            </m:r>
          </m:den>
        </m:f>
        <m:r>
          <m:rPr>
            <m:sty m:val="bi"/>
          </m:rPr>
          <w:rPr>
            <w:rFonts w:ascii="Cambria Math" w:hAnsi="Cambria Math" w:cs="Arial"/>
          </w:rPr>
          <m:t>)</m:t>
        </m:r>
      </m:oMath>
      <w:r w:rsidRPr="00875755">
        <w:rPr>
          <w:rFonts w:ascii="Arial" w:eastAsiaTheme="minorEastAsia" w:hAnsi="Arial" w:cs="Arial"/>
          <w:b/>
          <w:bCs/>
        </w:rPr>
        <w:t xml:space="preserve"> </w:t>
      </w:r>
      <w:r w:rsidRPr="00875755">
        <w:rPr>
          <w:rFonts w:cs="Times New Roman"/>
          <w:b/>
          <w:bCs/>
          <w:color w:val="000000" w:themeColor="text1"/>
          <w:sz w:val="22"/>
          <w:szCs w:val="22"/>
        </w:rPr>
        <w:t xml:space="preserve">obszar LGD osiąga wartość </w:t>
      </w:r>
      <w:r w:rsidR="00091AE5">
        <w:rPr>
          <w:rFonts w:cs="Times New Roman"/>
          <w:b/>
          <w:bCs/>
          <w:color w:val="000000" w:themeColor="text1"/>
          <w:sz w:val="22"/>
          <w:szCs w:val="22"/>
        </w:rPr>
        <w:t>4,26</w:t>
      </w:r>
    </w:p>
    <w:p w14:paraId="423A3553" w14:textId="3A020847" w:rsidR="00A17173" w:rsidRDefault="00C600C2" w:rsidP="00C600C2">
      <w:pPr>
        <w:spacing w:after="0" w:line="276" w:lineRule="auto"/>
        <w:ind w:firstLine="708"/>
        <w:jc w:val="both"/>
        <w:rPr>
          <w:rFonts w:ascii="Times New Roman" w:hAnsi="Times New Roman" w:cs="Times New Roman"/>
          <w:color w:val="000000" w:themeColor="text1"/>
        </w:rPr>
      </w:pPr>
      <w:bookmarkStart w:id="34" w:name="_Toc115335699"/>
      <w:bookmarkStart w:id="35" w:name="_Toc115335697"/>
      <w:r>
        <w:rPr>
          <w:rFonts w:ascii="Times New Roman" w:hAnsi="Times New Roman" w:cs="Times New Roman"/>
          <w:color w:val="000000" w:themeColor="text1"/>
        </w:rPr>
        <w:t xml:space="preserve">Na wykresie 3 został przedstawiony wskaźnik </w:t>
      </w:r>
      <w:r w:rsidRPr="00C600C2">
        <w:rPr>
          <w:rFonts w:ascii="Times New Roman" w:hAnsi="Times New Roman" w:cs="Times New Roman"/>
          <w:i/>
          <w:iCs/>
          <w:color w:val="000000" w:themeColor="text1"/>
        </w:rPr>
        <w:t>udział ludności wg ekonomicznych grup wieku w % ludności ogółem</w:t>
      </w:r>
      <w:r w:rsidR="00917BC5">
        <w:rPr>
          <w:rFonts w:ascii="Times New Roman" w:hAnsi="Times New Roman" w:cs="Times New Roman"/>
          <w:b/>
          <w:bCs/>
          <w:color w:val="000000" w:themeColor="text1"/>
          <w:sz w:val="20"/>
          <w:szCs w:val="20"/>
        </w:rPr>
        <w:t xml:space="preserve"> –</w:t>
      </w:r>
      <w:r w:rsidR="008C3E47">
        <w:rPr>
          <w:rFonts w:ascii="Times New Roman" w:hAnsi="Times New Roman" w:cs="Times New Roman"/>
          <w:b/>
          <w:bCs/>
          <w:color w:val="000000" w:themeColor="text1"/>
          <w:sz w:val="20"/>
          <w:szCs w:val="20"/>
        </w:rPr>
        <w:t xml:space="preserve"> </w:t>
      </w:r>
      <w:r w:rsidR="008C3E47" w:rsidRPr="008C3E47">
        <w:rPr>
          <w:rFonts w:ascii="Times New Roman" w:hAnsi="Times New Roman" w:cs="Times New Roman"/>
          <w:color w:val="000000" w:themeColor="text1"/>
        </w:rPr>
        <w:t xml:space="preserve">udział </w:t>
      </w:r>
      <w:r w:rsidR="000D1B1B" w:rsidRPr="00CA0F56">
        <w:rPr>
          <w:rFonts w:ascii="Times New Roman" w:hAnsi="Times New Roman" w:cs="Times New Roman"/>
          <w:color w:val="000000" w:themeColor="text1"/>
        </w:rPr>
        <w:t xml:space="preserve">osób w wieku poprodukcyjnym na terenie LGD </w:t>
      </w:r>
      <w:r w:rsidR="000D1B1B">
        <w:rPr>
          <w:rFonts w:ascii="Times New Roman" w:hAnsi="Times New Roman" w:cs="Times New Roman"/>
          <w:color w:val="000000" w:themeColor="text1"/>
        </w:rPr>
        <w:t>w 2021 r. (2</w:t>
      </w:r>
      <w:r>
        <w:rPr>
          <w:rFonts w:ascii="Times New Roman" w:hAnsi="Times New Roman" w:cs="Times New Roman"/>
          <w:color w:val="000000" w:themeColor="text1"/>
        </w:rPr>
        <w:t>1</w:t>
      </w:r>
      <w:r w:rsidR="000D1B1B">
        <w:rPr>
          <w:rFonts w:ascii="Times New Roman" w:hAnsi="Times New Roman" w:cs="Times New Roman"/>
          <w:color w:val="000000" w:themeColor="text1"/>
        </w:rPr>
        <w:t>,</w:t>
      </w:r>
      <w:r>
        <w:rPr>
          <w:rFonts w:ascii="Times New Roman" w:hAnsi="Times New Roman" w:cs="Times New Roman"/>
          <w:color w:val="000000" w:themeColor="text1"/>
        </w:rPr>
        <w:t>3</w:t>
      </w:r>
      <w:r w:rsidR="000D1B1B">
        <w:rPr>
          <w:rFonts w:ascii="Times New Roman" w:hAnsi="Times New Roman" w:cs="Times New Roman"/>
          <w:color w:val="000000" w:themeColor="text1"/>
        </w:rPr>
        <w:t xml:space="preserve">%) </w:t>
      </w:r>
      <w:r>
        <w:rPr>
          <w:rFonts w:ascii="Times New Roman" w:hAnsi="Times New Roman" w:cs="Times New Roman"/>
          <w:color w:val="000000" w:themeColor="text1"/>
        </w:rPr>
        <w:t>i był niższy</w:t>
      </w:r>
      <w:r w:rsidR="000D1B1B" w:rsidRPr="00CA0F56">
        <w:rPr>
          <w:rFonts w:ascii="Times New Roman" w:hAnsi="Times New Roman" w:cs="Times New Roman"/>
          <w:color w:val="000000" w:themeColor="text1"/>
        </w:rPr>
        <w:t xml:space="preserve"> od średniej w</w:t>
      </w:r>
      <w:r w:rsidR="000D1B1B">
        <w:rPr>
          <w:rFonts w:ascii="Times New Roman" w:hAnsi="Times New Roman" w:cs="Times New Roman"/>
          <w:color w:val="000000" w:themeColor="text1"/>
        </w:rPr>
        <w:t> </w:t>
      </w:r>
      <w:r w:rsidR="000D1B1B" w:rsidRPr="00CA0F56">
        <w:rPr>
          <w:rFonts w:ascii="Times New Roman" w:hAnsi="Times New Roman" w:cs="Times New Roman"/>
          <w:color w:val="000000" w:themeColor="text1"/>
        </w:rPr>
        <w:t xml:space="preserve">województwie </w:t>
      </w:r>
      <w:r>
        <w:rPr>
          <w:rFonts w:ascii="Times New Roman" w:hAnsi="Times New Roman" w:cs="Times New Roman"/>
          <w:color w:val="000000" w:themeColor="text1"/>
        </w:rPr>
        <w:t>lubelskim</w:t>
      </w:r>
      <w:r w:rsidR="000D1B1B">
        <w:rPr>
          <w:rFonts w:ascii="Times New Roman" w:hAnsi="Times New Roman" w:cs="Times New Roman"/>
          <w:color w:val="000000" w:themeColor="text1"/>
        </w:rPr>
        <w:t xml:space="preserve"> (</w:t>
      </w:r>
      <w:r>
        <w:rPr>
          <w:rFonts w:ascii="Times New Roman" w:hAnsi="Times New Roman" w:cs="Times New Roman"/>
          <w:color w:val="000000" w:themeColor="text1"/>
        </w:rPr>
        <w:t>23,4</w:t>
      </w:r>
      <w:r w:rsidR="000D1B1B">
        <w:rPr>
          <w:rFonts w:ascii="Times New Roman" w:hAnsi="Times New Roman" w:cs="Times New Roman"/>
          <w:color w:val="000000" w:themeColor="text1"/>
        </w:rPr>
        <w:t>%)</w:t>
      </w:r>
      <w:r w:rsidR="000D1B1B" w:rsidRPr="00CA0F56">
        <w:rPr>
          <w:rFonts w:ascii="Times New Roman" w:hAnsi="Times New Roman" w:cs="Times New Roman"/>
          <w:color w:val="000000" w:themeColor="text1"/>
        </w:rPr>
        <w:t xml:space="preserve"> i </w:t>
      </w:r>
      <w:r>
        <w:rPr>
          <w:rFonts w:ascii="Times New Roman" w:hAnsi="Times New Roman" w:cs="Times New Roman"/>
          <w:color w:val="000000" w:themeColor="text1"/>
        </w:rPr>
        <w:t>od</w:t>
      </w:r>
      <w:r w:rsidR="000D1B1B">
        <w:rPr>
          <w:rFonts w:ascii="Times New Roman" w:hAnsi="Times New Roman" w:cs="Times New Roman"/>
          <w:color w:val="000000" w:themeColor="text1"/>
        </w:rPr>
        <w:t xml:space="preserve"> średniej w </w:t>
      </w:r>
      <w:r w:rsidR="000D1B1B" w:rsidRPr="00CA0F56">
        <w:rPr>
          <w:rFonts w:ascii="Times New Roman" w:hAnsi="Times New Roman" w:cs="Times New Roman"/>
          <w:color w:val="000000" w:themeColor="text1"/>
        </w:rPr>
        <w:t>Polsce (</w:t>
      </w:r>
      <w:r w:rsidR="000D1B1B">
        <w:rPr>
          <w:rFonts w:ascii="Times New Roman" w:hAnsi="Times New Roman" w:cs="Times New Roman"/>
          <w:color w:val="000000" w:themeColor="text1"/>
        </w:rPr>
        <w:t>22,</w:t>
      </w:r>
      <w:r>
        <w:rPr>
          <w:rFonts w:ascii="Times New Roman" w:hAnsi="Times New Roman" w:cs="Times New Roman"/>
          <w:color w:val="000000" w:themeColor="text1"/>
        </w:rPr>
        <w:t>6</w:t>
      </w:r>
      <w:r w:rsidR="000D1B1B">
        <w:rPr>
          <w:rFonts w:ascii="Times New Roman" w:hAnsi="Times New Roman" w:cs="Times New Roman"/>
          <w:color w:val="000000" w:themeColor="text1"/>
        </w:rPr>
        <w:t>%</w:t>
      </w:r>
      <w:r w:rsidR="000D1B1B" w:rsidRPr="00CA0F56">
        <w:rPr>
          <w:rFonts w:ascii="Times New Roman" w:hAnsi="Times New Roman" w:cs="Times New Roman"/>
          <w:color w:val="000000" w:themeColor="text1"/>
        </w:rPr>
        <w:t>)</w:t>
      </w:r>
      <w:r>
        <w:rPr>
          <w:rFonts w:ascii="Times New Roman" w:hAnsi="Times New Roman" w:cs="Times New Roman"/>
          <w:color w:val="000000" w:themeColor="text1"/>
        </w:rPr>
        <w:t>.</w:t>
      </w:r>
      <w:r w:rsidR="000D1B1B" w:rsidRPr="00CA0F5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Również tempo wzrostu w przypadku obszaru LGD jest niższe zarówno od średniej dla województwa lubelskiego jak i Polski – wartość tego wskaźnika w 2021 r. w stosunku do 2016 r. to wzrost na obszarze LGD o 2,2 punkty procentowe (pp.), podczas gdy średnio </w:t>
      </w:r>
      <w:r w:rsidR="00874D5A">
        <w:rPr>
          <w:rFonts w:ascii="Times New Roman" w:hAnsi="Times New Roman" w:cs="Times New Roman"/>
          <w:color w:val="000000" w:themeColor="text1"/>
        </w:rPr>
        <w:br/>
      </w:r>
      <w:r>
        <w:rPr>
          <w:rFonts w:ascii="Times New Roman" w:hAnsi="Times New Roman" w:cs="Times New Roman"/>
          <w:color w:val="000000" w:themeColor="text1"/>
        </w:rPr>
        <w:t xml:space="preserve">w województwie o 2,8 pp., a w kraju o 2,4 pp. (dane GUS). </w:t>
      </w:r>
      <w:r w:rsidR="00825C88">
        <w:rPr>
          <w:rFonts w:ascii="Times New Roman" w:hAnsi="Times New Roman" w:cs="Times New Roman"/>
          <w:color w:val="000000" w:themeColor="text1"/>
        </w:rPr>
        <w:t>Natomiast</w:t>
      </w:r>
      <w:r w:rsidR="000D1B1B">
        <w:rPr>
          <w:rFonts w:ascii="Times New Roman" w:hAnsi="Times New Roman" w:cs="Times New Roman"/>
          <w:color w:val="000000" w:themeColor="text1"/>
        </w:rPr>
        <w:t xml:space="preserve"> wskaźniki obciążenia demograficznego są </w:t>
      </w:r>
      <w:r w:rsidR="00825C88">
        <w:rPr>
          <w:rFonts w:ascii="Times New Roman" w:hAnsi="Times New Roman" w:cs="Times New Roman"/>
          <w:color w:val="000000" w:themeColor="text1"/>
        </w:rPr>
        <w:t xml:space="preserve">na podobnym poziomie co </w:t>
      </w:r>
      <w:r w:rsidR="000D1B1B">
        <w:rPr>
          <w:rFonts w:ascii="Times New Roman" w:hAnsi="Times New Roman" w:cs="Times New Roman"/>
          <w:color w:val="000000" w:themeColor="text1"/>
        </w:rPr>
        <w:t xml:space="preserve">średnia dla województwa i kraju. Udział ludności w wieku nieprodukcyjnym w ludności ogółem w 2021 r. </w:t>
      </w:r>
      <w:r w:rsidR="00917BC5">
        <w:rPr>
          <w:rFonts w:ascii="Times New Roman" w:hAnsi="Times New Roman" w:cs="Times New Roman"/>
          <w:color w:val="000000" w:themeColor="text1"/>
        </w:rPr>
        <w:t>na obszarze</w:t>
      </w:r>
      <w:r w:rsidR="000D1B1B">
        <w:rPr>
          <w:rFonts w:ascii="Times New Roman" w:hAnsi="Times New Roman" w:cs="Times New Roman"/>
          <w:color w:val="000000" w:themeColor="text1"/>
        </w:rPr>
        <w:t xml:space="preserve"> LGD wynosił średnio 40,</w:t>
      </w:r>
      <w:r w:rsidR="008C3E47">
        <w:rPr>
          <w:rFonts w:ascii="Times New Roman" w:hAnsi="Times New Roman" w:cs="Times New Roman"/>
          <w:color w:val="000000" w:themeColor="text1"/>
        </w:rPr>
        <w:t>9</w:t>
      </w:r>
      <w:r w:rsidR="000D1B1B">
        <w:rPr>
          <w:rFonts w:ascii="Times New Roman" w:hAnsi="Times New Roman" w:cs="Times New Roman"/>
          <w:color w:val="000000" w:themeColor="text1"/>
        </w:rPr>
        <w:t xml:space="preserve">%, podczas gdy w województwie </w:t>
      </w:r>
      <w:r w:rsidR="008C3E47">
        <w:rPr>
          <w:rFonts w:ascii="Times New Roman" w:hAnsi="Times New Roman" w:cs="Times New Roman"/>
          <w:color w:val="000000" w:themeColor="text1"/>
        </w:rPr>
        <w:t>lubelskim</w:t>
      </w:r>
      <w:r w:rsidR="000D1B1B">
        <w:rPr>
          <w:rFonts w:ascii="Times New Roman" w:hAnsi="Times New Roman" w:cs="Times New Roman"/>
          <w:color w:val="000000" w:themeColor="text1"/>
        </w:rPr>
        <w:t xml:space="preserve"> 4</w:t>
      </w:r>
      <w:r w:rsidR="008C3E47">
        <w:rPr>
          <w:rFonts w:ascii="Times New Roman" w:hAnsi="Times New Roman" w:cs="Times New Roman"/>
          <w:color w:val="000000" w:themeColor="text1"/>
        </w:rPr>
        <w:t>1</w:t>
      </w:r>
      <w:r w:rsidR="000D1B1B">
        <w:rPr>
          <w:rFonts w:ascii="Times New Roman" w:hAnsi="Times New Roman" w:cs="Times New Roman"/>
          <w:color w:val="000000" w:themeColor="text1"/>
        </w:rPr>
        <w:t>,</w:t>
      </w:r>
      <w:r w:rsidR="008C3E47">
        <w:rPr>
          <w:rFonts w:ascii="Times New Roman" w:hAnsi="Times New Roman" w:cs="Times New Roman"/>
          <w:color w:val="000000" w:themeColor="text1"/>
        </w:rPr>
        <w:t>5</w:t>
      </w:r>
      <w:r w:rsidR="000D1B1B">
        <w:rPr>
          <w:rFonts w:ascii="Times New Roman" w:hAnsi="Times New Roman" w:cs="Times New Roman"/>
          <w:color w:val="000000" w:themeColor="text1"/>
        </w:rPr>
        <w:t>%</w:t>
      </w:r>
      <w:r w:rsidR="00917BC5">
        <w:rPr>
          <w:rFonts w:ascii="Times New Roman" w:hAnsi="Times New Roman" w:cs="Times New Roman"/>
          <w:color w:val="000000" w:themeColor="text1"/>
        </w:rPr>
        <w:t>,</w:t>
      </w:r>
      <w:r w:rsidR="000D1B1B">
        <w:rPr>
          <w:rFonts w:ascii="Times New Roman" w:hAnsi="Times New Roman" w:cs="Times New Roman"/>
          <w:color w:val="000000" w:themeColor="text1"/>
        </w:rPr>
        <w:t xml:space="preserve"> </w:t>
      </w:r>
      <w:r w:rsidR="00917BC5">
        <w:rPr>
          <w:rFonts w:ascii="Times New Roman" w:hAnsi="Times New Roman" w:cs="Times New Roman"/>
          <w:color w:val="000000" w:themeColor="text1"/>
        </w:rPr>
        <w:br/>
      </w:r>
      <w:r w:rsidR="000D1B1B">
        <w:rPr>
          <w:rFonts w:ascii="Times New Roman" w:hAnsi="Times New Roman" w:cs="Times New Roman"/>
          <w:color w:val="000000" w:themeColor="text1"/>
        </w:rPr>
        <w:t>a w Polsce 40,</w:t>
      </w:r>
      <w:r w:rsidR="008C3E47">
        <w:rPr>
          <w:rFonts w:ascii="Times New Roman" w:hAnsi="Times New Roman" w:cs="Times New Roman"/>
          <w:color w:val="000000" w:themeColor="text1"/>
        </w:rPr>
        <w:t>8</w:t>
      </w:r>
      <w:r w:rsidR="000D1B1B">
        <w:rPr>
          <w:rFonts w:ascii="Times New Roman" w:hAnsi="Times New Roman" w:cs="Times New Roman"/>
          <w:color w:val="000000" w:themeColor="text1"/>
        </w:rPr>
        <w:t>%. W roku 2020 wartości te kształtowały się odpowiednio: 40,</w:t>
      </w:r>
      <w:r w:rsidR="008C3E47">
        <w:rPr>
          <w:rFonts w:ascii="Times New Roman" w:hAnsi="Times New Roman" w:cs="Times New Roman"/>
          <w:color w:val="000000" w:themeColor="text1"/>
        </w:rPr>
        <w:t>8</w:t>
      </w:r>
      <w:r w:rsidR="000D1B1B">
        <w:rPr>
          <w:rFonts w:ascii="Times New Roman" w:hAnsi="Times New Roman" w:cs="Times New Roman"/>
          <w:color w:val="000000" w:themeColor="text1"/>
        </w:rPr>
        <w:t>% / 41,</w:t>
      </w:r>
      <w:r w:rsidR="008C3E47">
        <w:rPr>
          <w:rFonts w:ascii="Times New Roman" w:hAnsi="Times New Roman" w:cs="Times New Roman"/>
          <w:color w:val="000000" w:themeColor="text1"/>
        </w:rPr>
        <w:t>2</w:t>
      </w:r>
      <w:r w:rsidR="000D1B1B">
        <w:rPr>
          <w:rFonts w:ascii="Times New Roman" w:hAnsi="Times New Roman" w:cs="Times New Roman"/>
          <w:color w:val="000000" w:themeColor="text1"/>
        </w:rPr>
        <w:t>%</w:t>
      </w:r>
      <w:r w:rsidR="00917BC5">
        <w:rPr>
          <w:rFonts w:ascii="Times New Roman" w:hAnsi="Times New Roman" w:cs="Times New Roman"/>
          <w:color w:val="000000" w:themeColor="text1"/>
        </w:rPr>
        <w:t xml:space="preserve"> </w:t>
      </w:r>
      <w:r w:rsidR="000D1B1B">
        <w:rPr>
          <w:rFonts w:ascii="Times New Roman" w:hAnsi="Times New Roman" w:cs="Times New Roman"/>
          <w:color w:val="000000" w:themeColor="text1"/>
        </w:rPr>
        <w:t>/</w:t>
      </w:r>
      <w:r w:rsidR="00917BC5">
        <w:rPr>
          <w:rFonts w:ascii="Times New Roman" w:hAnsi="Times New Roman" w:cs="Times New Roman"/>
          <w:color w:val="000000" w:themeColor="text1"/>
        </w:rPr>
        <w:t xml:space="preserve"> </w:t>
      </w:r>
      <w:r w:rsidR="000D1B1B">
        <w:rPr>
          <w:rFonts w:ascii="Times New Roman" w:hAnsi="Times New Roman" w:cs="Times New Roman"/>
          <w:color w:val="000000" w:themeColor="text1"/>
        </w:rPr>
        <w:t>40,</w:t>
      </w:r>
      <w:r w:rsidR="008C3E47">
        <w:rPr>
          <w:rFonts w:ascii="Times New Roman" w:hAnsi="Times New Roman" w:cs="Times New Roman"/>
          <w:color w:val="000000" w:themeColor="text1"/>
        </w:rPr>
        <w:t>5</w:t>
      </w:r>
      <w:r w:rsidR="000D1B1B">
        <w:rPr>
          <w:rFonts w:ascii="Times New Roman" w:hAnsi="Times New Roman" w:cs="Times New Roman"/>
          <w:color w:val="000000" w:themeColor="text1"/>
        </w:rPr>
        <w:t xml:space="preserve">% (dane GUS). </w:t>
      </w:r>
    </w:p>
    <w:p w14:paraId="4E1C9867" w14:textId="333B2C26" w:rsidR="00A17173" w:rsidRPr="00A2789C" w:rsidRDefault="00A17173" w:rsidP="00B823CA">
      <w:pPr>
        <w:spacing w:after="0" w:line="276" w:lineRule="auto"/>
        <w:ind w:firstLine="709"/>
        <w:jc w:val="center"/>
        <w:rPr>
          <w:rFonts w:ascii="Times New Roman" w:hAnsi="Times New Roman" w:cs="Times New Roman"/>
          <w:b/>
          <w:bCs/>
          <w:i/>
          <w:iCs/>
          <w:color w:val="000000" w:themeColor="text1"/>
          <w:sz w:val="20"/>
          <w:szCs w:val="20"/>
        </w:rPr>
      </w:pPr>
      <w:bookmarkStart w:id="36" w:name="_Toc135896518"/>
      <w:r w:rsidRPr="006C00C9">
        <w:rPr>
          <w:rFonts w:ascii="Times New Roman" w:hAnsi="Times New Roman" w:cs="Times New Roman"/>
          <w:b/>
          <w:bCs/>
          <w:color w:val="000000" w:themeColor="text1"/>
          <w:sz w:val="20"/>
          <w:szCs w:val="20"/>
        </w:rPr>
        <w:t xml:space="preserve">Wykres </w:t>
      </w:r>
      <w:r w:rsidRPr="006C00C9">
        <w:rPr>
          <w:rFonts w:ascii="Times New Roman" w:hAnsi="Times New Roman" w:cs="Times New Roman"/>
          <w:b/>
          <w:bCs/>
          <w:i/>
          <w:iCs/>
          <w:color w:val="000000" w:themeColor="text1"/>
          <w:sz w:val="20"/>
          <w:szCs w:val="20"/>
        </w:rPr>
        <w:fldChar w:fldCharType="begin"/>
      </w:r>
      <w:r w:rsidRPr="006C00C9">
        <w:rPr>
          <w:rFonts w:ascii="Times New Roman" w:hAnsi="Times New Roman" w:cs="Times New Roman"/>
          <w:b/>
          <w:bCs/>
          <w:color w:val="000000" w:themeColor="text1"/>
          <w:sz w:val="20"/>
          <w:szCs w:val="20"/>
        </w:rPr>
        <w:instrText xml:space="preserve"> SEQ Wykres \* ARABIC </w:instrText>
      </w:r>
      <w:r w:rsidRPr="006C00C9">
        <w:rPr>
          <w:rFonts w:ascii="Times New Roman" w:hAnsi="Times New Roman" w:cs="Times New Roman"/>
          <w:b/>
          <w:bCs/>
          <w:i/>
          <w:iCs/>
          <w:color w:val="000000" w:themeColor="text1"/>
          <w:sz w:val="20"/>
          <w:szCs w:val="20"/>
        </w:rPr>
        <w:fldChar w:fldCharType="separate"/>
      </w:r>
      <w:r w:rsidR="007359D0">
        <w:rPr>
          <w:rFonts w:ascii="Times New Roman" w:hAnsi="Times New Roman" w:cs="Times New Roman"/>
          <w:b/>
          <w:bCs/>
          <w:noProof/>
          <w:color w:val="000000" w:themeColor="text1"/>
          <w:sz w:val="20"/>
          <w:szCs w:val="20"/>
        </w:rPr>
        <w:t>3</w:t>
      </w:r>
      <w:r w:rsidRPr="006C00C9">
        <w:rPr>
          <w:rFonts w:ascii="Times New Roman" w:hAnsi="Times New Roman" w:cs="Times New Roman"/>
          <w:b/>
          <w:bCs/>
          <w:i/>
          <w:iCs/>
          <w:color w:val="000000" w:themeColor="text1"/>
          <w:sz w:val="20"/>
          <w:szCs w:val="20"/>
        </w:rPr>
        <w:fldChar w:fldCharType="end"/>
      </w:r>
      <w:r w:rsidRPr="006C00C9">
        <w:rPr>
          <w:rFonts w:ascii="Times New Roman" w:hAnsi="Times New Roman" w:cs="Times New Roman"/>
          <w:b/>
          <w:bCs/>
          <w:color w:val="000000" w:themeColor="text1"/>
          <w:sz w:val="20"/>
          <w:szCs w:val="20"/>
        </w:rPr>
        <w:t xml:space="preserve"> </w:t>
      </w:r>
      <w:bookmarkEnd w:id="34"/>
      <w:r w:rsidR="00B823CA" w:rsidRPr="002879B6">
        <w:rPr>
          <w:rFonts w:ascii="Times New Roman" w:hAnsi="Times New Roman" w:cs="Times New Roman"/>
          <w:b/>
          <w:bCs/>
          <w:color w:val="000000" w:themeColor="text1"/>
          <w:sz w:val="20"/>
          <w:szCs w:val="20"/>
        </w:rPr>
        <w:t xml:space="preserve">Udział ludności wg ekonomicznych grup wieku w % ludności ogółem </w:t>
      </w:r>
      <w:r w:rsidR="00B823CA">
        <w:rPr>
          <w:rFonts w:ascii="Times New Roman" w:hAnsi="Times New Roman" w:cs="Times New Roman"/>
          <w:b/>
          <w:bCs/>
          <w:color w:val="000000" w:themeColor="text1"/>
          <w:sz w:val="20"/>
          <w:szCs w:val="20"/>
        </w:rPr>
        <w:t>na obszarze</w:t>
      </w:r>
      <w:r w:rsidR="00B823CA" w:rsidRPr="002879B6">
        <w:rPr>
          <w:rFonts w:ascii="Times New Roman" w:hAnsi="Times New Roman" w:cs="Times New Roman"/>
          <w:b/>
          <w:bCs/>
          <w:color w:val="000000" w:themeColor="text1"/>
          <w:sz w:val="20"/>
          <w:szCs w:val="20"/>
        </w:rPr>
        <w:t xml:space="preserve"> LGD w latach 2016–2021</w:t>
      </w:r>
      <w:bookmarkEnd w:id="36"/>
    </w:p>
    <w:p w14:paraId="3A0F8CCC" w14:textId="41E7FB61" w:rsidR="00A17173" w:rsidRDefault="00B823CA" w:rsidP="00A17173">
      <w:pPr>
        <w:spacing w:after="0"/>
        <w:jc w:val="center"/>
      </w:pPr>
      <w:r>
        <w:rPr>
          <w:noProof/>
        </w:rPr>
        <w:drawing>
          <wp:inline distT="0" distB="0" distL="0" distR="0" wp14:anchorId="7BA37E85" wp14:editId="06E3D8C0">
            <wp:extent cx="4371975" cy="1866900"/>
            <wp:effectExtent l="0" t="0" r="0" b="0"/>
            <wp:docPr id="69" name="Wykres 69">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993EBD" w14:textId="77777777" w:rsidR="00A17173" w:rsidRDefault="00A17173" w:rsidP="00A17173">
      <w:pPr>
        <w:jc w:val="center"/>
        <w:rPr>
          <w:rFonts w:ascii="Times New Roman" w:hAnsi="Times New Roman" w:cs="Times New Roman"/>
          <w:b/>
          <w:bCs/>
          <w:color w:val="000000" w:themeColor="text1"/>
          <w:sz w:val="24"/>
          <w:szCs w:val="24"/>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bookmarkEnd w:id="35"/>
    <w:p w14:paraId="0A20A789" w14:textId="5529063E" w:rsidR="000761AD" w:rsidRPr="006D41C9" w:rsidRDefault="00A17173" w:rsidP="000761AD">
      <w:pPr>
        <w:spacing w:after="80" w:line="276" w:lineRule="auto"/>
        <w:ind w:firstLine="709"/>
        <w:jc w:val="both"/>
        <w:rPr>
          <w:rFonts w:ascii="Times New Roman" w:hAnsi="Times New Roman" w:cs="Times New Roman"/>
        </w:rPr>
      </w:pPr>
      <w:r w:rsidRPr="00F92A40">
        <w:rPr>
          <w:rFonts w:ascii="Times New Roman" w:hAnsi="Times New Roman" w:cs="Times New Roman"/>
        </w:rPr>
        <w:t>Jednym ze</w:t>
      </w:r>
      <w:r>
        <w:rPr>
          <w:rFonts w:ascii="Times New Roman" w:hAnsi="Times New Roman" w:cs="Times New Roman"/>
        </w:rPr>
        <w:t xml:space="preserve"> wskaźników mających wpływ na kształtowanie się struktury ludności jest wskaźnik </w:t>
      </w:r>
      <w:r w:rsidRPr="00F92A40">
        <w:rPr>
          <w:rFonts w:ascii="Times New Roman" w:hAnsi="Times New Roman" w:cs="Times New Roman"/>
          <w:i/>
          <w:iCs/>
        </w:rPr>
        <w:t>przyrost naturalny na 1000 ludności</w:t>
      </w:r>
      <w:r>
        <w:rPr>
          <w:rFonts w:ascii="Times New Roman" w:hAnsi="Times New Roman" w:cs="Times New Roman"/>
        </w:rPr>
        <w:t xml:space="preserve"> – wartoś</w:t>
      </w:r>
      <w:r w:rsidR="00917BC5">
        <w:rPr>
          <w:rFonts w:ascii="Times New Roman" w:hAnsi="Times New Roman" w:cs="Times New Roman"/>
        </w:rPr>
        <w:t>ci</w:t>
      </w:r>
      <w:r>
        <w:rPr>
          <w:rFonts w:ascii="Times New Roman" w:hAnsi="Times New Roman" w:cs="Times New Roman"/>
        </w:rPr>
        <w:t xml:space="preserve"> wskaźnika dla LGD w latach 2016–2021</w:t>
      </w:r>
      <w:r w:rsidR="00874D5A">
        <w:rPr>
          <w:rFonts w:ascii="Times New Roman" w:hAnsi="Times New Roman" w:cs="Times New Roman"/>
        </w:rPr>
        <w:t xml:space="preserve"> </w:t>
      </w:r>
      <w:r w:rsidR="00917BC5">
        <w:rPr>
          <w:rFonts w:ascii="Times New Roman" w:hAnsi="Times New Roman" w:cs="Times New Roman"/>
        </w:rPr>
        <w:t>były</w:t>
      </w:r>
      <w:r w:rsidR="00874D5A">
        <w:rPr>
          <w:rFonts w:ascii="Times New Roman" w:hAnsi="Times New Roman" w:cs="Times New Roman"/>
        </w:rPr>
        <w:t xml:space="preserve"> ujemne</w:t>
      </w:r>
      <w:r>
        <w:rPr>
          <w:rFonts w:ascii="Times New Roman" w:hAnsi="Times New Roman" w:cs="Times New Roman"/>
        </w:rPr>
        <w:t>,</w:t>
      </w:r>
      <w:bookmarkStart w:id="37" w:name="_Toc115335700"/>
      <w:r w:rsidR="00874D5A">
        <w:rPr>
          <w:rFonts w:ascii="Times New Roman" w:hAnsi="Times New Roman" w:cs="Times New Roman"/>
        </w:rPr>
        <w:t xml:space="preserve"> </w:t>
      </w:r>
      <w:r>
        <w:rPr>
          <w:rFonts w:ascii="Times New Roman" w:hAnsi="Times New Roman" w:cs="Times New Roman"/>
          <w:color w:val="000000" w:themeColor="text1"/>
        </w:rPr>
        <w:t xml:space="preserve">od 2016 do 2019 roku </w:t>
      </w:r>
      <w:r w:rsidR="00874D5A">
        <w:rPr>
          <w:rFonts w:ascii="Times New Roman" w:hAnsi="Times New Roman" w:cs="Times New Roman"/>
          <w:color w:val="000000" w:themeColor="text1"/>
        </w:rPr>
        <w:t xml:space="preserve">wskaźnik stopniowo się pogarszał, </w:t>
      </w:r>
      <w:r>
        <w:rPr>
          <w:rFonts w:ascii="Times New Roman" w:hAnsi="Times New Roman" w:cs="Times New Roman"/>
          <w:color w:val="000000" w:themeColor="text1"/>
        </w:rPr>
        <w:t xml:space="preserve">natomiast w </w:t>
      </w:r>
      <w:r w:rsidR="00874D5A">
        <w:rPr>
          <w:rFonts w:ascii="Times New Roman" w:hAnsi="Times New Roman" w:cs="Times New Roman"/>
          <w:color w:val="000000" w:themeColor="text1"/>
        </w:rPr>
        <w:t>l</w:t>
      </w:r>
      <w:r>
        <w:rPr>
          <w:rFonts w:ascii="Times New Roman" w:hAnsi="Times New Roman" w:cs="Times New Roman"/>
          <w:color w:val="000000" w:themeColor="text1"/>
        </w:rPr>
        <w:t xml:space="preserve">atach 2020–2021 zaczął </w:t>
      </w:r>
      <w:r w:rsidR="00874D5A">
        <w:rPr>
          <w:rFonts w:ascii="Times New Roman" w:hAnsi="Times New Roman" w:cs="Times New Roman"/>
          <w:color w:val="000000" w:themeColor="text1"/>
        </w:rPr>
        <w:t>gwałtownie</w:t>
      </w:r>
      <w:r>
        <w:rPr>
          <w:rFonts w:ascii="Times New Roman" w:hAnsi="Times New Roman" w:cs="Times New Roman"/>
          <w:color w:val="000000" w:themeColor="text1"/>
        </w:rPr>
        <w:t xml:space="preserve"> spadać. Wartość wskaźnika</w:t>
      </w:r>
      <w:r w:rsidR="00874D5A">
        <w:rPr>
          <w:rFonts w:ascii="Times New Roman" w:hAnsi="Times New Roman" w:cs="Times New Roman"/>
          <w:color w:val="000000" w:themeColor="text1"/>
        </w:rPr>
        <w:t xml:space="preserve"> </w:t>
      </w:r>
      <w:r w:rsidR="00874D5A">
        <w:rPr>
          <w:rFonts w:ascii="Times New Roman" w:hAnsi="Times New Roman" w:cs="Times New Roman"/>
          <w:color w:val="000000" w:themeColor="text1"/>
        </w:rPr>
        <w:lastRenderedPageBreak/>
        <w:t>według danych GUS</w:t>
      </w:r>
      <w:r>
        <w:rPr>
          <w:rFonts w:ascii="Times New Roman" w:hAnsi="Times New Roman" w:cs="Times New Roman"/>
          <w:color w:val="000000" w:themeColor="text1"/>
        </w:rPr>
        <w:t xml:space="preserve"> w 2021 r. wynosiła</w:t>
      </w:r>
      <w:r w:rsidR="00CC1E2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874D5A">
        <w:rPr>
          <w:rFonts w:ascii="Times New Roman" w:hAnsi="Times New Roman" w:cs="Times New Roman"/>
          <w:color w:val="000000" w:themeColor="text1"/>
        </w:rPr>
        <w:t>7</w:t>
      </w:r>
      <w:r>
        <w:rPr>
          <w:rFonts w:ascii="Times New Roman" w:hAnsi="Times New Roman" w:cs="Times New Roman"/>
          <w:color w:val="000000" w:themeColor="text1"/>
        </w:rPr>
        <w:t xml:space="preserve">,5, i była </w:t>
      </w:r>
      <w:r w:rsidR="00CC1E21">
        <w:rPr>
          <w:rFonts w:ascii="Times New Roman" w:hAnsi="Times New Roman" w:cs="Times New Roman"/>
          <w:color w:val="000000" w:themeColor="text1"/>
        </w:rPr>
        <w:t>mniej korzystna</w:t>
      </w:r>
      <w:r>
        <w:rPr>
          <w:rFonts w:ascii="Times New Roman" w:hAnsi="Times New Roman" w:cs="Times New Roman"/>
          <w:color w:val="000000" w:themeColor="text1"/>
        </w:rPr>
        <w:t xml:space="preserve"> od wartości dla województwa </w:t>
      </w:r>
      <w:r w:rsidR="00874D5A">
        <w:rPr>
          <w:rFonts w:ascii="Times New Roman" w:hAnsi="Times New Roman" w:cs="Times New Roman"/>
          <w:color w:val="000000" w:themeColor="text1"/>
        </w:rPr>
        <w:t>lubelskiego</w:t>
      </w:r>
      <w:r>
        <w:rPr>
          <w:rFonts w:ascii="Times New Roman" w:hAnsi="Times New Roman" w:cs="Times New Roman"/>
          <w:color w:val="000000" w:themeColor="text1"/>
        </w:rPr>
        <w:t xml:space="preserve"> </w:t>
      </w:r>
      <w:r w:rsidR="00CC1E21">
        <w:rPr>
          <w:rFonts w:ascii="Times New Roman" w:hAnsi="Times New Roman" w:cs="Times New Roman"/>
          <w:color w:val="000000" w:themeColor="text1"/>
        </w:rPr>
        <w:br/>
      </w:r>
      <w:r>
        <w:rPr>
          <w:rFonts w:ascii="Times New Roman" w:hAnsi="Times New Roman" w:cs="Times New Roman"/>
          <w:color w:val="000000" w:themeColor="text1"/>
        </w:rPr>
        <w:t>(-</w:t>
      </w:r>
      <w:r w:rsidR="00874D5A">
        <w:rPr>
          <w:rFonts w:ascii="Times New Roman" w:hAnsi="Times New Roman" w:cs="Times New Roman"/>
          <w:color w:val="000000" w:themeColor="text1"/>
        </w:rPr>
        <w:t>6,9</w:t>
      </w:r>
      <w:r>
        <w:rPr>
          <w:rFonts w:ascii="Times New Roman" w:hAnsi="Times New Roman" w:cs="Times New Roman"/>
          <w:color w:val="000000" w:themeColor="text1"/>
        </w:rPr>
        <w:t>)</w:t>
      </w:r>
      <w:r w:rsidR="00874D5A">
        <w:rPr>
          <w:rFonts w:ascii="Times New Roman" w:hAnsi="Times New Roman" w:cs="Times New Roman"/>
          <w:color w:val="000000" w:themeColor="text1"/>
        </w:rPr>
        <w:t xml:space="preserve"> i</w:t>
      </w:r>
      <w:r>
        <w:rPr>
          <w:rFonts w:ascii="Times New Roman" w:hAnsi="Times New Roman" w:cs="Times New Roman"/>
          <w:color w:val="000000" w:themeColor="text1"/>
        </w:rPr>
        <w:t xml:space="preserve"> wartości dla kraju (-4,9).</w:t>
      </w:r>
      <w:r w:rsidR="003354D6">
        <w:rPr>
          <w:rFonts w:ascii="Times New Roman" w:hAnsi="Times New Roman" w:cs="Times New Roman"/>
          <w:color w:val="000000" w:themeColor="text1"/>
        </w:rPr>
        <w:t xml:space="preserve"> </w:t>
      </w:r>
      <w:r w:rsidR="003354D6">
        <w:rPr>
          <w:rFonts w:ascii="Times New Roman" w:hAnsi="Times New Roman" w:cs="Times New Roman"/>
        </w:rPr>
        <w:t xml:space="preserve">W kontekście kształtowania się struktury ludności w danym miejscu, istotne jest także saldo migracji, stanowiące różnicę pomiędzy napływem a odpływem ludności z danego obszaru w określonym czasie. Migracje stanowią jeden z najważniejszych (po liczbie urodzeń i zgonów) czynników, które kształtują liczbę ludności w danym obszarze. </w:t>
      </w:r>
      <w:r w:rsidR="000761AD">
        <w:rPr>
          <w:rFonts w:ascii="Times New Roman" w:hAnsi="Times New Roman" w:cs="Times New Roman"/>
        </w:rPr>
        <w:t xml:space="preserve">Wartości wskaźnika </w:t>
      </w:r>
      <w:r w:rsidR="000761AD" w:rsidRPr="007B1FBE">
        <w:rPr>
          <w:rFonts w:ascii="Times New Roman" w:hAnsi="Times New Roman" w:cs="Times New Roman"/>
          <w:i/>
          <w:iCs/>
        </w:rPr>
        <w:t>saldo migracji</w:t>
      </w:r>
      <w:r w:rsidR="000761AD">
        <w:rPr>
          <w:rFonts w:ascii="Times New Roman" w:hAnsi="Times New Roman" w:cs="Times New Roman"/>
          <w:i/>
          <w:iCs/>
        </w:rPr>
        <w:t xml:space="preserve"> na 1 000 ludności</w:t>
      </w:r>
      <w:r w:rsidR="000761AD" w:rsidRPr="007B1FBE">
        <w:rPr>
          <w:rFonts w:ascii="Times New Roman" w:hAnsi="Times New Roman" w:cs="Times New Roman"/>
          <w:i/>
          <w:iCs/>
        </w:rPr>
        <w:t xml:space="preserve"> </w:t>
      </w:r>
      <w:r w:rsidR="000761AD" w:rsidRPr="007B1FBE">
        <w:rPr>
          <w:rFonts w:ascii="Times New Roman" w:hAnsi="Times New Roman" w:cs="Times New Roman"/>
        </w:rPr>
        <w:t>na obszarze LGD</w:t>
      </w:r>
      <w:r w:rsidR="000761AD">
        <w:rPr>
          <w:rFonts w:ascii="Times New Roman" w:hAnsi="Times New Roman" w:cs="Times New Roman"/>
        </w:rPr>
        <w:t xml:space="preserve"> na przestrzeni analizowanych lat wahały się, ale zawsze były ujemne Najlepszą wartość wskaźnik osiągnął w 2021 roku: -1,3, najgorszą w roku 2019</w:t>
      </w:r>
      <w:r w:rsidR="00CC1E21">
        <w:rPr>
          <w:rFonts w:ascii="Times New Roman" w:hAnsi="Times New Roman" w:cs="Times New Roman"/>
        </w:rPr>
        <w:t>, gdy</w:t>
      </w:r>
      <w:r w:rsidR="000761AD">
        <w:rPr>
          <w:rFonts w:ascii="Times New Roman" w:hAnsi="Times New Roman" w:cs="Times New Roman"/>
        </w:rPr>
        <w:t xml:space="preserve"> wynosił -3,6. Według danych GUS w 2021 r. wskaźnik dla LGD osiągnął wartość wyższą od średniej dla województwa (-2,3) oraz niższą od średniej dla kraju (0,1), co pokazuje, iż sytuacja obszaru </w:t>
      </w:r>
      <w:r w:rsidR="00CC1E21">
        <w:rPr>
          <w:rFonts w:ascii="Times New Roman" w:hAnsi="Times New Roman" w:cs="Times New Roman"/>
        </w:rPr>
        <w:br/>
      </w:r>
      <w:r w:rsidR="000761AD">
        <w:rPr>
          <w:rFonts w:ascii="Times New Roman" w:hAnsi="Times New Roman" w:cs="Times New Roman"/>
        </w:rPr>
        <w:t>w porównaniu z województwem jest korzystniejsza</w:t>
      </w:r>
      <w:r w:rsidR="001B589A">
        <w:rPr>
          <w:rFonts w:ascii="Times New Roman" w:hAnsi="Times New Roman" w:cs="Times New Roman"/>
        </w:rPr>
        <w:t xml:space="preserve">. </w:t>
      </w:r>
      <w:r w:rsidR="000761AD">
        <w:rPr>
          <w:rFonts w:ascii="Times New Roman" w:hAnsi="Times New Roman" w:cs="Times New Roman"/>
        </w:rPr>
        <w:t xml:space="preserve">Dane dotyczące </w:t>
      </w:r>
      <w:r w:rsidR="00CC1E21">
        <w:rPr>
          <w:rFonts w:ascii="Times New Roman" w:hAnsi="Times New Roman" w:cs="Times New Roman"/>
        </w:rPr>
        <w:t xml:space="preserve">wskaźników </w:t>
      </w:r>
      <w:r w:rsidR="000761AD">
        <w:rPr>
          <w:rFonts w:ascii="Times New Roman" w:hAnsi="Times New Roman" w:cs="Times New Roman"/>
        </w:rPr>
        <w:t xml:space="preserve">salda migracji oraz przyrostu naturalnego </w:t>
      </w:r>
      <w:r w:rsidR="00CC1E21">
        <w:rPr>
          <w:rFonts w:ascii="Times New Roman" w:hAnsi="Times New Roman" w:cs="Times New Roman"/>
        </w:rPr>
        <w:t>na 1000 ludności przedstawiono na wykresie</w:t>
      </w:r>
      <w:r w:rsidR="000761AD">
        <w:rPr>
          <w:rFonts w:ascii="Times New Roman" w:hAnsi="Times New Roman" w:cs="Times New Roman"/>
        </w:rPr>
        <w:t xml:space="preserve"> 4.</w:t>
      </w:r>
    </w:p>
    <w:p w14:paraId="5A5756BE" w14:textId="77777777" w:rsidR="000761AD" w:rsidRPr="00C1289E" w:rsidRDefault="000761AD" w:rsidP="000761AD">
      <w:pPr>
        <w:spacing w:after="0" w:line="276" w:lineRule="auto"/>
        <w:ind w:firstLine="709"/>
        <w:jc w:val="center"/>
        <w:rPr>
          <w:rFonts w:ascii="Times New Roman" w:hAnsi="Times New Roman" w:cs="Times New Roman"/>
          <w:b/>
          <w:bCs/>
          <w:color w:val="000000" w:themeColor="text1"/>
          <w:sz w:val="20"/>
          <w:szCs w:val="20"/>
        </w:rPr>
      </w:pPr>
      <w:bookmarkStart w:id="38" w:name="_Toc135896519"/>
      <w:r w:rsidRPr="00596B91">
        <w:rPr>
          <w:rFonts w:ascii="Times New Roman" w:hAnsi="Times New Roman" w:cs="Times New Roman"/>
          <w:b/>
          <w:bCs/>
          <w:color w:val="000000" w:themeColor="text1"/>
          <w:sz w:val="20"/>
          <w:szCs w:val="20"/>
        </w:rPr>
        <w:t xml:space="preserve">Wykres </w:t>
      </w:r>
      <w:r w:rsidRPr="00596B91">
        <w:rPr>
          <w:rFonts w:ascii="Times New Roman" w:hAnsi="Times New Roman" w:cs="Times New Roman"/>
          <w:b/>
          <w:bCs/>
          <w:color w:val="000000" w:themeColor="text1"/>
          <w:sz w:val="20"/>
          <w:szCs w:val="20"/>
        </w:rPr>
        <w:fldChar w:fldCharType="begin"/>
      </w:r>
      <w:r w:rsidRPr="00596B91">
        <w:rPr>
          <w:rFonts w:ascii="Times New Roman" w:hAnsi="Times New Roman" w:cs="Times New Roman"/>
          <w:b/>
          <w:bCs/>
          <w:color w:val="000000" w:themeColor="text1"/>
          <w:sz w:val="20"/>
          <w:szCs w:val="20"/>
        </w:rPr>
        <w:instrText xml:space="preserve"> SEQ Wykres \* ARABIC </w:instrText>
      </w:r>
      <w:r w:rsidRPr="00596B91">
        <w:rPr>
          <w:rFonts w:ascii="Times New Roman" w:hAnsi="Times New Roman" w:cs="Times New Roman"/>
          <w:b/>
          <w:bCs/>
          <w:color w:val="000000" w:themeColor="text1"/>
          <w:sz w:val="20"/>
          <w:szCs w:val="20"/>
        </w:rPr>
        <w:fldChar w:fldCharType="separate"/>
      </w:r>
      <w:r>
        <w:rPr>
          <w:rFonts w:ascii="Times New Roman" w:hAnsi="Times New Roman" w:cs="Times New Roman"/>
          <w:b/>
          <w:bCs/>
          <w:noProof/>
          <w:color w:val="000000" w:themeColor="text1"/>
          <w:sz w:val="20"/>
          <w:szCs w:val="20"/>
        </w:rPr>
        <w:t>4</w:t>
      </w:r>
      <w:r w:rsidRPr="00596B91">
        <w:rPr>
          <w:rFonts w:ascii="Times New Roman" w:hAnsi="Times New Roman" w:cs="Times New Roman"/>
          <w:b/>
          <w:bCs/>
          <w:color w:val="000000" w:themeColor="text1"/>
          <w:sz w:val="20"/>
          <w:szCs w:val="20"/>
        </w:rPr>
        <w:fldChar w:fldCharType="end"/>
      </w:r>
      <w:r>
        <w:t xml:space="preserve"> </w:t>
      </w:r>
      <w:bookmarkStart w:id="39" w:name="_Hlk113292126"/>
      <w:r w:rsidRPr="00C1289E">
        <w:rPr>
          <w:rFonts w:ascii="Times New Roman" w:hAnsi="Times New Roman" w:cs="Times New Roman"/>
          <w:b/>
          <w:bCs/>
          <w:color w:val="000000" w:themeColor="text1"/>
          <w:sz w:val="20"/>
          <w:szCs w:val="20"/>
        </w:rPr>
        <w:t>Saldo migracji oraz p</w:t>
      </w:r>
      <w:r w:rsidRPr="007B2551">
        <w:rPr>
          <w:rFonts w:ascii="Times New Roman" w:hAnsi="Times New Roman" w:cs="Times New Roman"/>
          <w:b/>
          <w:bCs/>
          <w:color w:val="000000" w:themeColor="text1"/>
          <w:sz w:val="20"/>
          <w:szCs w:val="20"/>
        </w:rPr>
        <w:t xml:space="preserve">rzyrost naturalny na 1 000 ludności </w:t>
      </w:r>
      <w:r>
        <w:rPr>
          <w:rFonts w:ascii="Times New Roman" w:hAnsi="Times New Roman" w:cs="Times New Roman"/>
          <w:b/>
          <w:bCs/>
          <w:color w:val="000000" w:themeColor="text1"/>
          <w:sz w:val="20"/>
          <w:szCs w:val="20"/>
        </w:rPr>
        <w:t>na obszarze</w:t>
      </w:r>
      <w:r w:rsidRPr="007B2551">
        <w:rPr>
          <w:rFonts w:ascii="Times New Roman" w:hAnsi="Times New Roman" w:cs="Times New Roman"/>
          <w:b/>
          <w:bCs/>
          <w:color w:val="000000" w:themeColor="text1"/>
          <w:sz w:val="20"/>
          <w:szCs w:val="20"/>
        </w:rPr>
        <w:t xml:space="preserve"> LGD w latach 2016–2021</w:t>
      </w:r>
      <w:bookmarkEnd w:id="38"/>
      <w:bookmarkEnd w:id="39"/>
    </w:p>
    <w:p w14:paraId="63A7A072" w14:textId="24569F93" w:rsidR="000761AD" w:rsidRDefault="00090F4A" w:rsidP="000761AD">
      <w:pPr>
        <w:spacing w:after="0"/>
        <w:jc w:val="center"/>
      </w:pPr>
      <w:r>
        <w:rPr>
          <w:noProof/>
          <w14:ligatures w14:val="standardContextual"/>
        </w:rPr>
        <w:drawing>
          <wp:inline distT="0" distB="0" distL="0" distR="0" wp14:anchorId="2A347EEE" wp14:editId="454C611D">
            <wp:extent cx="4152900" cy="1924050"/>
            <wp:effectExtent l="0" t="0" r="0" b="0"/>
            <wp:docPr id="832918805" name="Wykres 1">
              <a:extLst xmlns:a="http://schemas.openxmlformats.org/drawingml/2006/main">
                <a:ext uri="{FF2B5EF4-FFF2-40B4-BE49-F238E27FC236}">
                  <a16:creationId xmlns:a16="http://schemas.microsoft.com/office/drawing/2014/main" id="{8D99170F-6504-497E-C2CB-F6983B5491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C3250F" w14:textId="77777777" w:rsidR="000761AD" w:rsidRPr="00F92A40" w:rsidRDefault="000761AD" w:rsidP="000761AD">
      <w:pPr>
        <w:jc w:val="center"/>
        <w:rPr>
          <w:rFonts w:ascii="Times New Roman" w:hAnsi="Times New Roman" w:cs="Times New Roman"/>
          <w:b/>
          <w:bCs/>
          <w:color w:val="000000" w:themeColor="text1"/>
          <w:sz w:val="24"/>
          <w:szCs w:val="24"/>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w:t>
      </w:r>
      <w:r w:rsidRPr="001F75C9">
        <w:rPr>
          <w:rFonts w:ascii="Times New Roman" w:hAnsi="Times New Roman" w:cs="Times New Roman"/>
          <w:i/>
          <w:iCs/>
          <w:sz w:val="20"/>
          <w:szCs w:val="20"/>
        </w:rPr>
        <w:t>pracowanie własne</w:t>
      </w:r>
      <w:r>
        <w:rPr>
          <w:rFonts w:ascii="Times New Roman" w:hAnsi="Times New Roman" w:cs="Times New Roman"/>
          <w:i/>
          <w:iCs/>
          <w:sz w:val="20"/>
          <w:szCs w:val="20"/>
        </w:rPr>
        <w:t xml:space="preserve"> na podstawie danych GUS</w:t>
      </w:r>
    </w:p>
    <w:p w14:paraId="060C581F" w14:textId="3553C116" w:rsidR="003354D6" w:rsidRDefault="003354D6" w:rsidP="003354D6">
      <w:pPr>
        <w:spacing w:line="276" w:lineRule="auto"/>
        <w:ind w:firstLine="709"/>
        <w:jc w:val="both"/>
        <w:rPr>
          <w:rFonts w:ascii="Times New Roman" w:hAnsi="Times New Roman" w:cs="Times New Roman"/>
        </w:rPr>
      </w:pPr>
      <w:r>
        <w:rPr>
          <w:rFonts w:ascii="Times New Roman" w:hAnsi="Times New Roman" w:cs="Times New Roman"/>
        </w:rPr>
        <w:t>Według danych w 2020 r. na obszarze LGD zameldowało się 959 osób, jednak znacznie więcej było wymeldowanych, bo aż 1 257 osób, co jest negatywnym zjawiskiem.</w:t>
      </w:r>
    </w:p>
    <w:p w14:paraId="229D44C0" w14:textId="77777777" w:rsidR="003354D6" w:rsidRPr="009C36D6" w:rsidRDefault="003354D6" w:rsidP="003354D6">
      <w:pPr>
        <w:pStyle w:val="Akapitzlist"/>
        <w:spacing w:line="276" w:lineRule="auto"/>
        <w:ind w:left="0" w:firstLine="709"/>
        <w:jc w:val="center"/>
        <w:rPr>
          <w:rFonts w:ascii="Times New Roman" w:hAnsi="Times New Roman" w:cs="Times New Roman"/>
          <w:b/>
          <w:bCs/>
          <w:color w:val="000000" w:themeColor="text1"/>
        </w:rPr>
      </w:pPr>
      <w:r w:rsidRPr="009C36D6">
        <w:rPr>
          <w:rFonts w:ascii="Times New Roman" w:hAnsi="Times New Roman" w:cs="Times New Roman"/>
          <w:b/>
          <w:bCs/>
          <w:color w:val="000000" w:themeColor="text1"/>
        </w:rPr>
        <w:t xml:space="preserve">Przy obliczeniu wskaźnika </w:t>
      </w:r>
      <w:r>
        <w:rPr>
          <w:rFonts w:ascii="Times New Roman" w:hAnsi="Times New Roman" w:cs="Times New Roman"/>
          <w:b/>
          <w:bCs/>
          <w:i/>
          <w:iCs/>
          <w:color w:val="000000" w:themeColor="text1"/>
        </w:rPr>
        <w:t>migracje na obszarze</w:t>
      </w:r>
      <w:r w:rsidRPr="009C36D6">
        <w:rPr>
          <w:rFonts w:ascii="Times New Roman" w:hAnsi="Times New Roman" w:cs="Times New Roman"/>
          <w:b/>
          <w:bCs/>
          <w:i/>
          <w:iCs/>
          <w:color w:val="000000" w:themeColor="text1"/>
        </w:rPr>
        <w:t xml:space="preserve"> LSR </w:t>
      </w:r>
      <w:r w:rsidRPr="00D03CAB">
        <w:rPr>
          <w:rFonts w:ascii="Times New Roman" w:hAnsi="Times New Roman" w:cs="Times New Roman"/>
          <w:b/>
          <w:bCs/>
          <w:color w:val="000000" w:themeColor="text1"/>
        </w:rPr>
        <w:t>za</w:t>
      </w:r>
      <w:r w:rsidRPr="009C36D6">
        <w:rPr>
          <w:rFonts w:ascii="Times New Roman" w:hAnsi="Times New Roman" w:cs="Times New Roman"/>
          <w:b/>
          <w:bCs/>
          <w:i/>
          <w:iCs/>
          <w:color w:val="000000" w:themeColor="text1"/>
        </w:rPr>
        <w:t xml:space="preserve"> </w:t>
      </w:r>
      <w:r w:rsidRPr="009C36D6">
        <w:rPr>
          <w:rFonts w:ascii="Times New Roman" w:hAnsi="Times New Roman" w:cs="Times New Roman"/>
          <w:b/>
          <w:bCs/>
          <w:color w:val="000000" w:themeColor="text1"/>
        </w:rPr>
        <w:t>2020 r. ze wzoru:</w:t>
      </w:r>
    </w:p>
    <w:p w14:paraId="06634907" w14:textId="77777777" w:rsidR="003354D6" w:rsidRPr="00875755" w:rsidRDefault="003354D6" w:rsidP="003354D6">
      <w:pPr>
        <w:pStyle w:val="Tekstkomentarza"/>
        <w:jc w:val="center"/>
        <w:rPr>
          <w:rFonts w:cs="Times New Roman"/>
          <w:b/>
          <w:bCs/>
          <w:color w:val="000000" w:themeColor="text1"/>
          <w:sz w:val="22"/>
          <w:szCs w:val="22"/>
        </w:rPr>
      </w:pPr>
      <m:oMath>
        <m:r>
          <m:rPr>
            <m:sty m:val="b"/>
          </m:rPr>
          <w:rPr>
            <w:rFonts w:ascii="Cambria Math" w:hAnsi="Cambria Math" w:cs="Arial"/>
          </w:rPr>
          <m:t>4 x (1-</m:t>
        </m:r>
        <m:r>
          <m:rPr>
            <m:sty m:val="bi"/>
          </m:rPr>
          <w:rPr>
            <w:rFonts w:ascii="Cambria Math" w:hAnsi="Cambria Math" w:cs="Arial"/>
          </w:rPr>
          <m:t xml:space="preserve">40 x </m:t>
        </m:r>
        <m:f>
          <m:fPr>
            <m:ctrlPr>
              <w:rPr>
                <w:rFonts w:ascii="Cambria Math" w:hAnsi="Cambria Math" w:cs="Arial"/>
                <w:b/>
                <w:bCs/>
                <w:i/>
              </w:rPr>
            </m:ctrlPr>
          </m:fPr>
          <m:num>
            <m:r>
              <m:rPr>
                <m:sty m:val="bi"/>
              </m:rPr>
              <w:rPr>
                <w:rFonts w:ascii="Cambria Math" w:hAnsi="Cambria Math" w:cs="Arial"/>
              </w:rPr>
              <m:t>(zameldowania-wymeldowania)</m:t>
            </m:r>
          </m:num>
          <m:den>
            <m:r>
              <m:rPr>
                <m:sty m:val="bi"/>
              </m:rPr>
              <w:rPr>
                <w:rFonts w:ascii="Cambria Math" w:hAnsi="Cambria Math" w:cs="Arial"/>
              </w:rPr>
              <m:t>liczba mieszkańców</m:t>
            </m:r>
          </m:den>
        </m:f>
        <m:r>
          <m:rPr>
            <m:sty m:val="bi"/>
          </m:rPr>
          <w:rPr>
            <w:rFonts w:ascii="Cambria Math" w:hAnsi="Cambria Math" w:cs="Arial"/>
          </w:rPr>
          <m:t>)</m:t>
        </m:r>
      </m:oMath>
      <w:r w:rsidRPr="00875755">
        <w:rPr>
          <w:rFonts w:eastAsiaTheme="minorEastAsia" w:cs="Times New Roman"/>
          <w:b/>
          <w:bCs/>
        </w:rPr>
        <w:t xml:space="preserve"> </w:t>
      </w:r>
      <w:r w:rsidRPr="00875755">
        <w:rPr>
          <w:rFonts w:cs="Times New Roman"/>
          <w:b/>
          <w:bCs/>
          <w:color w:val="000000" w:themeColor="text1"/>
          <w:sz w:val="22"/>
          <w:szCs w:val="22"/>
        </w:rPr>
        <w:t xml:space="preserve">obszar LGD osiąga wartość </w:t>
      </w:r>
      <w:r>
        <w:rPr>
          <w:rFonts w:cs="Times New Roman"/>
          <w:b/>
          <w:bCs/>
          <w:color w:val="000000" w:themeColor="text1"/>
          <w:sz w:val="22"/>
          <w:szCs w:val="22"/>
        </w:rPr>
        <w:t>4,45</w:t>
      </w:r>
    </w:p>
    <w:bookmarkEnd w:id="37"/>
    <w:p w14:paraId="638C2ACC" w14:textId="77777777" w:rsidR="00A17173" w:rsidRDefault="00A17173" w:rsidP="003354D6">
      <w:pPr>
        <w:spacing w:after="0"/>
        <w:jc w:val="both"/>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rPr>
        <w:t xml:space="preserve">Na spotkaniach w gminach z obszaru LGD mieszkańcy wśród zagrożeń również wymieniali </w:t>
      </w:r>
      <w:r w:rsidRPr="00556F45">
        <w:rPr>
          <w:rFonts w:ascii="Times New Roman" w:hAnsi="Times New Roman" w:cs="Times New Roman"/>
        </w:rPr>
        <w:t>depopulacj</w:t>
      </w:r>
      <w:r>
        <w:rPr>
          <w:rFonts w:ascii="Times New Roman" w:hAnsi="Times New Roman" w:cs="Times New Roman"/>
        </w:rPr>
        <w:t>ę obszaru, która spowodowana jest między innymi niskim przyrostem naturalnym, odpływem ludzi młodych oraz starzeniem się społeczeństwa</w:t>
      </w:r>
      <w:r w:rsidRPr="00556F45">
        <w:rPr>
          <w:rFonts w:ascii="Times New Roman" w:hAnsi="Times New Roman" w:cs="Times New Roman"/>
        </w:rPr>
        <w:t xml:space="preserve">. </w:t>
      </w:r>
      <w:r>
        <w:rPr>
          <w:rFonts w:ascii="Times New Roman" w:hAnsi="Times New Roman" w:cs="Times New Roman"/>
        </w:rPr>
        <w:t>Działania związane z realizacją LSR powinny być zatem ukierunkowane na zapewnienie mieszkańcom dobrych warunków do rozwoju, tak aby zachęcić ich do pozostania na obszarze oraz powinny być dostosowane do potrzeb osób bez względu na wiek. Planowane przedsięwzięcia powinny być skierowane zarówno do osób młodych, aby zapewnić im równe szanse edukacyjne i rozwojowe, ale także do osób starszych, ze względu na to, iż obszar charakteryzuje starzejące się społeczeństwo.</w:t>
      </w:r>
    </w:p>
    <w:p w14:paraId="1352AFF9" w14:textId="671FE765" w:rsidR="000C0B56" w:rsidRDefault="00A17173" w:rsidP="003354D6">
      <w:pPr>
        <w:spacing w:after="0" w:line="276" w:lineRule="auto"/>
        <w:ind w:firstLine="709"/>
        <w:jc w:val="both"/>
        <w:rPr>
          <w:rFonts w:ascii="Times New Roman" w:hAnsi="Times New Roman" w:cs="Times New Roman"/>
        </w:rPr>
      </w:pPr>
      <w:r>
        <w:rPr>
          <w:rFonts w:ascii="Times New Roman" w:hAnsi="Times New Roman" w:cs="Times New Roman"/>
        </w:rPr>
        <w:t xml:space="preserve">Ważnym czynnikiem świadczącym o potencjale demograficznym danego obszaru jest kwestia związana z budownictwem mieszkaniowym – można go ocenić za pomocą wskaźnika </w:t>
      </w:r>
      <w:r w:rsidRPr="008546D9">
        <w:rPr>
          <w:rFonts w:ascii="Times New Roman" w:hAnsi="Times New Roman" w:cs="Times New Roman"/>
          <w:i/>
          <w:iCs/>
        </w:rPr>
        <w:t xml:space="preserve">pozwolenia wydane na budowę </w:t>
      </w:r>
      <w:r w:rsidRPr="008546D9">
        <w:rPr>
          <w:rFonts w:ascii="Times New Roman" w:hAnsi="Times New Roman" w:cs="Times New Roman"/>
          <w:i/>
          <w:iCs/>
        </w:rPr>
        <w:br/>
        <w:t>i zgłoszenia budowy z projektem budowlanym w przeliczeniu na 10 tys. mieszkańców</w:t>
      </w:r>
      <w:r w:rsidRPr="006153BA">
        <w:rPr>
          <w:rFonts w:ascii="Times New Roman" w:hAnsi="Times New Roman" w:cs="Times New Roman"/>
        </w:rPr>
        <w:t xml:space="preserve">. </w:t>
      </w:r>
      <w:r>
        <w:rPr>
          <w:rFonts w:ascii="Times New Roman" w:hAnsi="Times New Roman" w:cs="Times New Roman"/>
        </w:rPr>
        <w:t xml:space="preserve">Wysoka wartość tego wskaźnika oznacza, że ludzie chętnie inwestują w dane miejsce jako miejsce zamieszkania – akumulują w nim swój majątek i chcą się w nim osiedlić. Wskaźnik ten </w:t>
      </w:r>
      <w:r w:rsidR="009C564A">
        <w:rPr>
          <w:rFonts w:ascii="Times New Roman" w:hAnsi="Times New Roman" w:cs="Times New Roman"/>
        </w:rPr>
        <w:t xml:space="preserve">w 2021 r. </w:t>
      </w:r>
      <w:r>
        <w:rPr>
          <w:rFonts w:ascii="Times New Roman" w:hAnsi="Times New Roman" w:cs="Times New Roman"/>
        </w:rPr>
        <w:t xml:space="preserve">dla LGD był wyższy niż średnia dla województwa i kraju, co </w:t>
      </w:r>
      <w:r w:rsidR="009C564A">
        <w:rPr>
          <w:rFonts w:ascii="Times New Roman" w:hAnsi="Times New Roman" w:cs="Times New Roman"/>
        </w:rPr>
        <w:t>przedstawiono na wykresie</w:t>
      </w:r>
      <w:r>
        <w:rPr>
          <w:rFonts w:ascii="Times New Roman" w:hAnsi="Times New Roman" w:cs="Times New Roman"/>
        </w:rPr>
        <w:t xml:space="preserve"> </w:t>
      </w:r>
      <w:r w:rsidR="00F46D3D">
        <w:rPr>
          <w:rFonts w:ascii="Times New Roman" w:hAnsi="Times New Roman" w:cs="Times New Roman"/>
        </w:rPr>
        <w:t>5</w:t>
      </w:r>
      <w:r>
        <w:rPr>
          <w:rFonts w:ascii="Times New Roman" w:hAnsi="Times New Roman" w:cs="Times New Roman"/>
        </w:rPr>
        <w:t>.</w:t>
      </w:r>
      <w:r w:rsidR="000C0B56">
        <w:rPr>
          <w:rFonts w:ascii="Times New Roman" w:hAnsi="Times New Roman" w:cs="Times New Roman"/>
        </w:rPr>
        <w:br w:type="page"/>
      </w:r>
    </w:p>
    <w:p w14:paraId="6635B175" w14:textId="008FE2D8" w:rsidR="00A17173" w:rsidRPr="00F82468" w:rsidRDefault="00A17173" w:rsidP="00026B8D">
      <w:pPr>
        <w:pStyle w:val="Legenda"/>
        <w:spacing w:after="0"/>
        <w:jc w:val="center"/>
        <w:rPr>
          <w:rFonts w:ascii="Times New Roman" w:hAnsi="Times New Roman" w:cs="Times New Roman"/>
          <w:b/>
          <w:bCs/>
          <w:i w:val="0"/>
          <w:iCs w:val="0"/>
          <w:color w:val="000000" w:themeColor="text1"/>
          <w:sz w:val="20"/>
          <w:szCs w:val="20"/>
        </w:rPr>
      </w:pPr>
      <w:bookmarkStart w:id="40" w:name="_Toc135896520"/>
      <w:r w:rsidRPr="00A73AC7">
        <w:rPr>
          <w:rFonts w:ascii="Times New Roman" w:hAnsi="Times New Roman" w:cs="Times New Roman"/>
          <w:b/>
          <w:bCs/>
          <w:i w:val="0"/>
          <w:iCs w:val="0"/>
          <w:color w:val="000000" w:themeColor="text1"/>
          <w:sz w:val="20"/>
          <w:szCs w:val="20"/>
        </w:rPr>
        <w:lastRenderedPageBreak/>
        <w:t xml:space="preserve">Wykres </w:t>
      </w:r>
      <w:r w:rsidRPr="00A73AC7">
        <w:rPr>
          <w:rFonts w:ascii="Times New Roman" w:hAnsi="Times New Roman" w:cs="Times New Roman"/>
          <w:b/>
          <w:bCs/>
          <w:i w:val="0"/>
          <w:iCs w:val="0"/>
          <w:color w:val="000000" w:themeColor="text1"/>
          <w:sz w:val="20"/>
          <w:szCs w:val="20"/>
        </w:rPr>
        <w:fldChar w:fldCharType="begin"/>
      </w:r>
      <w:r w:rsidRPr="00A73AC7">
        <w:rPr>
          <w:rFonts w:ascii="Times New Roman" w:hAnsi="Times New Roman" w:cs="Times New Roman"/>
          <w:b/>
          <w:bCs/>
          <w:i w:val="0"/>
          <w:iCs w:val="0"/>
          <w:color w:val="000000" w:themeColor="text1"/>
          <w:sz w:val="20"/>
          <w:szCs w:val="20"/>
        </w:rPr>
        <w:instrText xml:space="preserve"> SEQ Wykres \* ARABIC </w:instrText>
      </w:r>
      <w:r w:rsidRPr="00A73AC7">
        <w:rPr>
          <w:rFonts w:ascii="Times New Roman" w:hAnsi="Times New Roman" w:cs="Times New Roman"/>
          <w:b/>
          <w:bCs/>
          <w:i w:val="0"/>
          <w:iCs w:val="0"/>
          <w:color w:val="000000" w:themeColor="text1"/>
          <w:sz w:val="20"/>
          <w:szCs w:val="20"/>
        </w:rPr>
        <w:fldChar w:fldCharType="separate"/>
      </w:r>
      <w:r w:rsidR="00F46D3D">
        <w:rPr>
          <w:rFonts w:ascii="Times New Roman" w:hAnsi="Times New Roman" w:cs="Times New Roman"/>
          <w:b/>
          <w:bCs/>
          <w:i w:val="0"/>
          <w:iCs w:val="0"/>
          <w:noProof/>
          <w:color w:val="000000" w:themeColor="text1"/>
          <w:sz w:val="20"/>
          <w:szCs w:val="20"/>
        </w:rPr>
        <w:t>5</w:t>
      </w:r>
      <w:r w:rsidRPr="00A73AC7">
        <w:rPr>
          <w:rFonts w:ascii="Times New Roman" w:hAnsi="Times New Roman" w:cs="Times New Roman"/>
          <w:b/>
          <w:bCs/>
          <w:i w:val="0"/>
          <w:iCs w:val="0"/>
          <w:color w:val="000000" w:themeColor="text1"/>
          <w:sz w:val="20"/>
          <w:szCs w:val="20"/>
        </w:rPr>
        <w:fldChar w:fldCharType="end"/>
      </w:r>
      <w:r w:rsidRPr="00A73AC7">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P</w:t>
      </w:r>
      <w:r w:rsidRPr="008F6817">
        <w:rPr>
          <w:rFonts w:ascii="Times New Roman" w:hAnsi="Times New Roman" w:cs="Times New Roman"/>
          <w:b/>
          <w:bCs/>
          <w:i w:val="0"/>
          <w:iCs w:val="0"/>
          <w:color w:val="000000" w:themeColor="text1"/>
          <w:sz w:val="20"/>
          <w:szCs w:val="20"/>
        </w:rPr>
        <w:t xml:space="preserve">ozwolenia wydane na budowę i zgłoszenia budowy z projektem budowlanym w przeliczeniu na 10 tys. mieszkańców </w:t>
      </w:r>
      <w:r>
        <w:rPr>
          <w:rFonts w:ascii="Times New Roman" w:hAnsi="Times New Roman" w:cs="Times New Roman"/>
          <w:b/>
          <w:bCs/>
          <w:i w:val="0"/>
          <w:iCs w:val="0"/>
          <w:color w:val="000000" w:themeColor="text1"/>
          <w:sz w:val="20"/>
          <w:szCs w:val="20"/>
        </w:rPr>
        <w:t>na obszarze</w:t>
      </w:r>
      <w:r w:rsidRPr="00596EFB">
        <w:rPr>
          <w:rFonts w:ascii="Times New Roman" w:hAnsi="Times New Roman" w:cs="Times New Roman"/>
          <w:b/>
          <w:bCs/>
          <w:i w:val="0"/>
          <w:iCs w:val="0"/>
          <w:color w:val="000000" w:themeColor="text1"/>
          <w:sz w:val="20"/>
          <w:szCs w:val="20"/>
        </w:rPr>
        <w:t xml:space="preserve"> LGD w porównaniu do województwa i kraju w 2021 r</w:t>
      </w:r>
      <w:r>
        <w:rPr>
          <w:rFonts w:ascii="Times New Roman" w:hAnsi="Times New Roman" w:cs="Times New Roman"/>
          <w:b/>
          <w:bCs/>
          <w:i w:val="0"/>
          <w:iCs w:val="0"/>
          <w:color w:val="000000" w:themeColor="text1"/>
          <w:sz w:val="20"/>
          <w:szCs w:val="20"/>
        </w:rPr>
        <w:t>.</w:t>
      </w:r>
      <w:bookmarkEnd w:id="40"/>
    </w:p>
    <w:p w14:paraId="34E5B2B7" w14:textId="7E65B9DB" w:rsidR="00A17173" w:rsidRDefault="00026B8D" w:rsidP="00026B8D">
      <w:pPr>
        <w:spacing w:after="0"/>
        <w:jc w:val="center"/>
        <w:rPr>
          <w:rFonts w:ascii="Times New Roman" w:hAnsi="Times New Roman" w:cs="Times New Roman"/>
          <w:b/>
          <w:bCs/>
          <w:color w:val="000000" w:themeColor="text1"/>
          <w:sz w:val="20"/>
          <w:szCs w:val="20"/>
        </w:rPr>
      </w:pPr>
      <w:r>
        <w:rPr>
          <w:noProof/>
        </w:rPr>
        <w:drawing>
          <wp:inline distT="0" distB="0" distL="0" distR="0" wp14:anchorId="1F97F3CE" wp14:editId="1BE5EBE0">
            <wp:extent cx="4048125" cy="1562100"/>
            <wp:effectExtent l="0" t="0" r="0" b="0"/>
            <wp:docPr id="76" name="Wykres 7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05EED2" w14:textId="77777777" w:rsidR="00A17173" w:rsidRDefault="00A17173" w:rsidP="00A17173">
      <w:pPr>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09988199" w14:textId="77777777" w:rsidR="00A17173" w:rsidRPr="00D06602" w:rsidRDefault="00A17173" w:rsidP="00813AD1">
      <w:pPr>
        <w:pStyle w:val="podnagowek"/>
        <w:numPr>
          <w:ilvl w:val="1"/>
          <w:numId w:val="16"/>
        </w:numPr>
        <w:spacing w:after="0" w:line="276" w:lineRule="auto"/>
        <w:outlineLvl w:val="9"/>
        <w:rPr>
          <w:sz w:val="22"/>
          <w:szCs w:val="22"/>
        </w:rPr>
      </w:pPr>
      <w:bookmarkStart w:id="41" w:name="_Toc111101334"/>
      <w:bookmarkStart w:id="42" w:name="_Hlk113294609"/>
      <w:bookmarkStart w:id="43" w:name="_Toc132578923"/>
      <w:r w:rsidRPr="00875755">
        <w:rPr>
          <w:sz w:val="22"/>
          <w:szCs w:val="22"/>
        </w:rPr>
        <w:t>Charakterystyka gospodarki, przedsiębiorczości i sektora społeczn</w:t>
      </w:r>
      <w:bookmarkEnd w:id="41"/>
      <w:bookmarkEnd w:id="42"/>
      <w:r w:rsidRPr="00875755">
        <w:rPr>
          <w:sz w:val="22"/>
          <w:szCs w:val="22"/>
        </w:rPr>
        <w:t>ego</w:t>
      </w:r>
      <w:bookmarkEnd w:id="43"/>
    </w:p>
    <w:p w14:paraId="3AB078E3" w14:textId="4DFD00DB" w:rsidR="00A17173" w:rsidRDefault="00A17173" w:rsidP="003354D6">
      <w:pPr>
        <w:spacing w:after="0" w:line="276" w:lineRule="auto"/>
        <w:ind w:firstLine="708"/>
        <w:jc w:val="both"/>
        <w:rPr>
          <w:rFonts w:ascii="Times New Roman" w:hAnsi="Times New Roman" w:cs="Times New Roman"/>
          <w:color w:val="000000" w:themeColor="text1"/>
        </w:rPr>
      </w:pPr>
      <w:r>
        <w:rPr>
          <w:rFonts w:ascii="Times New Roman" w:hAnsi="Times New Roman" w:cs="Times New Roman"/>
        </w:rPr>
        <w:t xml:space="preserve">Sytuację gospodarczą obszaru </w:t>
      </w:r>
      <w:r w:rsidR="00C01880">
        <w:rPr>
          <w:rFonts w:ascii="Times New Roman" w:hAnsi="Times New Roman" w:cs="Times New Roman"/>
        </w:rPr>
        <w:t>Bialskopodlask</w:t>
      </w:r>
      <w:r w:rsidR="009C564A">
        <w:rPr>
          <w:rFonts w:ascii="Times New Roman" w:hAnsi="Times New Roman" w:cs="Times New Roman"/>
        </w:rPr>
        <w:t>iej</w:t>
      </w:r>
      <w:r w:rsidR="00C01880">
        <w:rPr>
          <w:rFonts w:ascii="Times New Roman" w:hAnsi="Times New Roman" w:cs="Times New Roman"/>
        </w:rPr>
        <w:t xml:space="preserve"> </w:t>
      </w:r>
      <w:r>
        <w:rPr>
          <w:rFonts w:ascii="Times New Roman" w:hAnsi="Times New Roman" w:cs="Times New Roman"/>
        </w:rPr>
        <w:t xml:space="preserve">LGD odzwierciedlają wskaźniki gospodarcze tj. </w:t>
      </w:r>
      <w:r w:rsidRPr="00317EC1">
        <w:rPr>
          <w:rFonts w:ascii="Times New Roman" w:hAnsi="Times New Roman" w:cs="Times New Roman"/>
          <w:i/>
          <w:iCs/>
          <w:color w:val="000000" w:themeColor="text1"/>
        </w:rPr>
        <w:t>liczba podmiotów wpisanych do rejestru REGON na 10 tys. ludności</w:t>
      </w:r>
      <w:r>
        <w:rPr>
          <w:rFonts w:ascii="Times New Roman" w:hAnsi="Times New Roman" w:cs="Times New Roman"/>
          <w:color w:val="000000" w:themeColor="text1"/>
        </w:rPr>
        <w:t xml:space="preserve"> oraz</w:t>
      </w:r>
      <w:r w:rsidRPr="00317EC1">
        <w:rPr>
          <w:rFonts w:ascii="Times New Roman" w:hAnsi="Times New Roman" w:cs="Times New Roman"/>
          <w:color w:val="000000" w:themeColor="text1"/>
        </w:rPr>
        <w:t xml:space="preserve"> </w:t>
      </w:r>
      <w:r>
        <w:rPr>
          <w:rFonts w:ascii="Times New Roman" w:hAnsi="Times New Roman" w:cs="Times New Roman"/>
          <w:i/>
          <w:iCs/>
          <w:color w:val="000000" w:themeColor="text1"/>
        </w:rPr>
        <w:t>podmioty</w:t>
      </w:r>
      <w:r w:rsidRPr="00317EC1">
        <w:rPr>
          <w:rFonts w:ascii="Times New Roman" w:hAnsi="Times New Roman" w:cs="Times New Roman"/>
          <w:i/>
          <w:iCs/>
          <w:color w:val="000000" w:themeColor="text1"/>
        </w:rPr>
        <w:t xml:space="preserve"> nowo zarejestrowane w rejestrze REGON na 10 tys. ludności</w:t>
      </w:r>
      <w:r>
        <w:rPr>
          <w:rFonts w:ascii="Times New Roman" w:hAnsi="Times New Roman" w:cs="Times New Roman"/>
          <w:i/>
          <w:iCs/>
          <w:color w:val="000000" w:themeColor="text1"/>
        </w:rPr>
        <w:t xml:space="preserve"> w wieku produkcyjnym</w:t>
      </w:r>
      <w:r>
        <w:rPr>
          <w:rFonts w:ascii="Times New Roman" w:hAnsi="Times New Roman" w:cs="Times New Roman"/>
          <w:color w:val="000000" w:themeColor="text1"/>
        </w:rPr>
        <w:t>.</w:t>
      </w:r>
    </w:p>
    <w:p w14:paraId="1F1A800C" w14:textId="509A0B9E" w:rsidR="00A17173" w:rsidRPr="007756F0" w:rsidRDefault="00A17173" w:rsidP="003D1A36">
      <w:pPr>
        <w:spacing w:after="0" w:line="276" w:lineRule="auto"/>
        <w:ind w:firstLine="709"/>
        <w:jc w:val="both"/>
        <w:rPr>
          <w:rFonts w:ascii="Times New Roman" w:hAnsi="Times New Roman" w:cs="Times New Roman"/>
          <w:color w:val="000000" w:themeColor="text1"/>
        </w:rPr>
      </w:pPr>
      <w:bookmarkStart w:id="44" w:name="_Toc115335595"/>
      <w:r>
        <w:rPr>
          <w:rFonts w:ascii="Times New Roman" w:hAnsi="Times New Roman" w:cs="Times New Roman"/>
          <w:color w:val="000000" w:themeColor="text1"/>
        </w:rPr>
        <w:t xml:space="preserve">W tabeli </w:t>
      </w:r>
      <w:r w:rsidR="001E060A">
        <w:rPr>
          <w:rFonts w:ascii="Times New Roman" w:hAnsi="Times New Roman" w:cs="Times New Roman"/>
          <w:color w:val="000000" w:themeColor="text1"/>
        </w:rPr>
        <w:t>3</w:t>
      </w:r>
      <w:r>
        <w:rPr>
          <w:rFonts w:ascii="Times New Roman" w:hAnsi="Times New Roman" w:cs="Times New Roman"/>
          <w:color w:val="000000" w:themeColor="text1"/>
        </w:rPr>
        <w:t xml:space="preserve"> przedstawiono wskaźniki gospodarcze dla LGD oraz województwa</w:t>
      </w:r>
      <w:r w:rsidR="00C01880">
        <w:rPr>
          <w:rFonts w:ascii="Times New Roman" w:hAnsi="Times New Roman" w:cs="Times New Roman"/>
          <w:color w:val="000000" w:themeColor="text1"/>
        </w:rPr>
        <w:t xml:space="preserve"> lubelskiego</w:t>
      </w:r>
      <w:r>
        <w:rPr>
          <w:rFonts w:ascii="Times New Roman" w:hAnsi="Times New Roman" w:cs="Times New Roman"/>
          <w:color w:val="000000" w:themeColor="text1"/>
        </w:rPr>
        <w:t xml:space="preserve"> i Polski w latach 2016–2021. Na przestrzeni analizowanych lat </w:t>
      </w:r>
      <w:r w:rsidRPr="002F551D">
        <w:rPr>
          <w:rFonts w:ascii="Times New Roman" w:hAnsi="Times New Roman" w:cs="Times New Roman"/>
          <w:i/>
          <w:iCs/>
          <w:color w:val="000000" w:themeColor="text1"/>
        </w:rPr>
        <w:t>liczba podmiotów wpisanych do rejestru REGON na 10 tys. ludności</w:t>
      </w:r>
      <w:r>
        <w:rPr>
          <w:rFonts w:ascii="Times New Roman" w:hAnsi="Times New Roman" w:cs="Times New Roman"/>
          <w:color w:val="000000" w:themeColor="text1"/>
        </w:rPr>
        <w:t xml:space="preserve"> uległa zmianom i w ostatnim badanym roku wynosiła </w:t>
      </w:r>
      <w:r w:rsidR="004216CF">
        <w:rPr>
          <w:rFonts w:ascii="Times New Roman" w:hAnsi="Times New Roman" w:cs="Times New Roman"/>
          <w:color w:val="000000" w:themeColor="text1"/>
        </w:rPr>
        <w:t>761</w:t>
      </w:r>
      <w:r>
        <w:rPr>
          <w:rFonts w:ascii="Times New Roman" w:hAnsi="Times New Roman" w:cs="Times New Roman"/>
          <w:color w:val="000000" w:themeColor="text1"/>
        </w:rPr>
        <w:t>. Mimo pozytywnego trendu, wartość ta była zdecydowanie niższa niż średnia dla Polski (1 27</w:t>
      </w:r>
      <w:r w:rsidR="004216CF">
        <w:rPr>
          <w:rFonts w:ascii="Times New Roman" w:hAnsi="Times New Roman" w:cs="Times New Roman"/>
          <w:color w:val="000000" w:themeColor="text1"/>
        </w:rPr>
        <w:t>0</w:t>
      </w:r>
      <w:r>
        <w:rPr>
          <w:rFonts w:ascii="Times New Roman" w:hAnsi="Times New Roman" w:cs="Times New Roman"/>
          <w:color w:val="000000" w:themeColor="text1"/>
        </w:rPr>
        <w:t xml:space="preserve">) oraz województwa </w:t>
      </w:r>
      <w:r w:rsidR="004216CF">
        <w:rPr>
          <w:rFonts w:ascii="Times New Roman" w:hAnsi="Times New Roman" w:cs="Times New Roman"/>
          <w:color w:val="000000" w:themeColor="text1"/>
        </w:rPr>
        <w:t>lubelskiego</w:t>
      </w:r>
      <w:r>
        <w:rPr>
          <w:rFonts w:ascii="Times New Roman" w:hAnsi="Times New Roman" w:cs="Times New Roman"/>
          <w:color w:val="000000" w:themeColor="text1"/>
        </w:rPr>
        <w:t xml:space="preserve"> (</w:t>
      </w:r>
      <w:r w:rsidR="009C564A">
        <w:rPr>
          <w:rFonts w:ascii="Times New Roman" w:hAnsi="Times New Roman" w:cs="Times New Roman"/>
          <w:color w:val="000000" w:themeColor="text1"/>
        </w:rPr>
        <w:t>979</w:t>
      </w:r>
      <w:r>
        <w:rPr>
          <w:rFonts w:ascii="Times New Roman" w:hAnsi="Times New Roman" w:cs="Times New Roman"/>
          <w:color w:val="000000" w:themeColor="text1"/>
        </w:rPr>
        <w:t xml:space="preserve">). </w:t>
      </w:r>
      <w:r w:rsidR="009C564A">
        <w:rPr>
          <w:rFonts w:ascii="Times New Roman" w:hAnsi="Times New Roman" w:cs="Times New Roman"/>
          <w:color w:val="000000" w:themeColor="text1"/>
        </w:rPr>
        <w:t>Natomiast wartość wskaźnika</w:t>
      </w:r>
      <w:r>
        <w:rPr>
          <w:rFonts w:ascii="Times New Roman" w:hAnsi="Times New Roman" w:cs="Times New Roman"/>
          <w:color w:val="000000" w:themeColor="text1"/>
        </w:rPr>
        <w:t xml:space="preserve"> </w:t>
      </w:r>
      <w:r w:rsidRPr="007756F0">
        <w:rPr>
          <w:rFonts w:ascii="Times New Roman" w:hAnsi="Times New Roman" w:cs="Times New Roman"/>
          <w:i/>
          <w:iCs/>
          <w:color w:val="000000" w:themeColor="text1"/>
        </w:rPr>
        <w:t xml:space="preserve">liczba podmiotów nowo zarejestrowanych w rejestrze REGON na 10 tys. </w:t>
      </w:r>
      <w:r>
        <w:rPr>
          <w:rFonts w:ascii="Times New Roman" w:hAnsi="Times New Roman" w:cs="Times New Roman"/>
          <w:i/>
          <w:iCs/>
          <w:color w:val="000000" w:themeColor="text1"/>
        </w:rPr>
        <w:t xml:space="preserve">ludności w wieku produkcyjnym </w:t>
      </w:r>
      <w:r w:rsidR="009C564A">
        <w:rPr>
          <w:rFonts w:ascii="Times New Roman" w:hAnsi="Times New Roman" w:cs="Times New Roman"/>
          <w:color w:val="000000" w:themeColor="text1"/>
        </w:rPr>
        <w:t>dla LGD wahała się</w:t>
      </w:r>
      <w:r>
        <w:rPr>
          <w:rFonts w:ascii="Times New Roman" w:hAnsi="Times New Roman" w:cs="Times New Roman"/>
          <w:color w:val="000000" w:themeColor="text1"/>
        </w:rPr>
        <w:t xml:space="preserve"> z każdym rokiem i w 2021 r. wyn</w:t>
      </w:r>
      <w:r w:rsidR="009C564A">
        <w:rPr>
          <w:rFonts w:ascii="Times New Roman" w:hAnsi="Times New Roman" w:cs="Times New Roman"/>
          <w:color w:val="000000" w:themeColor="text1"/>
        </w:rPr>
        <w:t>iosła</w:t>
      </w:r>
      <w:r w:rsidR="004216CF">
        <w:rPr>
          <w:rFonts w:ascii="Times New Roman" w:hAnsi="Times New Roman" w:cs="Times New Roman"/>
          <w:color w:val="000000" w:themeColor="text1"/>
        </w:rPr>
        <w:t xml:space="preserve"> </w:t>
      </w:r>
      <w:r>
        <w:rPr>
          <w:rFonts w:ascii="Times New Roman" w:hAnsi="Times New Roman" w:cs="Times New Roman"/>
          <w:color w:val="000000" w:themeColor="text1"/>
        </w:rPr>
        <w:t>1</w:t>
      </w:r>
      <w:r w:rsidR="004216CF">
        <w:rPr>
          <w:rFonts w:ascii="Times New Roman" w:hAnsi="Times New Roman" w:cs="Times New Roman"/>
          <w:color w:val="000000" w:themeColor="text1"/>
        </w:rPr>
        <w:t>05</w:t>
      </w:r>
      <w:r>
        <w:rPr>
          <w:rFonts w:ascii="Times New Roman" w:hAnsi="Times New Roman" w:cs="Times New Roman"/>
          <w:color w:val="000000" w:themeColor="text1"/>
        </w:rPr>
        <w:t xml:space="preserve">, </w:t>
      </w:r>
      <w:r w:rsidR="004216CF">
        <w:rPr>
          <w:rFonts w:ascii="Times New Roman" w:hAnsi="Times New Roman" w:cs="Times New Roman"/>
          <w:color w:val="000000" w:themeColor="text1"/>
        </w:rPr>
        <w:t>ale</w:t>
      </w:r>
      <w:r>
        <w:rPr>
          <w:rFonts w:ascii="Times New Roman" w:hAnsi="Times New Roman" w:cs="Times New Roman"/>
          <w:color w:val="000000" w:themeColor="text1"/>
        </w:rPr>
        <w:t xml:space="preserve"> była </w:t>
      </w:r>
      <w:r w:rsidR="004216CF">
        <w:rPr>
          <w:rFonts w:ascii="Times New Roman" w:hAnsi="Times New Roman" w:cs="Times New Roman"/>
          <w:color w:val="000000" w:themeColor="text1"/>
        </w:rPr>
        <w:t xml:space="preserve">niższa </w:t>
      </w:r>
      <w:r>
        <w:rPr>
          <w:rFonts w:ascii="Times New Roman" w:hAnsi="Times New Roman" w:cs="Times New Roman"/>
          <w:color w:val="000000" w:themeColor="text1"/>
        </w:rPr>
        <w:t>od średniej dla województwa (1</w:t>
      </w:r>
      <w:r w:rsidR="004216CF">
        <w:rPr>
          <w:rFonts w:ascii="Times New Roman" w:hAnsi="Times New Roman" w:cs="Times New Roman"/>
          <w:color w:val="000000" w:themeColor="text1"/>
        </w:rPr>
        <w:t>36</w:t>
      </w:r>
      <w:r>
        <w:rPr>
          <w:rFonts w:ascii="Times New Roman" w:hAnsi="Times New Roman" w:cs="Times New Roman"/>
          <w:color w:val="000000" w:themeColor="text1"/>
        </w:rPr>
        <w:t>) oraz kraju (16</w:t>
      </w:r>
      <w:r w:rsidR="004216CF">
        <w:rPr>
          <w:rFonts w:ascii="Times New Roman" w:hAnsi="Times New Roman" w:cs="Times New Roman"/>
          <w:color w:val="000000" w:themeColor="text1"/>
        </w:rPr>
        <w:t>3</w:t>
      </w:r>
      <w:r>
        <w:rPr>
          <w:rFonts w:ascii="Times New Roman" w:hAnsi="Times New Roman" w:cs="Times New Roman"/>
          <w:color w:val="000000" w:themeColor="text1"/>
        </w:rPr>
        <w:t xml:space="preserve">). </w:t>
      </w:r>
      <w:r w:rsidR="004216CF">
        <w:rPr>
          <w:rFonts w:ascii="Times New Roman" w:hAnsi="Times New Roman" w:cs="Times New Roman"/>
          <w:color w:val="000000" w:themeColor="text1"/>
        </w:rPr>
        <w:t>Jednak</w:t>
      </w:r>
      <w:r>
        <w:rPr>
          <w:rFonts w:ascii="Times New Roman" w:hAnsi="Times New Roman" w:cs="Times New Roman"/>
          <w:color w:val="000000" w:themeColor="text1"/>
        </w:rPr>
        <w:t xml:space="preserve"> pozytywnym zjawiskiem jest dynamika zmian analizowanych wskaźników </w:t>
      </w:r>
      <w:r w:rsidRPr="0013213D">
        <w:rPr>
          <w:rFonts w:cs="Times New Roman"/>
          <w:color w:val="000000" w:themeColor="text1"/>
        </w:rPr>
        <w:t>(</w:t>
      </w:r>
      <w:r w:rsidRPr="007756F0">
        <w:rPr>
          <w:rFonts w:ascii="Times New Roman" w:hAnsi="Times New Roman" w:cs="Times New Roman"/>
          <w:color w:val="000000" w:themeColor="text1"/>
        </w:rPr>
        <w:t>wzrost/spadek wartości wskaźników w 2021 r. w stosunku do 2016 r.)</w:t>
      </w:r>
      <w:r>
        <w:rPr>
          <w:rFonts w:ascii="Times New Roman" w:hAnsi="Times New Roman" w:cs="Times New Roman"/>
          <w:color w:val="000000" w:themeColor="text1"/>
        </w:rPr>
        <w:t xml:space="preserve">, która </w:t>
      </w:r>
      <w:r w:rsidRPr="007756F0">
        <w:rPr>
          <w:rFonts w:ascii="Times New Roman" w:hAnsi="Times New Roman" w:cs="Times New Roman"/>
          <w:color w:val="000000" w:themeColor="text1"/>
        </w:rPr>
        <w:t>dla LGD</w:t>
      </w:r>
      <w:r>
        <w:rPr>
          <w:rFonts w:ascii="Times New Roman" w:hAnsi="Times New Roman" w:cs="Times New Roman"/>
          <w:color w:val="000000" w:themeColor="text1"/>
        </w:rPr>
        <w:t xml:space="preserve"> była większa od dynamiki zmian dla </w:t>
      </w:r>
      <w:r w:rsidRPr="007756F0">
        <w:rPr>
          <w:rFonts w:ascii="Times New Roman" w:hAnsi="Times New Roman" w:cs="Times New Roman"/>
          <w:color w:val="000000" w:themeColor="text1"/>
        </w:rPr>
        <w:t xml:space="preserve">województwa </w:t>
      </w:r>
      <w:r w:rsidR="009C564A">
        <w:rPr>
          <w:rFonts w:ascii="Times New Roman" w:hAnsi="Times New Roman" w:cs="Times New Roman"/>
          <w:color w:val="000000" w:themeColor="text1"/>
        </w:rPr>
        <w:br/>
      </w:r>
      <w:r w:rsidRPr="007756F0">
        <w:rPr>
          <w:rFonts w:ascii="Times New Roman" w:hAnsi="Times New Roman" w:cs="Times New Roman"/>
          <w:color w:val="000000" w:themeColor="text1"/>
        </w:rPr>
        <w:t>i kraju</w:t>
      </w:r>
      <w:r>
        <w:rPr>
          <w:rFonts w:ascii="Times New Roman" w:hAnsi="Times New Roman" w:cs="Times New Roman"/>
          <w:color w:val="000000" w:themeColor="text1"/>
        </w:rPr>
        <w:t xml:space="preserve"> (wykres </w:t>
      </w:r>
      <w:r w:rsidR="00F46D3D">
        <w:rPr>
          <w:rFonts w:ascii="Times New Roman" w:hAnsi="Times New Roman" w:cs="Times New Roman"/>
          <w:color w:val="000000" w:themeColor="text1"/>
        </w:rPr>
        <w:t>6</w:t>
      </w:r>
      <w:r>
        <w:rPr>
          <w:rFonts w:ascii="Times New Roman" w:hAnsi="Times New Roman" w:cs="Times New Roman"/>
          <w:color w:val="000000" w:themeColor="text1"/>
        </w:rPr>
        <w:t>)</w:t>
      </w:r>
      <w:r w:rsidRPr="007756F0">
        <w:rPr>
          <w:rFonts w:ascii="Times New Roman" w:hAnsi="Times New Roman" w:cs="Times New Roman"/>
          <w:color w:val="000000" w:themeColor="text1"/>
        </w:rPr>
        <w:t xml:space="preserve">. </w:t>
      </w:r>
    </w:p>
    <w:p w14:paraId="56AF0F32" w14:textId="7EDE8E05" w:rsidR="00A17173" w:rsidRDefault="00A17173" w:rsidP="00A17173">
      <w:pPr>
        <w:pStyle w:val="Legenda"/>
        <w:spacing w:after="0"/>
        <w:jc w:val="center"/>
        <w:rPr>
          <w:rFonts w:ascii="Times New Roman" w:hAnsi="Times New Roman" w:cs="Times New Roman"/>
          <w:color w:val="000000" w:themeColor="text1"/>
        </w:rPr>
      </w:pPr>
      <w:bookmarkStart w:id="45" w:name="_Toc135896545"/>
      <w:r w:rsidRPr="00A31C32">
        <w:rPr>
          <w:rFonts w:ascii="Times New Roman" w:hAnsi="Times New Roman" w:cs="Times New Roman"/>
          <w:b/>
          <w:bCs/>
          <w:i w:val="0"/>
          <w:iCs w:val="0"/>
          <w:color w:val="000000" w:themeColor="text1"/>
          <w:sz w:val="20"/>
          <w:szCs w:val="20"/>
        </w:rPr>
        <w:t xml:space="preserve">Tabela </w:t>
      </w:r>
      <w:r w:rsidRPr="00A31C32">
        <w:rPr>
          <w:rFonts w:ascii="Times New Roman" w:hAnsi="Times New Roman" w:cs="Times New Roman"/>
          <w:b/>
          <w:bCs/>
          <w:i w:val="0"/>
          <w:iCs w:val="0"/>
          <w:color w:val="000000" w:themeColor="text1"/>
          <w:sz w:val="20"/>
          <w:szCs w:val="20"/>
        </w:rPr>
        <w:fldChar w:fldCharType="begin"/>
      </w:r>
      <w:r w:rsidRPr="00A31C32">
        <w:rPr>
          <w:rFonts w:ascii="Times New Roman" w:hAnsi="Times New Roman" w:cs="Times New Roman"/>
          <w:b/>
          <w:bCs/>
          <w:i w:val="0"/>
          <w:iCs w:val="0"/>
          <w:color w:val="000000" w:themeColor="text1"/>
          <w:sz w:val="20"/>
          <w:szCs w:val="20"/>
        </w:rPr>
        <w:instrText xml:space="preserve"> SEQ Tabela \* ARABIC </w:instrText>
      </w:r>
      <w:r w:rsidRPr="00A31C32">
        <w:rPr>
          <w:rFonts w:ascii="Times New Roman" w:hAnsi="Times New Roman" w:cs="Times New Roman"/>
          <w:b/>
          <w:bCs/>
          <w:i w:val="0"/>
          <w:iCs w:val="0"/>
          <w:color w:val="000000" w:themeColor="text1"/>
          <w:sz w:val="20"/>
          <w:szCs w:val="20"/>
        </w:rPr>
        <w:fldChar w:fldCharType="separate"/>
      </w:r>
      <w:r w:rsidR="00090F4A">
        <w:rPr>
          <w:rFonts w:ascii="Times New Roman" w:hAnsi="Times New Roman" w:cs="Times New Roman"/>
          <w:b/>
          <w:bCs/>
          <w:i w:val="0"/>
          <w:iCs w:val="0"/>
          <w:noProof/>
          <w:color w:val="000000" w:themeColor="text1"/>
          <w:sz w:val="20"/>
          <w:szCs w:val="20"/>
        </w:rPr>
        <w:t>3</w:t>
      </w:r>
      <w:r w:rsidRPr="00A31C32">
        <w:rPr>
          <w:rFonts w:ascii="Times New Roman" w:hAnsi="Times New Roman" w:cs="Times New Roman"/>
          <w:b/>
          <w:bCs/>
          <w:i w:val="0"/>
          <w:iCs w:val="0"/>
          <w:color w:val="000000" w:themeColor="text1"/>
          <w:sz w:val="20"/>
          <w:szCs w:val="20"/>
        </w:rPr>
        <w:fldChar w:fldCharType="end"/>
      </w:r>
      <w:r w:rsidRPr="000A32D8">
        <w:rPr>
          <w:rFonts w:ascii="Times New Roman" w:hAnsi="Times New Roman" w:cs="Times New Roman"/>
          <w:b/>
          <w:bCs/>
          <w:i w:val="0"/>
          <w:iCs w:val="0"/>
          <w:color w:val="000000" w:themeColor="text1"/>
          <w:sz w:val="20"/>
          <w:szCs w:val="20"/>
        </w:rPr>
        <w:t xml:space="preserve"> </w:t>
      </w:r>
      <w:bookmarkStart w:id="46" w:name="_Hlk113294889"/>
      <w:r>
        <w:rPr>
          <w:rFonts w:ascii="Times New Roman" w:hAnsi="Times New Roman" w:cs="Times New Roman"/>
          <w:b/>
          <w:bCs/>
          <w:i w:val="0"/>
          <w:iCs w:val="0"/>
          <w:color w:val="000000" w:themeColor="text1"/>
          <w:sz w:val="20"/>
          <w:szCs w:val="20"/>
        </w:rPr>
        <w:t xml:space="preserve">Wskaźniki gospodarcze dla </w:t>
      </w:r>
      <w:r w:rsidRPr="00394BEE">
        <w:rPr>
          <w:rFonts w:ascii="Times New Roman" w:hAnsi="Times New Roman" w:cs="Times New Roman"/>
          <w:b/>
          <w:bCs/>
          <w:i w:val="0"/>
          <w:iCs w:val="0"/>
          <w:color w:val="000000" w:themeColor="text1"/>
          <w:sz w:val="20"/>
          <w:szCs w:val="20"/>
        </w:rPr>
        <w:t xml:space="preserve">średniej </w:t>
      </w:r>
      <w:r>
        <w:rPr>
          <w:rFonts w:ascii="Times New Roman" w:hAnsi="Times New Roman" w:cs="Times New Roman"/>
          <w:b/>
          <w:bCs/>
          <w:i w:val="0"/>
          <w:iCs w:val="0"/>
          <w:color w:val="000000" w:themeColor="text1"/>
          <w:sz w:val="20"/>
          <w:szCs w:val="20"/>
        </w:rPr>
        <w:t xml:space="preserve">obszaru </w:t>
      </w:r>
      <w:r w:rsidRPr="00394BEE">
        <w:rPr>
          <w:rFonts w:ascii="Times New Roman" w:hAnsi="Times New Roman" w:cs="Times New Roman"/>
          <w:b/>
          <w:bCs/>
          <w:i w:val="0"/>
          <w:iCs w:val="0"/>
          <w:color w:val="000000" w:themeColor="text1"/>
          <w:sz w:val="20"/>
          <w:szCs w:val="20"/>
        </w:rPr>
        <w:t xml:space="preserve">LGD </w:t>
      </w:r>
      <w:r w:rsidR="009C564A">
        <w:rPr>
          <w:rFonts w:ascii="Times New Roman" w:hAnsi="Times New Roman" w:cs="Times New Roman"/>
          <w:b/>
          <w:bCs/>
          <w:i w:val="0"/>
          <w:iCs w:val="0"/>
          <w:color w:val="000000" w:themeColor="text1"/>
          <w:sz w:val="20"/>
          <w:szCs w:val="20"/>
        </w:rPr>
        <w:t xml:space="preserve">w porównaniu </w:t>
      </w:r>
      <w:r w:rsidRPr="00394BEE">
        <w:rPr>
          <w:rFonts w:ascii="Times New Roman" w:hAnsi="Times New Roman" w:cs="Times New Roman"/>
          <w:b/>
          <w:bCs/>
          <w:i w:val="0"/>
          <w:iCs w:val="0"/>
          <w:color w:val="000000" w:themeColor="text1"/>
          <w:sz w:val="20"/>
          <w:szCs w:val="20"/>
        </w:rPr>
        <w:t>do województwa i</w:t>
      </w:r>
      <w:r>
        <w:rPr>
          <w:rFonts w:ascii="Times New Roman" w:hAnsi="Times New Roman" w:cs="Times New Roman"/>
          <w:b/>
          <w:bCs/>
          <w:i w:val="0"/>
          <w:iCs w:val="0"/>
          <w:color w:val="000000" w:themeColor="text1"/>
          <w:sz w:val="20"/>
          <w:szCs w:val="20"/>
        </w:rPr>
        <w:t> </w:t>
      </w:r>
      <w:r w:rsidRPr="00394BEE">
        <w:rPr>
          <w:rFonts w:ascii="Times New Roman" w:hAnsi="Times New Roman" w:cs="Times New Roman"/>
          <w:b/>
          <w:bCs/>
          <w:i w:val="0"/>
          <w:iCs w:val="0"/>
          <w:color w:val="000000" w:themeColor="text1"/>
          <w:sz w:val="20"/>
          <w:szCs w:val="20"/>
        </w:rPr>
        <w:t>kraju w latach 201</w:t>
      </w:r>
      <w:r>
        <w:rPr>
          <w:rFonts w:ascii="Times New Roman" w:hAnsi="Times New Roman" w:cs="Times New Roman"/>
          <w:b/>
          <w:bCs/>
          <w:i w:val="0"/>
          <w:iCs w:val="0"/>
          <w:color w:val="000000" w:themeColor="text1"/>
          <w:sz w:val="20"/>
          <w:szCs w:val="20"/>
        </w:rPr>
        <w:t>6</w:t>
      </w:r>
      <w:r w:rsidRPr="00394BEE">
        <w:rPr>
          <w:rFonts w:ascii="Times New Roman" w:hAnsi="Times New Roman" w:cs="Times New Roman"/>
          <w:b/>
          <w:bCs/>
          <w:i w:val="0"/>
          <w:iCs w:val="0"/>
          <w:color w:val="000000" w:themeColor="text1"/>
          <w:sz w:val="20"/>
          <w:szCs w:val="20"/>
        </w:rPr>
        <w:t>–202</w:t>
      </w:r>
      <w:bookmarkEnd w:id="44"/>
      <w:bookmarkEnd w:id="46"/>
      <w:r>
        <w:rPr>
          <w:rFonts w:ascii="Times New Roman" w:hAnsi="Times New Roman" w:cs="Times New Roman"/>
          <w:b/>
          <w:bCs/>
          <w:i w:val="0"/>
          <w:iCs w:val="0"/>
          <w:color w:val="000000" w:themeColor="text1"/>
          <w:sz w:val="20"/>
          <w:szCs w:val="20"/>
        </w:rPr>
        <w:t>1</w:t>
      </w:r>
      <w:bookmarkEnd w:id="45"/>
    </w:p>
    <w:tbl>
      <w:tblPr>
        <w:tblW w:w="5000" w:type="pct"/>
        <w:tblCellMar>
          <w:left w:w="70" w:type="dxa"/>
          <w:right w:w="70" w:type="dxa"/>
        </w:tblCellMar>
        <w:tblLook w:val="04A0" w:firstRow="1" w:lastRow="0" w:firstColumn="1" w:lastColumn="0" w:noHBand="0" w:noVBand="1"/>
      </w:tblPr>
      <w:tblGrid>
        <w:gridCol w:w="2079"/>
        <w:gridCol w:w="717"/>
        <w:gridCol w:w="717"/>
        <w:gridCol w:w="717"/>
        <w:gridCol w:w="717"/>
        <w:gridCol w:w="719"/>
        <w:gridCol w:w="721"/>
        <w:gridCol w:w="609"/>
        <w:gridCol w:w="610"/>
        <w:gridCol w:w="610"/>
        <w:gridCol w:w="610"/>
        <w:gridCol w:w="610"/>
        <w:gridCol w:w="612"/>
        <w:gridCol w:w="146"/>
      </w:tblGrid>
      <w:tr w:rsidR="00C01880" w:rsidRPr="00BA2D0A" w14:paraId="14322BE9" w14:textId="77777777" w:rsidTr="000F4949">
        <w:trPr>
          <w:gridAfter w:val="1"/>
          <w:wAfter w:w="43" w:type="pct"/>
          <w:trHeight w:val="450"/>
        </w:trPr>
        <w:tc>
          <w:tcPr>
            <w:tcW w:w="8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BF2F1F"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Jednostka terytorialna</w:t>
            </w:r>
          </w:p>
        </w:tc>
        <w:tc>
          <w:tcPr>
            <w:tcW w:w="2217" w:type="pct"/>
            <w:gridSpan w:val="6"/>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F7FA79B"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 xml:space="preserve">Podmioty wpisane do rejestru REGON na 10 tys. ludności </w:t>
            </w:r>
          </w:p>
        </w:tc>
        <w:tc>
          <w:tcPr>
            <w:tcW w:w="1897" w:type="pct"/>
            <w:gridSpan w:val="6"/>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F4DBC00"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 xml:space="preserve">Podmioty nowo zarejestrowane </w:t>
            </w:r>
            <w:r>
              <w:rPr>
                <w:rFonts w:ascii="Times New Roman" w:eastAsia="Times New Roman" w:hAnsi="Times New Roman" w:cs="Times New Roman"/>
                <w:b/>
                <w:bCs/>
                <w:color w:val="000000"/>
                <w:sz w:val="20"/>
                <w:szCs w:val="20"/>
                <w:lang w:eastAsia="pl-PL"/>
              </w:rPr>
              <w:br/>
              <w:t xml:space="preserve">w rejestrze REGON </w:t>
            </w:r>
            <w:r w:rsidRPr="00BA2D0A">
              <w:rPr>
                <w:rFonts w:ascii="Times New Roman" w:eastAsia="Times New Roman" w:hAnsi="Times New Roman" w:cs="Times New Roman"/>
                <w:b/>
                <w:bCs/>
                <w:color w:val="000000"/>
                <w:sz w:val="20"/>
                <w:szCs w:val="20"/>
                <w:lang w:eastAsia="pl-PL"/>
              </w:rPr>
              <w:t xml:space="preserve">na 10 tys. ludności w wieku produkcyjnym </w:t>
            </w:r>
          </w:p>
        </w:tc>
      </w:tr>
      <w:tr w:rsidR="00C01880" w:rsidRPr="00BA2D0A" w14:paraId="1B100C79" w14:textId="77777777" w:rsidTr="000F4949">
        <w:trPr>
          <w:trHeight w:val="340"/>
        </w:trPr>
        <w:tc>
          <w:tcPr>
            <w:tcW w:w="843" w:type="pct"/>
            <w:vMerge/>
            <w:tcBorders>
              <w:top w:val="single" w:sz="4" w:space="0" w:color="auto"/>
              <w:left w:val="single" w:sz="4" w:space="0" w:color="auto"/>
              <w:bottom w:val="single" w:sz="4" w:space="0" w:color="auto"/>
              <w:right w:val="single" w:sz="4" w:space="0" w:color="auto"/>
            </w:tcBorders>
            <w:vAlign w:val="center"/>
            <w:hideMark/>
          </w:tcPr>
          <w:p w14:paraId="63CB504D" w14:textId="77777777" w:rsidR="00C01880" w:rsidRPr="00BA2D0A" w:rsidRDefault="00C01880" w:rsidP="000F4949">
            <w:pPr>
              <w:spacing w:after="0" w:line="240" w:lineRule="auto"/>
              <w:rPr>
                <w:rFonts w:ascii="Times New Roman" w:eastAsia="Times New Roman" w:hAnsi="Times New Roman" w:cs="Times New Roman"/>
                <w:b/>
                <w:bCs/>
                <w:color w:val="000000"/>
                <w:sz w:val="20"/>
                <w:szCs w:val="20"/>
                <w:lang w:eastAsia="pl-PL"/>
              </w:rPr>
            </w:pPr>
          </w:p>
        </w:tc>
        <w:tc>
          <w:tcPr>
            <w:tcW w:w="2217" w:type="pct"/>
            <w:gridSpan w:val="6"/>
            <w:vMerge/>
            <w:tcBorders>
              <w:top w:val="single" w:sz="4" w:space="0" w:color="auto"/>
              <w:left w:val="single" w:sz="4" w:space="0" w:color="auto"/>
              <w:bottom w:val="single" w:sz="4" w:space="0" w:color="auto"/>
              <w:right w:val="single" w:sz="4" w:space="0" w:color="auto"/>
            </w:tcBorders>
            <w:vAlign w:val="center"/>
            <w:hideMark/>
          </w:tcPr>
          <w:p w14:paraId="09D47ED4" w14:textId="77777777" w:rsidR="00C01880" w:rsidRPr="00BA2D0A" w:rsidRDefault="00C01880" w:rsidP="000F4949">
            <w:pPr>
              <w:spacing w:after="0" w:line="240" w:lineRule="auto"/>
              <w:rPr>
                <w:rFonts w:ascii="Times New Roman" w:eastAsia="Times New Roman" w:hAnsi="Times New Roman" w:cs="Times New Roman"/>
                <w:b/>
                <w:bCs/>
                <w:color w:val="000000"/>
                <w:sz w:val="20"/>
                <w:szCs w:val="20"/>
                <w:lang w:eastAsia="pl-PL"/>
              </w:rPr>
            </w:pPr>
          </w:p>
        </w:tc>
        <w:tc>
          <w:tcPr>
            <w:tcW w:w="1897" w:type="pct"/>
            <w:gridSpan w:val="6"/>
            <w:vMerge/>
            <w:tcBorders>
              <w:top w:val="single" w:sz="4" w:space="0" w:color="auto"/>
              <w:left w:val="single" w:sz="4" w:space="0" w:color="auto"/>
              <w:bottom w:val="single" w:sz="4" w:space="0" w:color="auto"/>
              <w:right w:val="single" w:sz="4" w:space="0" w:color="auto"/>
            </w:tcBorders>
            <w:vAlign w:val="center"/>
            <w:hideMark/>
          </w:tcPr>
          <w:p w14:paraId="38125139" w14:textId="77777777" w:rsidR="00C01880" w:rsidRPr="00BA2D0A" w:rsidRDefault="00C01880" w:rsidP="000F4949">
            <w:pPr>
              <w:spacing w:after="0" w:line="240" w:lineRule="auto"/>
              <w:rPr>
                <w:rFonts w:ascii="Times New Roman" w:eastAsia="Times New Roman" w:hAnsi="Times New Roman" w:cs="Times New Roman"/>
                <w:b/>
                <w:bCs/>
                <w:color w:val="000000"/>
                <w:sz w:val="20"/>
                <w:szCs w:val="20"/>
                <w:lang w:eastAsia="pl-PL"/>
              </w:rPr>
            </w:pPr>
          </w:p>
        </w:tc>
        <w:tc>
          <w:tcPr>
            <w:tcW w:w="43" w:type="pct"/>
            <w:tcBorders>
              <w:top w:val="nil"/>
              <w:left w:val="nil"/>
              <w:bottom w:val="nil"/>
              <w:right w:val="nil"/>
            </w:tcBorders>
            <w:shd w:val="clear" w:color="auto" w:fill="auto"/>
            <w:noWrap/>
            <w:vAlign w:val="bottom"/>
            <w:hideMark/>
          </w:tcPr>
          <w:p w14:paraId="31C2D91D"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p>
        </w:tc>
      </w:tr>
      <w:tr w:rsidR="00C01880" w:rsidRPr="00BA2D0A" w14:paraId="5BC9AD74" w14:textId="77777777" w:rsidTr="000F4949">
        <w:trPr>
          <w:trHeight w:val="340"/>
        </w:trPr>
        <w:tc>
          <w:tcPr>
            <w:tcW w:w="843" w:type="pct"/>
            <w:vMerge/>
            <w:tcBorders>
              <w:top w:val="single" w:sz="4" w:space="0" w:color="auto"/>
              <w:left w:val="single" w:sz="4" w:space="0" w:color="auto"/>
              <w:bottom w:val="single" w:sz="4" w:space="0" w:color="auto"/>
              <w:right w:val="single" w:sz="4" w:space="0" w:color="auto"/>
            </w:tcBorders>
            <w:vAlign w:val="center"/>
            <w:hideMark/>
          </w:tcPr>
          <w:p w14:paraId="51BB36C0" w14:textId="77777777" w:rsidR="00C01880" w:rsidRPr="00BA2D0A" w:rsidRDefault="00C01880" w:rsidP="000F4949">
            <w:pPr>
              <w:spacing w:after="0" w:line="240" w:lineRule="auto"/>
              <w:rPr>
                <w:rFonts w:ascii="Times New Roman" w:eastAsia="Times New Roman" w:hAnsi="Times New Roman" w:cs="Times New Roman"/>
                <w:b/>
                <w:bCs/>
                <w:color w:val="000000"/>
                <w:sz w:val="20"/>
                <w:szCs w:val="20"/>
                <w:lang w:eastAsia="pl-PL"/>
              </w:rPr>
            </w:pPr>
          </w:p>
        </w:tc>
        <w:tc>
          <w:tcPr>
            <w:tcW w:w="369" w:type="pct"/>
            <w:tcBorders>
              <w:top w:val="nil"/>
              <w:left w:val="nil"/>
              <w:bottom w:val="single" w:sz="4" w:space="0" w:color="auto"/>
              <w:right w:val="single" w:sz="4" w:space="0" w:color="auto"/>
            </w:tcBorders>
            <w:shd w:val="clear" w:color="000000" w:fill="F2F2F2"/>
            <w:noWrap/>
            <w:vAlign w:val="center"/>
            <w:hideMark/>
          </w:tcPr>
          <w:p w14:paraId="163057D1"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2016</w:t>
            </w:r>
          </w:p>
        </w:tc>
        <w:tc>
          <w:tcPr>
            <w:tcW w:w="369" w:type="pct"/>
            <w:tcBorders>
              <w:top w:val="nil"/>
              <w:left w:val="nil"/>
              <w:bottom w:val="single" w:sz="4" w:space="0" w:color="auto"/>
              <w:right w:val="single" w:sz="4" w:space="0" w:color="auto"/>
            </w:tcBorders>
            <w:shd w:val="clear" w:color="000000" w:fill="F2F2F2"/>
            <w:noWrap/>
            <w:vAlign w:val="center"/>
            <w:hideMark/>
          </w:tcPr>
          <w:p w14:paraId="57A5AE43"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2017</w:t>
            </w:r>
          </w:p>
        </w:tc>
        <w:tc>
          <w:tcPr>
            <w:tcW w:w="369" w:type="pct"/>
            <w:tcBorders>
              <w:top w:val="nil"/>
              <w:left w:val="nil"/>
              <w:bottom w:val="single" w:sz="4" w:space="0" w:color="auto"/>
              <w:right w:val="single" w:sz="4" w:space="0" w:color="auto"/>
            </w:tcBorders>
            <w:shd w:val="clear" w:color="000000" w:fill="F2F2F2"/>
            <w:noWrap/>
            <w:vAlign w:val="center"/>
            <w:hideMark/>
          </w:tcPr>
          <w:p w14:paraId="0A1B292B"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2018</w:t>
            </w:r>
          </w:p>
        </w:tc>
        <w:tc>
          <w:tcPr>
            <w:tcW w:w="369" w:type="pct"/>
            <w:tcBorders>
              <w:top w:val="nil"/>
              <w:left w:val="nil"/>
              <w:bottom w:val="single" w:sz="4" w:space="0" w:color="auto"/>
              <w:right w:val="single" w:sz="4" w:space="0" w:color="auto"/>
            </w:tcBorders>
            <w:shd w:val="clear" w:color="000000" w:fill="F2F2F2"/>
            <w:noWrap/>
            <w:vAlign w:val="center"/>
            <w:hideMark/>
          </w:tcPr>
          <w:p w14:paraId="4F070E84"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2019</w:t>
            </w:r>
          </w:p>
        </w:tc>
        <w:tc>
          <w:tcPr>
            <w:tcW w:w="370" w:type="pct"/>
            <w:tcBorders>
              <w:top w:val="nil"/>
              <w:left w:val="nil"/>
              <w:bottom w:val="single" w:sz="4" w:space="0" w:color="auto"/>
              <w:right w:val="single" w:sz="4" w:space="0" w:color="auto"/>
            </w:tcBorders>
            <w:shd w:val="clear" w:color="000000" w:fill="F2F2F2"/>
            <w:noWrap/>
            <w:vAlign w:val="center"/>
            <w:hideMark/>
          </w:tcPr>
          <w:p w14:paraId="5CC4CB1F"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2020</w:t>
            </w:r>
          </w:p>
        </w:tc>
        <w:tc>
          <w:tcPr>
            <w:tcW w:w="370" w:type="pct"/>
            <w:tcBorders>
              <w:top w:val="nil"/>
              <w:left w:val="nil"/>
              <w:bottom w:val="single" w:sz="4" w:space="0" w:color="auto"/>
              <w:right w:val="single" w:sz="4" w:space="0" w:color="auto"/>
            </w:tcBorders>
            <w:shd w:val="clear" w:color="000000" w:fill="F2F2F2"/>
            <w:noWrap/>
            <w:vAlign w:val="center"/>
            <w:hideMark/>
          </w:tcPr>
          <w:p w14:paraId="04B1570E"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2021</w:t>
            </w:r>
          </w:p>
        </w:tc>
        <w:tc>
          <w:tcPr>
            <w:tcW w:w="316" w:type="pct"/>
            <w:tcBorders>
              <w:top w:val="nil"/>
              <w:left w:val="nil"/>
              <w:bottom w:val="single" w:sz="4" w:space="0" w:color="auto"/>
              <w:right w:val="single" w:sz="4" w:space="0" w:color="auto"/>
            </w:tcBorders>
            <w:shd w:val="clear" w:color="000000" w:fill="F2F2F2"/>
            <w:noWrap/>
            <w:vAlign w:val="center"/>
            <w:hideMark/>
          </w:tcPr>
          <w:p w14:paraId="2265720E"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2016</w:t>
            </w:r>
          </w:p>
        </w:tc>
        <w:tc>
          <w:tcPr>
            <w:tcW w:w="316" w:type="pct"/>
            <w:tcBorders>
              <w:top w:val="nil"/>
              <w:left w:val="nil"/>
              <w:bottom w:val="single" w:sz="4" w:space="0" w:color="auto"/>
              <w:right w:val="single" w:sz="4" w:space="0" w:color="auto"/>
            </w:tcBorders>
            <w:shd w:val="clear" w:color="000000" w:fill="F2F2F2"/>
            <w:noWrap/>
            <w:vAlign w:val="center"/>
            <w:hideMark/>
          </w:tcPr>
          <w:p w14:paraId="28D53EE1"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2017</w:t>
            </w:r>
          </w:p>
        </w:tc>
        <w:tc>
          <w:tcPr>
            <w:tcW w:w="316" w:type="pct"/>
            <w:tcBorders>
              <w:top w:val="nil"/>
              <w:left w:val="nil"/>
              <w:bottom w:val="single" w:sz="4" w:space="0" w:color="auto"/>
              <w:right w:val="single" w:sz="4" w:space="0" w:color="auto"/>
            </w:tcBorders>
            <w:shd w:val="clear" w:color="000000" w:fill="F2F2F2"/>
            <w:noWrap/>
            <w:vAlign w:val="center"/>
            <w:hideMark/>
          </w:tcPr>
          <w:p w14:paraId="17DA15A2"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2018</w:t>
            </w:r>
          </w:p>
        </w:tc>
        <w:tc>
          <w:tcPr>
            <w:tcW w:w="316" w:type="pct"/>
            <w:tcBorders>
              <w:top w:val="nil"/>
              <w:left w:val="nil"/>
              <w:bottom w:val="single" w:sz="4" w:space="0" w:color="auto"/>
              <w:right w:val="single" w:sz="4" w:space="0" w:color="auto"/>
            </w:tcBorders>
            <w:shd w:val="clear" w:color="000000" w:fill="F2F2F2"/>
            <w:noWrap/>
            <w:vAlign w:val="center"/>
            <w:hideMark/>
          </w:tcPr>
          <w:p w14:paraId="247C9DCD"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2019</w:t>
            </w:r>
          </w:p>
        </w:tc>
        <w:tc>
          <w:tcPr>
            <w:tcW w:w="316" w:type="pct"/>
            <w:tcBorders>
              <w:top w:val="nil"/>
              <w:left w:val="nil"/>
              <w:bottom w:val="single" w:sz="4" w:space="0" w:color="auto"/>
              <w:right w:val="single" w:sz="4" w:space="0" w:color="auto"/>
            </w:tcBorders>
            <w:shd w:val="clear" w:color="000000" w:fill="F2F2F2"/>
            <w:noWrap/>
            <w:vAlign w:val="center"/>
            <w:hideMark/>
          </w:tcPr>
          <w:p w14:paraId="5BBE92EB"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2020</w:t>
            </w:r>
          </w:p>
        </w:tc>
        <w:tc>
          <w:tcPr>
            <w:tcW w:w="316" w:type="pct"/>
            <w:tcBorders>
              <w:top w:val="nil"/>
              <w:left w:val="nil"/>
              <w:bottom w:val="single" w:sz="4" w:space="0" w:color="auto"/>
              <w:right w:val="single" w:sz="4" w:space="0" w:color="auto"/>
            </w:tcBorders>
            <w:shd w:val="clear" w:color="000000" w:fill="F2F2F2"/>
            <w:noWrap/>
            <w:vAlign w:val="center"/>
            <w:hideMark/>
          </w:tcPr>
          <w:p w14:paraId="39172C38"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2021</w:t>
            </w:r>
          </w:p>
        </w:tc>
        <w:tc>
          <w:tcPr>
            <w:tcW w:w="43" w:type="pct"/>
            <w:vAlign w:val="center"/>
            <w:hideMark/>
          </w:tcPr>
          <w:p w14:paraId="49083AEF" w14:textId="77777777" w:rsidR="00C01880" w:rsidRPr="00BA2D0A" w:rsidRDefault="00C01880" w:rsidP="000F4949">
            <w:pPr>
              <w:spacing w:after="0" w:line="240" w:lineRule="auto"/>
              <w:rPr>
                <w:rFonts w:ascii="Times New Roman" w:eastAsia="Times New Roman" w:hAnsi="Times New Roman" w:cs="Times New Roman"/>
                <w:sz w:val="20"/>
                <w:szCs w:val="20"/>
                <w:lang w:eastAsia="pl-PL"/>
              </w:rPr>
            </w:pPr>
          </w:p>
        </w:tc>
      </w:tr>
      <w:tr w:rsidR="00C01880" w:rsidRPr="00BA2D0A" w14:paraId="30780AD8" w14:textId="77777777" w:rsidTr="000F4949">
        <w:trPr>
          <w:trHeight w:val="340"/>
        </w:trPr>
        <w:tc>
          <w:tcPr>
            <w:tcW w:w="843" w:type="pct"/>
            <w:tcBorders>
              <w:top w:val="nil"/>
              <w:left w:val="single" w:sz="4" w:space="0" w:color="auto"/>
              <w:bottom w:val="single" w:sz="4" w:space="0" w:color="auto"/>
              <w:right w:val="single" w:sz="4" w:space="0" w:color="auto"/>
            </w:tcBorders>
            <w:shd w:val="clear" w:color="auto" w:fill="auto"/>
            <w:noWrap/>
            <w:vAlign w:val="center"/>
            <w:hideMark/>
          </w:tcPr>
          <w:p w14:paraId="631011AE" w14:textId="77777777" w:rsidR="00C01880" w:rsidRPr="00BA2D0A" w:rsidRDefault="00C01880" w:rsidP="000F4949">
            <w:pPr>
              <w:spacing w:after="0" w:line="240" w:lineRule="auto"/>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 xml:space="preserve">Bialskopodlaska LGD </w:t>
            </w:r>
          </w:p>
        </w:tc>
        <w:tc>
          <w:tcPr>
            <w:tcW w:w="369" w:type="pct"/>
            <w:tcBorders>
              <w:top w:val="nil"/>
              <w:left w:val="nil"/>
              <w:bottom w:val="single" w:sz="4" w:space="0" w:color="auto"/>
              <w:right w:val="single" w:sz="4" w:space="0" w:color="auto"/>
            </w:tcBorders>
            <w:shd w:val="clear" w:color="auto" w:fill="auto"/>
            <w:noWrap/>
            <w:vAlign w:val="center"/>
            <w:hideMark/>
          </w:tcPr>
          <w:p w14:paraId="7A83388B"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597</w:t>
            </w:r>
          </w:p>
        </w:tc>
        <w:tc>
          <w:tcPr>
            <w:tcW w:w="369" w:type="pct"/>
            <w:tcBorders>
              <w:top w:val="nil"/>
              <w:left w:val="nil"/>
              <w:bottom w:val="single" w:sz="4" w:space="0" w:color="auto"/>
              <w:right w:val="single" w:sz="4" w:space="0" w:color="auto"/>
            </w:tcBorders>
            <w:shd w:val="clear" w:color="auto" w:fill="auto"/>
            <w:noWrap/>
            <w:vAlign w:val="center"/>
            <w:hideMark/>
          </w:tcPr>
          <w:p w14:paraId="171D21C3"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617</w:t>
            </w:r>
          </w:p>
        </w:tc>
        <w:tc>
          <w:tcPr>
            <w:tcW w:w="369" w:type="pct"/>
            <w:tcBorders>
              <w:top w:val="nil"/>
              <w:left w:val="nil"/>
              <w:bottom w:val="single" w:sz="4" w:space="0" w:color="auto"/>
              <w:right w:val="single" w:sz="4" w:space="0" w:color="auto"/>
            </w:tcBorders>
            <w:shd w:val="clear" w:color="auto" w:fill="auto"/>
            <w:noWrap/>
            <w:vAlign w:val="center"/>
            <w:hideMark/>
          </w:tcPr>
          <w:p w14:paraId="53A4F3A8"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639</w:t>
            </w:r>
          </w:p>
        </w:tc>
        <w:tc>
          <w:tcPr>
            <w:tcW w:w="369" w:type="pct"/>
            <w:tcBorders>
              <w:top w:val="nil"/>
              <w:left w:val="nil"/>
              <w:bottom w:val="single" w:sz="4" w:space="0" w:color="auto"/>
              <w:right w:val="single" w:sz="4" w:space="0" w:color="auto"/>
            </w:tcBorders>
            <w:shd w:val="clear" w:color="auto" w:fill="auto"/>
            <w:noWrap/>
            <w:vAlign w:val="center"/>
            <w:hideMark/>
          </w:tcPr>
          <w:p w14:paraId="7A24483F"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668</w:t>
            </w:r>
          </w:p>
        </w:tc>
        <w:tc>
          <w:tcPr>
            <w:tcW w:w="370" w:type="pct"/>
            <w:tcBorders>
              <w:top w:val="nil"/>
              <w:left w:val="nil"/>
              <w:bottom w:val="single" w:sz="4" w:space="0" w:color="auto"/>
              <w:right w:val="single" w:sz="4" w:space="0" w:color="auto"/>
            </w:tcBorders>
            <w:shd w:val="clear" w:color="auto" w:fill="auto"/>
            <w:noWrap/>
            <w:vAlign w:val="center"/>
            <w:hideMark/>
          </w:tcPr>
          <w:p w14:paraId="5CF49F62"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722</w:t>
            </w:r>
          </w:p>
        </w:tc>
        <w:tc>
          <w:tcPr>
            <w:tcW w:w="370" w:type="pct"/>
            <w:tcBorders>
              <w:top w:val="nil"/>
              <w:left w:val="nil"/>
              <w:bottom w:val="single" w:sz="4" w:space="0" w:color="auto"/>
              <w:right w:val="single" w:sz="4" w:space="0" w:color="auto"/>
            </w:tcBorders>
            <w:shd w:val="clear" w:color="auto" w:fill="auto"/>
            <w:noWrap/>
            <w:vAlign w:val="center"/>
            <w:hideMark/>
          </w:tcPr>
          <w:p w14:paraId="2F934E3D"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761</w:t>
            </w:r>
          </w:p>
        </w:tc>
        <w:tc>
          <w:tcPr>
            <w:tcW w:w="316" w:type="pct"/>
            <w:tcBorders>
              <w:top w:val="nil"/>
              <w:left w:val="nil"/>
              <w:bottom w:val="single" w:sz="4" w:space="0" w:color="auto"/>
              <w:right w:val="single" w:sz="4" w:space="0" w:color="auto"/>
            </w:tcBorders>
            <w:shd w:val="clear" w:color="auto" w:fill="auto"/>
            <w:noWrap/>
            <w:vAlign w:val="center"/>
            <w:hideMark/>
          </w:tcPr>
          <w:p w14:paraId="412D599E"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80</w:t>
            </w:r>
          </w:p>
        </w:tc>
        <w:tc>
          <w:tcPr>
            <w:tcW w:w="316" w:type="pct"/>
            <w:tcBorders>
              <w:top w:val="nil"/>
              <w:left w:val="nil"/>
              <w:bottom w:val="single" w:sz="4" w:space="0" w:color="auto"/>
              <w:right w:val="single" w:sz="4" w:space="0" w:color="auto"/>
            </w:tcBorders>
            <w:shd w:val="clear" w:color="auto" w:fill="auto"/>
            <w:noWrap/>
            <w:vAlign w:val="center"/>
            <w:hideMark/>
          </w:tcPr>
          <w:p w14:paraId="03D3EBFA"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95</w:t>
            </w:r>
          </w:p>
        </w:tc>
        <w:tc>
          <w:tcPr>
            <w:tcW w:w="316" w:type="pct"/>
            <w:tcBorders>
              <w:top w:val="nil"/>
              <w:left w:val="nil"/>
              <w:bottom w:val="single" w:sz="4" w:space="0" w:color="auto"/>
              <w:right w:val="single" w:sz="4" w:space="0" w:color="auto"/>
            </w:tcBorders>
            <w:shd w:val="clear" w:color="auto" w:fill="auto"/>
            <w:noWrap/>
            <w:vAlign w:val="center"/>
            <w:hideMark/>
          </w:tcPr>
          <w:p w14:paraId="741086AC"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115</w:t>
            </w:r>
          </w:p>
        </w:tc>
        <w:tc>
          <w:tcPr>
            <w:tcW w:w="316" w:type="pct"/>
            <w:tcBorders>
              <w:top w:val="nil"/>
              <w:left w:val="nil"/>
              <w:bottom w:val="single" w:sz="4" w:space="0" w:color="auto"/>
              <w:right w:val="single" w:sz="4" w:space="0" w:color="auto"/>
            </w:tcBorders>
            <w:shd w:val="clear" w:color="auto" w:fill="auto"/>
            <w:noWrap/>
            <w:vAlign w:val="center"/>
            <w:hideMark/>
          </w:tcPr>
          <w:p w14:paraId="390B5ECF"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106</w:t>
            </w:r>
          </w:p>
        </w:tc>
        <w:tc>
          <w:tcPr>
            <w:tcW w:w="316" w:type="pct"/>
            <w:tcBorders>
              <w:top w:val="nil"/>
              <w:left w:val="nil"/>
              <w:bottom w:val="single" w:sz="4" w:space="0" w:color="auto"/>
              <w:right w:val="single" w:sz="4" w:space="0" w:color="auto"/>
            </w:tcBorders>
            <w:shd w:val="clear" w:color="auto" w:fill="auto"/>
            <w:noWrap/>
            <w:vAlign w:val="center"/>
            <w:hideMark/>
          </w:tcPr>
          <w:p w14:paraId="0440FB74"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102</w:t>
            </w:r>
          </w:p>
        </w:tc>
        <w:tc>
          <w:tcPr>
            <w:tcW w:w="316" w:type="pct"/>
            <w:tcBorders>
              <w:top w:val="nil"/>
              <w:left w:val="nil"/>
              <w:bottom w:val="single" w:sz="4" w:space="0" w:color="auto"/>
              <w:right w:val="single" w:sz="4" w:space="0" w:color="auto"/>
            </w:tcBorders>
            <w:shd w:val="clear" w:color="auto" w:fill="auto"/>
            <w:noWrap/>
            <w:vAlign w:val="center"/>
            <w:hideMark/>
          </w:tcPr>
          <w:p w14:paraId="4BFB32DC" w14:textId="77777777" w:rsidR="00C01880" w:rsidRPr="00BA2D0A" w:rsidRDefault="00C01880" w:rsidP="000F4949">
            <w:pPr>
              <w:spacing w:after="0" w:line="240" w:lineRule="auto"/>
              <w:jc w:val="center"/>
              <w:rPr>
                <w:rFonts w:ascii="Times New Roman" w:eastAsia="Times New Roman" w:hAnsi="Times New Roman" w:cs="Times New Roman"/>
                <w:b/>
                <w:bCs/>
                <w:color w:val="000000"/>
                <w:sz w:val="20"/>
                <w:szCs w:val="20"/>
                <w:lang w:eastAsia="pl-PL"/>
              </w:rPr>
            </w:pPr>
            <w:r w:rsidRPr="00BA2D0A">
              <w:rPr>
                <w:rFonts w:ascii="Times New Roman" w:eastAsia="Times New Roman" w:hAnsi="Times New Roman" w:cs="Times New Roman"/>
                <w:b/>
                <w:bCs/>
                <w:color w:val="000000"/>
                <w:sz w:val="20"/>
                <w:szCs w:val="20"/>
                <w:lang w:eastAsia="pl-PL"/>
              </w:rPr>
              <w:t>105</w:t>
            </w:r>
          </w:p>
        </w:tc>
        <w:tc>
          <w:tcPr>
            <w:tcW w:w="43" w:type="pct"/>
            <w:vAlign w:val="center"/>
            <w:hideMark/>
          </w:tcPr>
          <w:p w14:paraId="7EDAF1B8" w14:textId="77777777" w:rsidR="00C01880" w:rsidRPr="00BA2D0A" w:rsidRDefault="00C01880" w:rsidP="000F4949">
            <w:pPr>
              <w:spacing w:after="0" w:line="240" w:lineRule="auto"/>
              <w:rPr>
                <w:rFonts w:ascii="Times New Roman" w:eastAsia="Times New Roman" w:hAnsi="Times New Roman" w:cs="Times New Roman"/>
                <w:sz w:val="20"/>
                <w:szCs w:val="20"/>
                <w:lang w:eastAsia="pl-PL"/>
              </w:rPr>
            </w:pPr>
          </w:p>
        </w:tc>
      </w:tr>
      <w:tr w:rsidR="00C01880" w:rsidRPr="00BA2D0A" w14:paraId="60982E66" w14:textId="77777777" w:rsidTr="000F4949">
        <w:trPr>
          <w:trHeight w:val="340"/>
        </w:trPr>
        <w:tc>
          <w:tcPr>
            <w:tcW w:w="843" w:type="pct"/>
            <w:tcBorders>
              <w:top w:val="nil"/>
              <w:left w:val="single" w:sz="4" w:space="0" w:color="auto"/>
              <w:bottom w:val="single" w:sz="4" w:space="0" w:color="auto"/>
              <w:right w:val="single" w:sz="4" w:space="0" w:color="auto"/>
            </w:tcBorders>
            <w:shd w:val="clear" w:color="auto" w:fill="auto"/>
            <w:noWrap/>
            <w:vAlign w:val="center"/>
            <w:hideMark/>
          </w:tcPr>
          <w:p w14:paraId="0844C2A2" w14:textId="77777777" w:rsidR="00C01880" w:rsidRPr="00BA2D0A" w:rsidRDefault="00C01880" w:rsidP="000F4949">
            <w:pPr>
              <w:spacing w:after="0" w:line="240" w:lineRule="auto"/>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województwo lubelskie</w:t>
            </w:r>
          </w:p>
        </w:tc>
        <w:tc>
          <w:tcPr>
            <w:tcW w:w="369" w:type="pct"/>
            <w:tcBorders>
              <w:top w:val="nil"/>
              <w:left w:val="nil"/>
              <w:bottom w:val="single" w:sz="4" w:space="0" w:color="auto"/>
              <w:right w:val="single" w:sz="4" w:space="0" w:color="auto"/>
            </w:tcBorders>
            <w:shd w:val="clear" w:color="auto" w:fill="auto"/>
            <w:noWrap/>
            <w:vAlign w:val="center"/>
            <w:hideMark/>
          </w:tcPr>
          <w:p w14:paraId="50EB833D"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816</w:t>
            </w:r>
          </w:p>
        </w:tc>
        <w:tc>
          <w:tcPr>
            <w:tcW w:w="369" w:type="pct"/>
            <w:tcBorders>
              <w:top w:val="nil"/>
              <w:left w:val="nil"/>
              <w:bottom w:val="single" w:sz="4" w:space="0" w:color="auto"/>
              <w:right w:val="single" w:sz="4" w:space="0" w:color="auto"/>
            </w:tcBorders>
            <w:shd w:val="clear" w:color="auto" w:fill="auto"/>
            <w:noWrap/>
            <w:vAlign w:val="center"/>
            <w:hideMark/>
          </w:tcPr>
          <w:p w14:paraId="76169273"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834</w:t>
            </w:r>
          </w:p>
        </w:tc>
        <w:tc>
          <w:tcPr>
            <w:tcW w:w="369" w:type="pct"/>
            <w:tcBorders>
              <w:top w:val="nil"/>
              <w:left w:val="nil"/>
              <w:bottom w:val="single" w:sz="4" w:space="0" w:color="auto"/>
              <w:right w:val="single" w:sz="4" w:space="0" w:color="auto"/>
            </w:tcBorders>
            <w:shd w:val="clear" w:color="auto" w:fill="auto"/>
            <w:noWrap/>
            <w:vAlign w:val="center"/>
            <w:hideMark/>
          </w:tcPr>
          <w:p w14:paraId="5AFD3711"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854</w:t>
            </w:r>
          </w:p>
        </w:tc>
        <w:tc>
          <w:tcPr>
            <w:tcW w:w="369" w:type="pct"/>
            <w:tcBorders>
              <w:top w:val="nil"/>
              <w:left w:val="nil"/>
              <w:bottom w:val="single" w:sz="4" w:space="0" w:color="auto"/>
              <w:right w:val="single" w:sz="4" w:space="0" w:color="auto"/>
            </w:tcBorders>
            <w:shd w:val="clear" w:color="auto" w:fill="auto"/>
            <w:noWrap/>
            <w:vAlign w:val="center"/>
            <w:hideMark/>
          </w:tcPr>
          <w:p w14:paraId="3F367997"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879</w:t>
            </w:r>
          </w:p>
        </w:tc>
        <w:tc>
          <w:tcPr>
            <w:tcW w:w="370" w:type="pct"/>
            <w:tcBorders>
              <w:top w:val="nil"/>
              <w:left w:val="nil"/>
              <w:bottom w:val="single" w:sz="4" w:space="0" w:color="auto"/>
              <w:right w:val="single" w:sz="4" w:space="0" w:color="auto"/>
            </w:tcBorders>
            <w:shd w:val="clear" w:color="auto" w:fill="auto"/>
            <w:noWrap/>
            <w:vAlign w:val="center"/>
            <w:hideMark/>
          </w:tcPr>
          <w:p w14:paraId="27E37DB5"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937</w:t>
            </w:r>
          </w:p>
        </w:tc>
        <w:tc>
          <w:tcPr>
            <w:tcW w:w="370" w:type="pct"/>
            <w:tcBorders>
              <w:top w:val="nil"/>
              <w:left w:val="nil"/>
              <w:bottom w:val="single" w:sz="4" w:space="0" w:color="auto"/>
              <w:right w:val="single" w:sz="4" w:space="0" w:color="auto"/>
            </w:tcBorders>
            <w:shd w:val="clear" w:color="auto" w:fill="auto"/>
            <w:noWrap/>
            <w:vAlign w:val="center"/>
            <w:hideMark/>
          </w:tcPr>
          <w:p w14:paraId="5D5A5927"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979</w:t>
            </w:r>
          </w:p>
        </w:tc>
        <w:tc>
          <w:tcPr>
            <w:tcW w:w="316" w:type="pct"/>
            <w:tcBorders>
              <w:top w:val="nil"/>
              <w:left w:val="nil"/>
              <w:bottom w:val="single" w:sz="4" w:space="0" w:color="auto"/>
              <w:right w:val="single" w:sz="4" w:space="0" w:color="auto"/>
            </w:tcBorders>
            <w:shd w:val="clear" w:color="auto" w:fill="auto"/>
            <w:noWrap/>
            <w:vAlign w:val="center"/>
            <w:hideMark/>
          </w:tcPr>
          <w:p w14:paraId="6E1B032F"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109</w:t>
            </w:r>
          </w:p>
        </w:tc>
        <w:tc>
          <w:tcPr>
            <w:tcW w:w="316" w:type="pct"/>
            <w:tcBorders>
              <w:top w:val="nil"/>
              <w:left w:val="nil"/>
              <w:bottom w:val="single" w:sz="4" w:space="0" w:color="auto"/>
              <w:right w:val="single" w:sz="4" w:space="0" w:color="auto"/>
            </w:tcBorders>
            <w:shd w:val="clear" w:color="auto" w:fill="auto"/>
            <w:noWrap/>
            <w:vAlign w:val="center"/>
            <w:hideMark/>
          </w:tcPr>
          <w:p w14:paraId="1D560FFF"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123</w:t>
            </w:r>
          </w:p>
        </w:tc>
        <w:tc>
          <w:tcPr>
            <w:tcW w:w="316" w:type="pct"/>
            <w:tcBorders>
              <w:top w:val="nil"/>
              <w:left w:val="nil"/>
              <w:bottom w:val="single" w:sz="4" w:space="0" w:color="auto"/>
              <w:right w:val="single" w:sz="4" w:space="0" w:color="auto"/>
            </w:tcBorders>
            <w:shd w:val="clear" w:color="auto" w:fill="auto"/>
            <w:noWrap/>
            <w:vAlign w:val="center"/>
            <w:hideMark/>
          </w:tcPr>
          <w:p w14:paraId="09B06F19"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142</w:t>
            </w:r>
          </w:p>
        </w:tc>
        <w:tc>
          <w:tcPr>
            <w:tcW w:w="316" w:type="pct"/>
            <w:tcBorders>
              <w:top w:val="nil"/>
              <w:left w:val="nil"/>
              <w:bottom w:val="single" w:sz="4" w:space="0" w:color="auto"/>
              <w:right w:val="single" w:sz="4" w:space="0" w:color="auto"/>
            </w:tcBorders>
            <w:shd w:val="clear" w:color="auto" w:fill="auto"/>
            <w:noWrap/>
            <w:vAlign w:val="center"/>
            <w:hideMark/>
          </w:tcPr>
          <w:p w14:paraId="50A2D42B"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131</w:t>
            </w:r>
          </w:p>
        </w:tc>
        <w:tc>
          <w:tcPr>
            <w:tcW w:w="316" w:type="pct"/>
            <w:tcBorders>
              <w:top w:val="nil"/>
              <w:left w:val="nil"/>
              <w:bottom w:val="single" w:sz="4" w:space="0" w:color="auto"/>
              <w:right w:val="single" w:sz="4" w:space="0" w:color="auto"/>
            </w:tcBorders>
            <w:shd w:val="clear" w:color="auto" w:fill="auto"/>
            <w:noWrap/>
            <w:vAlign w:val="center"/>
            <w:hideMark/>
          </w:tcPr>
          <w:p w14:paraId="11B25768"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130</w:t>
            </w:r>
          </w:p>
        </w:tc>
        <w:tc>
          <w:tcPr>
            <w:tcW w:w="316" w:type="pct"/>
            <w:tcBorders>
              <w:top w:val="nil"/>
              <w:left w:val="nil"/>
              <w:bottom w:val="single" w:sz="4" w:space="0" w:color="auto"/>
              <w:right w:val="single" w:sz="4" w:space="0" w:color="auto"/>
            </w:tcBorders>
            <w:shd w:val="clear" w:color="auto" w:fill="auto"/>
            <w:noWrap/>
            <w:vAlign w:val="center"/>
            <w:hideMark/>
          </w:tcPr>
          <w:p w14:paraId="01CFE5D6"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136</w:t>
            </w:r>
          </w:p>
        </w:tc>
        <w:tc>
          <w:tcPr>
            <w:tcW w:w="43" w:type="pct"/>
            <w:vAlign w:val="center"/>
            <w:hideMark/>
          </w:tcPr>
          <w:p w14:paraId="1FB0E6EF" w14:textId="77777777" w:rsidR="00C01880" w:rsidRPr="00BA2D0A" w:rsidRDefault="00C01880" w:rsidP="000F4949">
            <w:pPr>
              <w:spacing w:after="0" w:line="240" w:lineRule="auto"/>
              <w:rPr>
                <w:rFonts w:ascii="Times New Roman" w:eastAsia="Times New Roman" w:hAnsi="Times New Roman" w:cs="Times New Roman"/>
                <w:sz w:val="20"/>
                <w:szCs w:val="20"/>
                <w:lang w:eastAsia="pl-PL"/>
              </w:rPr>
            </w:pPr>
          </w:p>
        </w:tc>
      </w:tr>
      <w:tr w:rsidR="00C01880" w:rsidRPr="00BA2D0A" w14:paraId="63B973BD" w14:textId="77777777" w:rsidTr="000F4949">
        <w:trPr>
          <w:trHeight w:val="340"/>
        </w:trPr>
        <w:tc>
          <w:tcPr>
            <w:tcW w:w="843" w:type="pct"/>
            <w:tcBorders>
              <w:top w:val="nil"/>
              <w:left w:val="single" w:sz="4" w:space="0" w:color="auto"/>
              <w:bottom w:val="single" w:sz="4" w:space="0" w:color="auto"/>
              <w:right w:val="single" w:sz="4" w:space="0" w:color="auto"/>
            </w:tcBorders>
            <w:shd w:val="clear" w:color="auto" w:fill="auto"/>
            <w:noWrap/>
            <w:vAlign w:val="center"/>
            <w:hideMark/>
          </w:tcPr>
          <w:p w14:paraId="4938EC26" w14:textId="77777777" w:rsidR="00C01880" w:rsidRPr="00BA2D0A" w:rsidRDefault="00C01880" w:rsidP="000F4949">
            <w:pPr>
              <w:spacing w:after="0" w:line="240" w:lineRule="auto"/>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Polska</w:t>
            </w:r>
          </w:p>
        </w:tc>
        <w:tc>
          <w:tcPr>
            <w:tcW w:w="369" w:type="pct"/>
            <w:tcBorders>
              <w:top w:val="nil"/>
              <w:left w:val="nil"/>
              <w:bottom w:val="single" w:sz="4" w:space="0" w:color="auto"/>
              <w:right w:val="single" w:sz="4" w:space="0" w:color="auto"/>
            </w:tcBorders>
            <w:shd w:val="clear" w:color="auto" w:fill="auto"/>
            <w:noWrap/>
            <w:vAlign w:val="center"/>
            <w:hideMark/>
          </w:tcPr>
          <w:p w14:paraId="27C859A1"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1 103</w:t>
            </w:r>
          </w:p>
        </w:tc>
        <w:tc>
          <w:tcPr>
            <w:tcW w:w="369" w:type="pct"/>
            <w:tcBorders>
              <w:top w:val="nil"/>
              <w:left w:val="nil"/>
              <w:bottom w:val="single" w:sz="4" w:space="0" w:color="auto"/>
              <w:right w:val="single" w:sz="4" w:space="0" w:color="auto"/>
            </w:tcBorders>
            <w:shd w:val="clear" w:color="auto" w:fill="auto"/>
            <w:noWrap/>
            <w:vAlign w:val="center"/>
            <w:hideMark/>
          </w:tcPr>
          <w:p w14:paraId="4C233793"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1 121</w:t>
            </w:r>
          </w:p>
        </w:tc>
        <w:tc>
          <w:tcPr>
            <w:tcW w:w="369" w:type="pct"/>
            <w:tcBorders>
              <w:top w:val="nil"/>
              <w:left w:val="nil"/>
              <w:bottom w:val="single" w:sz="4" w:space="0" w:color="auto"/>
              <w:right w:val="single" w:sz="4" w:space="0" w:color="auto"/>
            </w:tcBorders>
            <w:shd w:val="clear" w:color="auto" w:fill="auto"/>
            <w:noWrap/>
            <w:vAlign w:val="center"/>
            <w:hideMark/>
          </w:tcPr>
          <w:p w14:paraId="7E17E42E"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1 136</w:t>
            </w:r>
          </w:p>
        </w:tc>
        <w:tc>
          <w:tcPr>
            <w:tcW w:w="369" w:type="pct"/>
            <w:tcBorders>
              <w:top w:val="nil"/>
              <w:left w:val="nil"/>
              <w:bottom w:val="single" w:sz="4" w:space="0" w:color="auto"/>
              <w:right w:val="single" w:sz="4" w:space="0" w:color="auto"/>
            </w:tcBorders>
            <w:shd w:val="clear" w:color="auto" w:fill="auto"/>
            <w:noWrap/>
            <w:vAlign w:val="center"/>
            <w:hideMark/>
          </w:tcPr>
          <w:p w14:paraId="7599BA7C"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1 175</w:t>
            </w:r>
          </w:p>
        </w:tc>
        <w:tc>
          <w:tcPr>
            <w:tcW w:w="370" w:type="pct"/>
            <w:tcBorders>
              <w:top w:val="nil"/>
              <w:left w:val="nil"/>
              <w:bottom w:val="single" w:sz="4" w:space="0" w:color="auto"/>
              <w:right w:val="single" w:sz="4" w:space="0" w:color="auto"/>
            </w:tcBorders>
            <w:shd w:val="clear" w:color="auto" w:fill="auto"/>
            <w:noWrap/>
            <w:vAlign w:val="center"/>
            <w:hideMark/>
          </w:tcPr>
          <w:p w14:paraId="259417F7"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1 219</w:t>
            </w:r>
          </w:p>
        </w:tc>
        <w:tc>
          <w:tcPr>
            <w:tcW w:w="370" w:type="pct"/>
            <w:tcBorders>
              <w:top w:val="nil"/>
              <w:left w:val="nil"/>
              <w:bottom w:val="single" w:sz="4" w:space="0" w:color="auto"/>
              <w:right w:val="single" w:sz="4" w:space="0" w:color="auto"/>
            </w:tcBorders>
            <w:shd w:val="clear" w:color="auto" w:fill="auto"/>
            <w:noWrap/>
            <w:vAlign w:val="center"/>
            <w:hideMark/>
          </w:tcPr>
          <w:p w14:paraId="3D682E61"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1 270</w:t>
            </w:r>
          </w:p>
        </w:tc>
        <w:tc>
          <w:tcPr>
            <w:tcW w:w="316" w:type="pct"/>
            <w:tcBorders>
              <w:top w:val="nil"/>
              <w:left w:val="nil"/>
              <w:bottom w:val="single" w:sz="4" w:space="0" w:color="auto"/>
              <w:right w:val="single" w:sz="4" w:space="0" w:color="auto"/>
            </w:tcBorders>
            <w:shd w:val="clear" w:color="auto" w:fill="auto"/>
            <w:noWrap/>
            <w:vAlign w:val="center"/>
            <w:hideMark/>
          </w:tcPr>
          <w:p w14:paraId="60C81C4C"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147</w:t>
            </w:r>
          </w:p>
        </w:tc>
        <w:tc>
          <w:tcPr>
            <w:tcW w:w="316" w:type="pct"/>
            <w:tcBorders>
              <w:top w:val="nil"/>
              <w:left w:val="nil"/>
              <w:bottom w:val="single" w:sz="4" w:space="0" w:color="auto"/>
              <w:right w:val="single" w:sz="4" w:space="0" w:color="auto"/>
            </w:tcBorders>
            <w:shd w:val="clear" w:color="auto" w:fill="auto"/>
            <w:noWrap/>
            <w:vAlign w:val="center"/>
            <w:hideMark/>
          </w:tcPr>
          <w:p w14:paraId="77F28060"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154</w:t>
            </w:r>
          </w:p>
        </w:tc>
        <w:tc>
          <w:tcPr>
            <w:tcW w:w="316" w:type="pct"/>
            <w:tcBorders>
              <w:top w:val="nil"/>
              <w:left w:val="nil"/>
              <w:bottom w:val="single" w:sz="4" w:space="0" w:color="auto"/>
              <w:right w:val="single" w:sz="4" w:space="0" w:color="auto"/>
            </w:tcBorders>
            <w:shd w:val="clear" w:color="auto" w:fill="auto"/>
            <w:noWrap/>
            <w:vAlign w:val="center"/>
            <w:hideMark/>
          </w:tcPr>
          <w:p w14:paraId="2D33CAE0"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169</w:t>
            </w:r>
          </w:p>
        </w:tc>
        <w:tc>
          <w:tcPr>
            <w:tcW w:w="316" w:type="pct"/>
            <w:tcBorders>
              <w:top w:val="nil"/>
              <w:left w:val="nil"/>
              <w:bottom w:val="single" w:sz="4" w:space="0" w:color="auto"/>
              <w:right w:val="single" w:sz="4" w:space="0" w:color="auto"/>
            </w:tcBorders>
            <w:shd w:val="clear" w:color="auto" w:fill="auto"/>
            <w:noWrap/>
            <w:vAlign w:val="center"/>
            <w:hideMark/>
          </w:tcPr>
          <w:p w14:paraId="36FAD1B6"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165</w:t>
            </w:r>
          </w:p>
        </w:tc>
        <w:tc>
          <w:tcPr>
            <w:tcW w:w="316" w:type="pct"/>
            <w:tcBorders>
              <w:top w:val="nil"/>
              <w:left w:val="nil"/>
              <w:bottom w:val="single" w:sz="4" w:space="0" w:color="auto"/>
              <w:right w:val="single" w:sz="4" w:space="0" w:color="auto"/>
            </w:tcBorders>
            <w:shd w:val="clear" w:color="auto" w:fill="auto"/>
            <w:noWrap/>
            <w:vAlign w:val="center"/>
            <w:hideMark/>
          </w:tcPr>
          <w:p w14:paraId="4F4C00E4"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145</w:t>
            </w:r>
          </w:p>
        </w:tc>
        <w:tc>
          <w:tcPr>
            <w:tcW w:w="316" w:type="pct"/>
            <w:tcBorders>
              <w:top w:val="nil"/>
              <w:left w:val="nil"/>
              <w:bottom w:val="single" w:sz="4" w:space="0" w:color="auto"/>
              <w:right w:val="single" w:sz="4" w:space="0" w:color="auto"/>
            </w:tcBorders>
            <w:shd w:val="clear" w:color="auto" w:fill="auto"/>
            <w:noWrap/>
            <w:vAlign w:val="center"/>
            <w:hideMark/>
          </w:tcPr>
          <w:p w14:paraId="31CB1980" w14:textId="77777777" w:rsidR="00C01880" w:rsidRPr="00BA2D0A" w:rsidRDefault="00C01880" w:rsidP="000F4949">
            <w:pPr>
              <w:spacing w:after="0" w:line="240" w:lineRule="auto"/>
              <w:jc w:val="center"/>
              <w:rPr>
                <w:rFonts w:ascii="Times New Roman" w:eastAsia="Times New Roman" w:hAnsi="Times New Roman" w:cs="Times New Roman"/>
                <w:color w:val="000000"/>
                <w:sz w:val="20"/>
                <w:szCs w:val="20"/>
                <w:lang w:eastAsia="pl-PL"/>
              </w:rPr>
            </w:pPr>
            <w:r w:rsidRPr="00BA2D0A">
              <w:rPr>
                <w:rFonts w:ascii="Times New Roman" w:eastAsia="Times New Roman" w:hAnsi="Times New Roman" w:cs="Times New Roman"/>
                <w:color w:val="000000"/>
                <w:sz w:val="20"/>
                <w:szCs w:val="20"/>
                <w:lang w:eastAsia="pl-PL"/>
              </w:rPr>
              <w:t>163</w:t>
            </w:r>
          </w:p>
        </w:tc>
        <w:tc>
          <w:tcPr>
            <w:tcW w:w="43" w:type="pct"/>
            <w:vAlign w:val="center"/>
            <w:hideMark/>
          </w:tcPr>
          <w:p w14:paraId="579E01D7" w14:textId="77777777" w:rsidR="00C01880" w:rsidRPr="00BA2D0A" w:rsidRDefault="00C01880" w:rsidP="000F4949">
            <w:pPr>
              <w:spacing w:after="0" w:line="240" w:lineRule="auto"/>
              <w:rPr>
                <w:rFonts w:ascii="Times New Roman" w:eastAsia="Times New Roman" w:hAnsi="Times New Roman" w:cs="Times New Roman"/>
                <w:sz w:val="20"/>
                <w:szCs w:val="20"/>
                <w:lang w:eastAsia="pl-PL"/>
              </w:rPr>
            </w:pPr>
          </w:p>
        </w:tc>
      </w:tr>
    </w:tbl>
    <w:p w14:paraId="2B658342" w14:textId="77777777" w:rsidR="003354D6" w:rsidRDefault="00A17173" w:rsidP="003354D6">
      <w:pPr>
        <w:spacing w:after="0" w:line="276" w:lineRule="auto"/>
        <w:ind w:firstLine="708"/>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119FCF16" w14:textId="4A4C6F58" w:rsidR="00A17173" w:rsidRPr="0088709C" w:rsidRDefault="00A17173" w:rsidP="003354D6">
      <w:pPr>
        <w:spacing w:line="276" w:lineRule="auto"/>
        <w:ind w:firstLine="708"/>
        <w:jc w:val="center"/>
        <w:rPr>
          <w:rFonts w:ascii="Times New Roman" w:hAnsi="Times New Roman" w:cs="Times New Roman"/>
          <w:i/>
          <w:iCs/>
          <w:color w:val="000000" w:themeColor="text1"/>
        </w:rPr>
      </w:pPr>
      <w:bookmarkStart w:id="47" w:name="_Toc135896521"/>
      <w:r w:rsidRPr="00326270">
        <w:rPr>
          <w:rFonts w:ascii="Times New Roman" w:hAnsi="Times New Roman" w:cs="Times New Roman"/>
          <w:b/>
          <w:bCs/>
          <w:color w:val="000000" w:themeColor="text1"/>
          <w:sz w:val="20"/>
          <w:szCs w:val="20"/>
        </w:rPr>
        <w:t xml:space="preserve">Wykres </w:t>
      </w:r>
      <w:r w:rsidRPr="00326270">
        <w:rPr>
          <w:rFonts w:ascii="Times New Roman" w:hAnsi="Times New Roman" w:cs="Times New Roman"/>
          <w:b/>
          <w:bCs/>
          <w:i/>
          <w:iCs/>
          <w:color w:val="000000" w:themeColor="text1"/>
          <w:sz w:val="20"/>
          <w:szCs w:val="20"/>
        </w:rPr>
        <w:fldChar w:fldCharType="begin"/>
      </w:r>
      <w:r w:rsidRPr="00326270">
        <w:rPr>
          <w:rFonts w:ascii="Times New Roman" w:hAnsi="Times New Roman" w:cs="Times New Roman"/>
          <w:b/>
          <w:bCs/>
          <w:color w:val="000000" w:themeColor="text1"/>
          <w:sz w:val="20"/>
          <w:szCs w:val="20"/>
        </w:rPr>
        <w:instrText xml:space="preserve"> SEQ Wykres \* ARABIC </w:instrText>
      </w:r>
      <w:r w:rsidRPr="00326270">
        <w:rPr>
          <w:rFonts w:ascii="Times New Roman" w:hAnsi="Times New Roman" w:cs="Times New Roman"/>
          <w:b/>
          <w:bCs/>
          <w:i/>
          <w:iCs/>
          <w:color w:val="000000" w:themeColor="text1"/>
          <w:sz w:val="20"/>
          <w:szCs w:val="20"/>
        </w:rPr>
        <w:fldChar w:fldCharType="separate"/>
      </w:r>
      <w:r w:rsidR="00F46D3D">
        <w:rPr>
          <w:rFonts w:ascii="Times New Roman" w:hAnsi="Times New Roman" w:cs="Times New Roman"/>
          <w:b/>
          <w:bCs/>
          <w:noProof/>
          <w:color w:val="000000" w:themeColor="text1"/>
          <w:sz w:val="20"/>
          <w:szCs w:val="20"/>
        </w:rPr>
        <w:t>6</w:t>
      </w:r>
      <w:r w:rsidRPr="00326270">
        <w:rPr>
          <w:rFonts w:ascii="Times New Roman" w:hAnsi="Times New Roman" w:cs="Times New Roman"/>
          <w:b/>
          <w:bCs/>
          <w:i/>
          <w:iCs/>
          <w:color w:val="000000" w:themeColor="text1"/>
          <w:sz w:val="20"/>
          <w:szCs w:val="20"/>
        </w:rPr>
        <w:fldChar w:fldCharType="end"/>
      </w:r>
      <w:r w:rsidRPr="00326270">
        <w:rPr>
          <w:rFonts w:ascii="Times New Roman" w:hAnsi="Times New Roman" w:cs="Times New Roman"/>
          <w:b/>
          <w:bCs/>
          <w:color w:val="000000" w:themeColor="text1"/>
          <w:sz w:val="20"/>
          <w:szCs w:val="20"/>
        </w:rPr>
        <w:t xml:space="preserve"> </w:t>
      </w:r>
      <w:r w:rsidRPr="0088709C">
        <w:rPr>
          <w:rFonts w:ascii="Times New Roman" w:hAnsi="Times New Roman" w:cs="Times New Roman"/>
          <w:b/>
          <w:bCs/>
          <w:color w:val="000000" w:themeColor="text1"/>
          <w:sz w:val="20"/>
          <w:szCs w:val="20"/>
        </w:rPr>
        <w:t>Dynamika wzrostu wartości wskaźników gospodarczych obszaru LGD, województwa i kraju – wzrost</w:t>
      </w:r>
      <w:r>
        <w:rPr>
          <w:rFonts w:ascii="Times New Roman" w:hAnsi="Times New Roman" w:cs="Times New Roman"/>
          <w:b/>
          <w:bCs/>
          <w:color w:val="000000" w:themeColor="text1"/>
          <w:sz w:val="20"/>
          <w:szCs w:val="20"/>
        </w:rPr>
        <w:t xml:space="preserve">/spadek </w:t>
      </w:r>
      <w:r w:rsidRPr="0088709C">
        <w:rPr>
          <w:rFonts w:ascii="Times New Roman" w:hAnsi="Times New Roman" w:cs="Times New Roman"/>
          <w:b/>
          <w:bCs/>
          <w:color w:val="000000" w:themeColor="text1"/>
          <w:sz w:val="20"/>
          <w:szCs w:val="20"/>
        </w:rPr>
        <w:t>procentowy w 2021 r. w stosunku do 2016 r</w:t>
      </w:r>
      <w:r w:rsidR="009C564A">
        <w:rPr>
          <w:rFonts w:ascii="Times New Roman" w:hAnsi="Times New Roman" w:cs="Times New Roman"/>
          <w:b/>
          <w:bCs/>
          <w:color w:val="000000" w:themeColor="text1"/>
          <w:sz w:val="20"/>
          <w:szCs w:val="20"/>
        </w:rPr>
        <w:t>.</w:t>
      </w:r>
      <w:bookmarkEnd w:id="47"/>
    </w:p>
    <w:p w14:paraId="3AD8487F" w14:textId="38833195" w:rsidR="00A17173" w:rsidRDefault="004216CF" w:rsidP="00A17173">
      <w:pPr>
        <w:spacing w:after="0" w:line="276" w:lineRule="auto"/>
        <w:ind w:firstLine="709"/>
        <w:jc w:val="center"/>
        <w:rPr>
          <w:rFonts w:ascii="Times New Roman" w:hAnsi="Times New Roman" w:cs="Times New Roman"/>
        </w:rPr>
      </w:pPr>
      <w:r>
        <w:rPr>
          <w:noProof/>
        </w:rPr>
        <w:drawing>
          <wp:inline distT="0" distB="0" distL="0" distR="0" wp14:anchorId="1C11E4CB" wp14:editId="26C41AC8">
            <wp:extent cx="4524375" cy="1790700"/>
            <wp:effectExtent l="0" t="0" r="0" b="0"/>
            <wp:docPr id="84" name="Wykres 84">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62113F" w14:textId="504F1218" w:rsidR="00A17173" w:rsidRDefault="00A17173" w:rsidP="00A17173">
      <w:pPr>
        <w:tabs>
          <w:tab w:val="left" w:pos="3684"/>
        </w:tabs>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sidR="009C564A">
        <w:rPr>
          <w:rFonts w:ascii="Times New Roman" w:hAnsi="Times New Roman" w:cs="Times New Roman"/>
          <w:i/>
          <w:iCs/>
          <w:sz w:val="20"/>
          <w:szCs w:val="20"/>
        </w:rPr>
        <w:t>O</w:t>
      </w:r>
      <w:r w:rsidRPr="001F75C9">
        <w:rPr>
          <w:rFonts w:ascii="Times New Roman" w:hAnsi="Times New Roman" w:cs="Times New Roman"/>
          <w:i/>
          <w:iCs/>
          <w:sz w:val="20"/>
          <w:szCs w:val="20"/>
        </w:rPr>
        <w:t>pracowanie własne</w:t>
      </w:r>
      <w:r>
        <w:rPr>
          <w:rFonts w:ascii="Times New Roman" w:hAnsi="Times New Roman" w:cs="Times New Roman"/>
          <w:i/>
          <w:iCs/>
          <w:sz w:val="20"/>
          <w:szCs w:val="20"/>
        </w:rPr>
        <w:t xml:space="preserve"> na podstawie danych GUS</w:t>
      </w:r>
    </w:p>
    <w:p w14:paraId="1048246D" w14:textId="3C4A386D" w:rsidR="00AC4AC7" w:rsidRDefault="00A17173" w:rsidP="008E681A">
      <w:pPr>
        <w:spacing w:after="120" w:line="276" w:lineRule="auto"/>
        <w:ind w:firstLine="709"/>
        <w:jc w:val="both"/>
        <w:rPr>
          <w:rFonts w:ascii="Times New Roman" w:hAnsi="Times New Roman" w:cs="Times New Roman"/>
          <w:color w:val="000000" w:themeColor="text1"/>
        </w:rPr>
      </w:pPr>
      <w:r>
        <w:rPr>
          <w:rFonts w:ascii="Times New Roman" w:hAnsi="Times New Roman" w:cs="Times New Roman"/>
        </w:rPr>
        <w:t xml:space="preserve">Poza nowo zarejestrowanymi podmiotami, warto zwrócić uwagę na wskaźniki: </w:t>
      </w:r>
      <w:r w:rsidRPr="00A23BC4">
        <w:rPr>
          <w:rFonts w:ascii="Times New Roman" w:hAnsi="Times New Roman" w:cs="Times New Roman"/>
          <w:i/>
          <w:iCs/>
          <w:color w:val="000000" w:themeColor="text1"/>
        </w:rPr>
        <w:t xml:space="preserve">udział % podmiotów wyrejestrowanych w ogólnej liczbie podmiotów </w:t>
      </w:r>
      <w:r>
        <w:rPr>
          <w:rFonts w:ascii="Times New Roman" w:hAnsi="Times New Roman" w:cs="Times New Roman"/>
          <w:i/>
          <w:iCs/>
          <w:color w:val="000000" w:themeColor="text1"/>
        </w:rPr>
        <w:t>wpisanych do rejestru</w:t>
      </w:r>
      <w:r w:rsidRPr="00A23BC4">
        <w:rPr>
          <w:rFonts w:ascii="Times New Roman" w:hAnsi="Times New Roman" w:cs="Times New Roman"/>
          <w:i/>
          <w:iCs/>
          <w:color w:val="000000" w:themeColor="text1"/>
        </w:rPr>
        <w:t xml:space="preserve"> REGON</w:t>
      </w:r>
      <w:r>
        <w:rPr>
          <w:rFonts w:ascii="Times New Roman" w:hAnsi="Times New Roman" w:cs="Times New Roman"/>
          <w:color w:val="000000" w:themeColor="text1"/>
        </w:rPr>
        <w:t xml:space="preserve"> </w:t>
      </w:r>
      <w:r w:rsidRPr="009D2FFA">
        <w:rPr>
          <w:rFonts w:ascii="Times New Roman" w:hAnsi="Times New Roman" w:cs="Times New Roman"/>
          <w:color w:val="000000" w:themeColor="text1"/>
        </w:rPr>
        <w:t>oraz</w:t>
      </w:r>
      <w:r w:rsidRPr="00C4136E">
        <w:rPr>
          <w:rFonts w:ascii="Times New Roman" w:hAnsi="Times New Roman" w:cs="Times New Roman"/>
          <w:i/>
          <w:iCs/>
          <w:color w:val="000000" w:themeColor="text1"/>
        </w:rPr>
        <w:t xml:space="preserve"> jednostki wykreślone z rejestru REGON na 10 tys. ludności</w:t>
      </w:r>
      <w:r>
        <w:rPr>
          <w:rFonts w:ascii="Times New Roman" w:hAnsi="Times New Roman" w:cs="Times New Roman"/>
          <w:color w:val="000000" w:themeColor="text1"/>
        </w:rPr>
        <w:t xml:space="preserve">, które świadczą o kondycji przedsiębiorstw oraz poziomie trudności w prowadzeniu </w:t>
      </w:r>
      <w:r>
        <w:rPr>
          <w:rFonts w:ascii="Times New Roman" w:hAnsi="Times New Roman" w:cs="Times New Roman"/>
          <w:color w:val="000000" w:themeColor="text1"/>
        </w:rPr>
        <w:lastRenderedPageBreak/>
        <w:t>działalności na danym obszarze w danym okresie</w:t>
      </w:r>
      <w:r w:rsidRPr="00A23BC4">
        <w:rPr>
          <w:rFonts w:ascii="Times New Roman" w:hAnsi="Times New Roman" w:cs="Times New Roman"/>
          <w:color w:val="000000" w:themeColor="text1"/>
        </w:rPr>
        <w:t>.</w:t>
      </w:r>
      <w:r>
        <w:rPr>
          <w:rFonts w:ascii="Times New Roman" w:hAnsi="Times New Roman" w:cs="Times New Roman"/>
          <w:color w:val="000000" w:themeColor="text1"/>
        </w:rPr>
        <w:t xml:space="preserve"> Wartości ww. wskaźników dla LGD, województwa </w:t>
      </w:r>
      <w:r w:rsidR="008E681A">
        <w:rPr>
          <w:rFonts w:ascii="Times New Roman" w:hAnsi="Times New Roman" w:cs="Times New Roman"/>
          <w:color w:val="000000" w:themeColor="text1"/>
        </w:rPr>
        <w:t>lube</w:t>
      </w:r>
      <w:r>
        <w:rPr>
          <w:rFonts w:ascii="Times New Roman" w:hAnsi="Times New Roman" w:cs="Times New Roman"/>
          <w:color w:val="000000" w:themeColor="text1"/>
        </w:rPr>
        <w:t>lskiego</w:t>
      </w:r>
      <w:r>
        <w:rPr>
          <w:rFonts w:ascii="Times New Roman" w:hAnsi="Times New Roman" w:cs="Times New Roman"/>
          <w:color w:val="000000" w:themeColor="text1"/>
        </w:rPr>
        <w:br/>
        <w:t xml:space="preserve">i Polski w latach 2016–2021 przedstawiono w tabeli </w:t>
      </w:r>
      <w:r w:rsidR="001E060A">
        <w:rPr>
          <w:rFonts w:ascii="Times New Roman" w:hAnsi="Times New Roman" w:cs="Times New Roman"/>
          <w:color w:val="000000" w:themeColor="text1"/>
        </w:rPr>
        <w:t>4</w:t>
      </w:r>
      <w:r>
        <w:rPr>
          <w:rFonts w:ascii="Times New Roman" w:hAnsi="Times New Roman" w:cs="Times New Roman"/>
          <w:color w:val="000000" w:themeColor="text1"/>
        </w:rPr>
        <w:t>. W przypadku obydwu analizowanych wskaźników, na przestrzeni badanych lat wartości</w:t>
      </w:r>
      <w:r w:rsidR="008E681A">
        <w:rPr>
          <w:rFonts w:ascii="Times New Roman" w:hAnsi="Times New Roman" w:cs="Times New Roman"/>
          <w:color w:val="000000" w:themeColor="text1"/>
        </w:rPr>
        <w:t xml:space="preserve"> wahały się</w:t>
      </w:r>
      <w:r w:rsidR="009315C8">
        <w:rPr>
          <w:rFonts w:ascii="Times New Roman" w:hAnsi="Times New Roman" w:cs="Times New Roman"/>
          <w:color w:val="000000" w:themeColor="text1"/>
        </w:rPr>
        <w:t>, ale</w:t>
      </w:r>
      <w:r>
        <w:rPr>
          <w:rFonts w:ascii="Times New Roman" w:hAnsi="Times New Roman" w:cs="Times New Roman"/>
          <w:color w:val="000000" w:themeColor="text1"/>
        </w:rPr>
        <w:t xml:space="preserve"> dla LGD były </w:t>
      </w:r>
      <w:r w:rsidR="008E681A">
        <w:rPr>
          <w:rFonts w:ascii="Times New Roman" w:hAnsi="Times New Roman" w:cs="Times New Roman"/>
          <w:color w:val="000000" w:themeColor="text1"/>
        </w:rPr>
        <w:t>niższe</w:t>
      </w:r>
      <w:r>
        <w:rPr>
          <w:rFonts w:ascii="Times New Roman" w:hAnsi="Times New Roman" w:cs="Times New Roman"/>
          <w:color w:val="000000" w:themeColor="text1"/>
        </w:rPr>
        <w:t xml:space="preserve"> od średniej dla kraju i województwa, co świadczy o korzystnej sytuacji.</w:t>
      </w:r>
    </w:p>
    <w:p w14:paraId="0EDB2128" w14:textId="7FF659CC" w:rsidR="00A17173" w:rsidRPr="00AA5192" w:rsidRDefault="00A17173" w:rsidP="00A17173">
      <w:pPr>
        <w:pStyle w:val="Legenda"/>
        <w:spacing w:after="0"/>
        <w:jc w:val="center"/>
        <w:rPr>
          <w:rFonts w:ascii="Times New Roman" w:hAnsi="Times New Roman" w:cs="Times New Roman"/>
        </w:rPr>
      </w:pPr>
      <w:bookmarkStart w:id="48" w:name="_Toc115335596"/>
      <w:bookmarkStart w:id="49" w:name="_Toc135896546"/>
      <w:r w:rsidRPr="00123965">
        <w:rPr>
          <w:rFonts w:ascii="Times New Roman" w:hAnsi="Times New Roman" w:cs="Times New Roman"/>
          <w:b/>
          <w:bCs/>
          <w:i w:val="0"/>
          <w:iCs w:val="0"/>
          <w:color w:val="000000" w:themeColor="text1"/>
          <w:sz w:val="20"/>
          <w:szCs w:val="20"/>
        </w:rPr>
        <w:t xml:space="preserve">Tabela </w:t>
      </w:r>
      <w:r w:rsidRPr="00123965">
        <w:rPr>
          <w:rFonts w:ascii="Times New Roman" w:hAnsi="Times New Roman" w:cs="Times New Roman"/>
          <w:b/>
          <w:bCs/>
          <w:i w:val="0"/>
          <w:iCs w:val="0"/>
          <w:color w:val="000000" w:themeColor="text1"/>
          <w:sz w:val="20"/>
          <w:szCs w:val="20"/>
        </w:rPr>
        <w:fldChar w:fldCharType="begin"/>
      </w:r>
      <w:r w:rsidRPr="00123965">
        <w:rPr>
          <w:rFonts w:ascii="Times New Roman" w:hAnsi="Times New Roman" w:cs="Times New Roman"/>
          <w:b/>
          <w:bCs/>
          <w:i w:val="0"/>
          <w:iCs w:val="0"/>
          <w:color w:val="000000" w:themeColor="text1"/>
          <w:sz w:val="20"/>
          <w:szCs w:val="20"/>
        </w:rPr>
        <w:instrText xml:space="preserve"> SEQ Tabela \* ARABIC </w:instrText>
      </w:r>
      <w:r w:rsidRPr="00123965">
        <w:rPr>
          <w:rFonts w:ascii="Times New Roman" w:hAnsi="Times New Roman" w:cs="Times New Roman"/>
          <w:b/>
          <w:bCs/>
          <w:i w:val="0"/>
          <w:iCs w:val="0"/>
          <w:color w:val="000000" w:themeColor="text1"/>
          <w:sz w:val="20"/>
          <w:szCs w:val="20"/>
        </w:rPr>
        <w:fldChar w:fldCharType="separate"/>
      </w:r>
      <w:r w:rsidR="00090F4A">
        <w:rPr>
          <w:rFonts w:ascii="Times New Roman" w:hAnsi="Times New Roman" w:cs="Times New Roman"/>
          <w:b/>
          <w:bCs/>
          <w:i w:val="0"/>
          <w:iCs w:val="0"/>
          <w:noProof/>
          <w:color w:val="000000" w:themeColor="text1"/>
          <w:sz w:val="20"/>
          <w:szCs w:val="20"/>
        </w:rPr>
        <w:t>4</w:t>
      </w:r>
      <w:r w:rsidRPr="00123965">
        <w:rPr>
          <w:rFonts w:ascii="Times New Roman" w:hAnsi="Times New Roman" w:cs="Times New Roman"/>
          <w:b/>
          <w:bCs/>
          <w:i w:val="0"/>
          <w:iCs w:val="0"/>
          <w:color w:val="000000" w:themeColor="text1"/>
          <w:sz w:val="20"/>
          <w:szCs w:val="20"/>
        </w:rPr>
        <w:fldChar w:fldCharType="end"/>
      </w:r>
      <w:r w:rsidRPr="00123965">
        <w:rPr>
          <w:rFonts w:ascii="Times New Roman" w:hAnsi="Times New Roman" w:cs="Times New Roman"/>
          <w:b/>
          <w:bCs/>
          <w:i w:val="0"/>
          <w:iCs w:val="0"/>
          <w:color w:val="000000" w:themeColor="text1"/>
          <w:sz w:val="20"/>
          <w:szCs w:val="20"/>
        </w:rPr>
        <w:t xml:space="preserve"> </w:t>
      </w:r>
      <w:bookmarkStart w:id="50" w:name="_Hlk113302479"/>
      <w:r w:rsidRPr="00123965">
        <w:rPr>
          <w:rFonts w:ascii="Times New Roman" w:hAnsi="Times New Roman" w:cs="Times New Roman"/>
          <w:b/>
          <w:bCs/>
          <w:i w:val="0"/>
          <w:iCs w:val="0"/>
          <w:color w:val="000000" w:themeColor="text1"/>
          <w:sz w:val="20"/>
          <w:szCs w:val="20"/>
        </w:rPr>
        <w:t>Wskaźniki świadczące o kondycji przedsiębiorstw – porównanie średniej obszaru LGD do województwa i kraju w latach 2016–2021</w:t>
      </w:r>
      <w:bookmarkEnd w:id="48"/>
      <w:bookmarkEnd w:id="49"/>
    </w:p>
    <w:tbl>
      <w:tblPr>
        <w:tblW w:w="5000" w:type="pct"/>
        <w:tblCellMar>
          <w:left w:w="70" w:type="dxa"/>
          <w:right w:w="70" w:type="dxa"/>
        </w:tblCellMar>
        <w:tblLook w:val="04A0" w:firstRow="1" w:lastRow="0" w:firstColumn="1" w:lastColumn="0" w:noHBand="0" w:noVBand="1"/>
      </w:tblPr>
      <w:tblGrid>
        <w:gridCol w:w="2429"/>
        <w:gridCol w:w="689"/>
        <w:gridCol w:w="687"/>
        <w:gridCol w:w="687"/>
        <w:gridCol w:w="687"/>
        <w:gridCol w:w="687"/>
        <w:gridCol w:w="697"/>
        <w:gridCol w:w="579"/>
        <w:gridCol w:w="579"/>
        <w:gridCol w:w="579"/>
        <w:gridCol w:w="581"/>
        <w:gridCol w:w="581"/>
        <w:gridCol w:w="585"/>
        <w:gridCol w:w="147"/>
      </w:tblGrid>
      <w:tr w:rsidR="008E681A" w:rsidRPr="00D17FDB" w14:paraId="2FF0B803" w14:textId="77777777" w:rsidTr="008E681A">
        <w:trPr>
          <w:gridAfter w:val="1"/>
          <w:wAfter w:w="72" w:type="pct"/>
          <w:trHeight w:val="450"/>
        </w:trPr>
        <w:tc>
          <w:tcPr>
            <w:tcW w:w="119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bookmarkEnd w:id="50"/>
          <w:p w14:paraId="13DAE050"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Jednostka terytorialna</w:t>
            </w:r>
          </w:p>
        </w:tc>
        <w:tc>
          <w:tcPr>
            <w:tcW w:w="2028" w:type="pct"/>
            <w:gridSpan w:val="6"/>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EDC157C"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Jednostki wykreślone z rejestru REGON na 10 tys. ludności</w:t>
            </w:r>
          </w:p>
        </w:tc>
        <w:tc>
          <w:tcPr>
            <w:tcW w:w="1709" w:type="pct"/>
            <w:gridSpan w:val="6"/>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C310744"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Udział podmiotów wyrejestrowanych w ogólnej liczbie podmiotów wpisanych do rejestru REGON (%)</w:t>
            </w:r>
          </w:p>
        </w:tc>
      </w:tr>
      <w:tr w:rsidR="008E681A" w:rsidRPr="00D17FDB" w14:paraId="7AC38B04" w14:textId="77777777" w:rsidTr="008E681A">
        <w:trPr>
          <w:trHeight w:val="340"/>
        </w:trPr>
        <w:tc>
          <w:tcPr>
            <w:tcW w:w="1191" w:type="pct"/>
            <w:vMerge/>
            <w:tcBorders>
              <w:top w:val="single" w:sz="4" w:space="0" w:color="auto"/>
              <w:left w:val="single" w:sz="4" w:space="0" w:color="auto"/>
              <w:bottom w:val="single" w:sz="4" w:space="0" w:color="auto"/>
              <w:right w:val="single" w:sz="4" w:space="0" w:color="auto"/>
            </w:tcBorders>
            <w:vAlign w:val="center"/>
            <w:hideMark/>
          </w:tcPr>
          <w:p w14:paraId="40D00BC1" w14:textId="77777777" w:rsidR="008E681A" w:rsidRPr="00D17FDB" w:rsidRDefault="008E681A" w:rsidP="000F4949">
            <w:pPr>
              <w:spacing w:after="0" w:line="240" w:lineRule="auto"/>
              <w:rPr>
                <w:rFonts w:ascii="Times New Roman" w:eastAsia="Times New Roman" w:hAnsi="Times New Roman" w:cs="Times New Roman"/>
                <w:b/>
                <w:bCs/>
                <w:color w:val="000000"/>
                <w:sz w:val="20"/>
                <w:szCs w:val="20"/>
                <w:lang w:eastAsia="pl-PL"/>
              </w:rPr>
            </w:pPr>
          </w:p>
        </w:tc>
        <w:tc>
          <w:tcPr>
            <w:tcW w:w="2028" w:type="pct"/>
            <w:gridSpan w:val="6"/>
            <w:vMerge/>
            <w:tcBorders>
              <w:top w:val="single" w:sz="4" w:space="0" w:color="auto"/>
              <w:left w:val="single" w:sz="4" w:space="0" w:color="auto"/>
              <w:bottom w:val="single" w:sz="4" w:space="0" w:color="auto"/>
              <w:right w:val="single" w:sz="4" w:space="0" w:color="auto"/>
            </w:tcBorders>
            <w:vAlign w:val="center"/>
            <w:hideMark/>
          </w:tcPr>
          <w:p w14:paraId="085FBB97" w14:textId="77777777" w:rsidR="008E681A" w:rsidRPr="00D17FDB" w:rsidRDefault="008E681A" w:rsidP="000F4949">
            <w:pPr>
              <w:spacing w:after="0" w:line="240" w:lineRule="auto"/>
              <w:rPr>
                <w:rFonts w:ascii="Times New Roman" w:eastAsia="Times New Roman" w:hAnsi="Times New Roman" w:cs="Times New Roman"/>
                <w:b/>
                <w:bCs/>
                <w:color w:val="000000"/>
                <w:sz w:val="20"/>
                <w:szCs w:val="20"/>
                <w:lang w:eastAsia="pl-PL"/>
              </w:rPr>
            </w:pPr>
          </w:p>
        </w:tc>
        <w:tc>
          <w:tcPr>
            <w:tcW w:w="1709" w:type="pct"/>
            <w:gridSpan w:val="6"/>
            <w:vMerge/>
            <w:tcBorders>
              <w:top w:val="single" w:sz="4" w:space="0" w:color="auto"/>
              <w:left w:val="single" w:sz="4" w:space="0" w:color="auto"/>
              <w:bottom w:val="single" w:sz="4" w:space="0" w:color="auto"/>
              <w:right w:val="single" w:sz="4" w:space="0" w:color="auto"/>
            </w:tcBorders>
            <w:vAlign w:val="center"/>
            <w:hideMark/>
          </w:tcPr>
          <w:p w14:paraId="5BAC467A" w14:textId="77777777" w:rsidR="008E681A" w:rsidRPr="00D17FDB" w:rsidRDefault="008E681A" w:rsidP="000F4949">
            <w:pPr>
              <w:spacing w:after="0" w:line="240" w:lineRule="auto"/>
              <w:rPr>
                <w:rFonts w:ascii="Times New Roman" w:eastAsia="Times New Roman" w:hAnsi="Times New Roman" w:cs="Times New Roman"/>
                <w:b/>
                <w:bCs/>
                <w:color w:val="000000"/>
                <w:sz w:val="20"/>
                <w:szCs w:val="20"/>
                <w:lang w:eastAsia="pl-PL"/>
              </w:rPr>
            </w:pPr>
          </w:p>
        </w:tc>
        <w:tc>
          <w:tcPr>
            <w:tcW w:w="72" w:type="pct"/>
            <w:tcBorders>
              <w:top w:val="nil"/>
              <w:left w:val="nil"/>
              <w:bottom w:val="nil"/>
              <w:right w:val="nil"/>
            </w:tcBorders>
            <w:shd w:val="clear" w:color="auto" w:fill="auto"/>
            <w:noWrap/>
            <w:vAlign w:val="bottom"/>
            <w:hideMark/>
          </w:tcPr>
          <w:p w14:paraId="7B18A01E"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p>
        </w:tc>
      </w:tr>
      <w:tr w:rsidR="008E681A" w:rsidRPr="00D17FDB" w14:paraId="5C0773E2" w14:textId="77777777" w:rsidTr="008E681A">
        <w:trPr>
          <w:trHeight w:val="340"/>
        </w:trPr>
        <w:tc>
          <w:tcPr>
            <w:tcW w:w="1191" w:type="pct"/>
            <w:vMerge/>
            <w:tcBorders>
              <w:top w:val="single" w:sz="4" w:space="0" w:color="auto"/>
              <w:left w:val="single" w:sz="4" w:space="0" w:color="auto"/>
              <w:bottom w:val="single" w:sz="4" w:space="0" w:color="auto"/>
              <w:right w:val="single" w:sz="4" w:space="0" w:color="auto"/>
            </w:tcBorders>
            <w:vAlign w:val="center"/>
            <w:hideMark/>
          </w:tcPr>
          <w:p w14:paraId="3AB91CDA" w14:textId="77777777" w:rsidR="008E681A" w:rsidRPr="00D17FDB" w:rsidRDefault="008E681A" w:rsidP="000F4949">
            <w:pPr>
              <w:spacing w:after="0" w:line="240" w:lineRule="auto"/>
              <w:rPr>
                <w:rFonts w:ascii="Times New Roman" w:eastAsia="Times New Roman" w:hAnsi="Times New Roman" w:cs="Times New Roman"/>
                <w:b/>
                <w:bCs/>
                <w:color w:val="000000"/>
                <w:sz w:val="20"/>
                <w:szCs w:val="20"/>
                <w:lang w:eastAsia="pl-PL"/>
              </w:rPr>
            </w:pPr>
          </w:p>
        </w:tc>
        <w:tc>
          <w:tcPr>
            <w:tcW w:w="338" w:type="pct"/>
            <w:tcBorders>
              <w:top w:val="nil"/>
              <w:left w:val="nil"/>
              <w:bottom w:val="single" w:sz="4" w:space="0" w:color="auto"/>
              <w:right w:val="single" w:sz="4" w:space="0" w:color="auto"/>
            </w:tcBorders>
            <w:shd w:val="clear" w:color="000000" w:fill="F2F2F2"/>
            <w:noWrap/>
            <w:vAlign w:val="center"/>
            <w:hideMark/>
          </w:tcPr>
          <w:p w14:paraId="6A94AF89"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2016</w:t>
            </w:r>
          </w:p>
        </w:tc>
        <w:tc>
          <w:tcPr>
            <w:tcW w:w="337" w:type="pct"/>
            <w:tcBorders>
              <w:top w:val="nil"/>
              <w:left w:val="nil"/>
              <w:bottom w:val="single" w:sz="4" w:space="0" w:color="auto"/>
              <w:right w:val="single" w:sz="4" w:space="0" w:color="auto"/>
            </w:tcBorders>
            <w:shd w:val="clear" w:color="000000" w:fill="F2F2F2"/>
            <w:noWrap/>
            <w:vAlign w:val="center"/>
            <w:hideMark/>
          </w:tcPr>
          <w:p w14:paraId="651EFA87"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2017</w:t>
            </w:r>
          </w:p>
        </w:tc>
        <w:tc>
          <w:tcPr>
            <w:tcW w:w="337" w:type="pct"/>
            <w:tcBorders>
              <w:top w:val="nil"/>
              <w:left w:val="nil"/>
              <w:bottom w:val="single" w:sz="4" w:space="0" w:color="auto"/>
              <w:right w:val="single" w:sz="4" w:space="0" w:color="auto"/>
            </w:tcBorders>
            <w:shd w:val="clear" w:color="000000" w:fill="F2F2F2"/>
            <w:noWrap/>
            <w:vAlign w:val="center"/>
            <w:hideMark/>
          </w:tcPr>
          <w:p w14:paraId="707DEC20"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2018</w:t>
            </w:r>
          </w:p>
        </w:tc>
        <w:tc>
          <w:tcPr>
            <w:tcW w:w="337" w:type="pct"/>
            <w:tcBorders>
              <w:top w:val="nil"/>
              <w:left w:val="nil"/>
              <w:bottom w:val="single" w:sz="4" w:space="0" w:color="auto"/>
              <w:right w:val="single" w:sz="4" w:space="0" w:color="auto"/>
            </w:tcBorders>
            <w:shd w:val="clear" w:color="000000" w:fill="F2F2F2"/>
            <w:noWrap/>
            <w:vAlign w:val="center"/>
            <w:hideMark/>
          </w:tcPr>
          <w:p w14:paraId="29D874B9"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2019</w:t>
            </w:r>
          </w:p>
        </w:tc>
        <w:tc>
          <w:tcPr>
            <w:tcW w:w="337" w:type="pct"/>
            <w:tcBorders>
              <w:top w:val="nil"/>
              <w:left w:val="nil"/>
              <w:bottom w:val="single" w:sz="4" w:space="0" w:color="auto"/>
              <w:right w:val="single" w:sz="4" w:space="0" w:color="auto"/>
            </w:tcBorders>
            <w:shd w:val="clear" w:color="000000" w:fill="F2F2F2"/>
            <w:noWrap/>
            <w:vAlign w:val="center"/>
            <w:hideMark/>
          </w:tcPr>
          <w:p w14:paraId="7002A2AA"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2020</w:t>
            </w:r>
          </w:p>
        </w:tc>
        <w:tc>
          <w:tcPr>
            <w:tcW w:w="339" w:type="pct"/>
            <w:tcBorders>
              <w:top w:val="nil"/>
              <w:left w:val="nil"/>
              <w:bottom w:val="single" w:sz="4" w:space="0" w:color="auto"/>
              <w:right w:val="single" w:sz="4" w:space="0" w:color="auto"/>
            </w:tcBorders>
            <w:shd w:val="clear" w:color="000000" w:fill="F2F2F2"/>
            <w:noWrap/>
            <w:vAlign w:val="center"/>
            <w:hideMark/>
          </w:tcPr>
          <w:p w14:paraId="30273C36"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2021</w:t>
            </w:r>
          </w:p>
        </w:tc>
        <w:tc>
          <w:tcPr>
            <w:tcW w:w="284" w:type="pct"/>
            <w:tcBorders>
              <w:top w:val="nil"/>
              <w:left w:val="nil"/>
              <w:bottom w:val="single" w:sz="4" w:space="0" w:color="auto"/>
              <w:right w:val="single" w:sz="4" w:space="0" w:color="auto"/>
            </w:tcBorders>
            <w:shd w:val="clear" w:color="000000" w:fill="F2F2F2"/>
            <w:noWrap/>
            <w:vAlign w:val="center"/>
            <w:hideMark/>
          </w:tcPr>
          <w:p w14:paraId="6C3D9F2F"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2016</w:t>
            </w:r>
          </w:p>
        </w:tc>
        <w:tc>
          <w:tcPr>
            <w:tcW w:w="284" w:type="pct"/>
            <w:tcBorders>
              <w:top w:val="nil"/>
              <w:left w:val="nil"/>
              <w:bottom w:val="single" w:sz="4" w:space="0" w:color="auto"/>
              <w:right w:val="single" w:sz="4" w:space="0" w:color="auto"/>
            </w:tcBorders>
            <w:shd w:val="clear" w:color="000000" w:fill="F2F2F2"/>
            <w:noWrap/>
            <w:vAlign w:val="center"/>
            <w:hideMark/>
          </w:tcPr>
          <w:p w14:paraId="1310B76D"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2017</w:t>
            </w:r>
          </w:p>
        </w:tc>
        <w:tc>
          <w:tcPr>
            <w:tcW w:w="284" w:type="pct"/>
            <w:tcBorders>
              <w:top w:val="nil"/>
              <w:left w:val="nil"/>
              <w:bottom w:val="single" w:sz="4" w:space="0" w:color="auto"/>
              <w:right w:val="single" w:sz="4" w:space="0" w:color="auto"/>
            </w:tcBorders>
            <w:shd w:val="clear" w:color="000000" w:fill="F2F2F2"/>
            <w:noWrap/>
            <w:vAlign w:val="center"/>
            <w:hideMark/>
          </w:tcPr>
          <w:p w14:paraId="03599310"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2018</w:t>
            </w:r>
          </w:p>
        </w:tc>
        <w:tc>
          <w:tcPr>
            <w:tcW w:w="285" w:type="pct"/>
            <w:tcBorders>
              <w:top w:val="nil"/>
              <w:left w:val="nil"/>
              <w:bottom w:val="single" w:sz="4" w:space="0" w:color="auto"/>
              <w:right w:val="single" w:sz="4" w:space="0" w:color="auto"/>
            </w:tcBorders>
            <w:shd w:val="clear" w:color="000000" w:fill="F2F2F2"/>
            <w:noWrap/>
            <w:vAlign w:val="center"/>
            <w:hideMark/>
          </w:tcPr>
          <w:p w14:paraId="1E6B84B6"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2019</w:t>
            </w:r>
          </w:p>
        </w:tc>
        <w:tc>
          <w:tcPr>
            <w:tcW w:w="285" w:type="pct"/>
            <w:tcBorders>
              <w:top w:val="nil"/>
              <w:left w:val="nil"/>
              <w:bottom w:val="single" w:sz="4" w:space="0" w:color="auto"/>
              <w:right w:val="single" w:sz="4" w:space="0" w:color="auto"/>
            </w:tcBorders>
            <w:shd w:val="clear" w:color="000000" w:fill="F2F2F2"/>
            <w:noWrap/>
            <w:vAlign w:val="center"/>
            <w:hideMark/>
          </w:tcPr>
          <w:p w14:paraId="1DCF00ED"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2020</w:t>
            </w:r>
          </w:p>
        </w:tc>
        <w:tc>
          <w:tcPr>
            <w:tcW w:w="286" w:type="pct"/>
            <w:tcBorders>
              <w:top w:val="nil"/>
              <w:left w:val="nil"/>
              <w:bottom w:val="single" w:sz="4" w:space="0" w:color="auto"/>
              <w:right w:val="single" w:sz="4" w:space="0" w:color="auto"/>
            </w:tcBorders>
            <w:shd w:val="clear" w:color="000000" w:fill="F2F2F2"/>
            <w:noWrap/>
            <w:vAlign w:val="center"/>
            <w:hideMark/>
          </w:tcPr>
          <w:p w14:paraId="29635087"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2021</w:t>
            </w:r>
          </w:p>
        </w:tc>
        <w:tc>
          <w:tcPr>
            <w:tcW w:w="72" w:type="pct"/>
            <w:vAlign w:val="center"/>
            <w:hideMark/>
          </w:tcPr>
          <w:p w14:paraId="62150902" w14:textId="77777777" w:rsidR="008E681A" w:rsidRPr="00D17FDB" w:rsidRDefault="008E681A" w:rsidP="000F4949">
            <w:pPr>
              <w:spacing w:after="0" w:line="240" w:lineRule="auto"/>
              <w:rPr>
                <w:rFonts w:ascii="Times New Roman" w:eastAsia="Times New Roman" w:hAnsi="Times New Roman" w:cs="Times New Roman"/>
                <w:sz w:val="20"/>
                <w:szCs w:val="20"/>
                <w:lang w:eastAsia="pl-PL"/>
              </w:rPr>
            </w:pPr>
          </w:p>
        </w:tc>
      </w:tr>
      <w:tr w:rsidR="008E681A" w:rsidRPr="00D17FDB" w14:paraId="6D0F273E" w14:textId="77777777" w:rsidTr="008E681A">
        <w:trPr>
          <w:trHeight w:val="340"/>
        </w:trPr>
        <w:tc>
          <w:tcPr>
            <w:tcW w:w="1191" w:type="pct"/>
            <w:tcBorders>
              <w:top w:val="nil"/>
              <w:left w:val="single" w:sz="4" w:space="0" w:color="auto"/>
              <w:bottom w:val="single" w:sz="4" w:space="0" w:color="auto"/>
              <w:right w:val="single" w:sz="4" w:space="0" w:color="auto"/>
            </w:tcBorders>
            <w:shd w:val="clear" w:color="auto" w:fill="auto"/>
            <w:noWrap/>
            <w:vAlign w:val="center"/>
            <w:hideMark/>
          </w:tcPr>
          <w:p w14:paraId="2AAEEA92" w14:textId="77777777" w:rsidR="008E681A" w:rsidRPr="00D17FDB" w:rsidRDefault="008E681A" w:rsidP="000F4949">
            <w:pPr>
              <w:spacing w:after="0" w:line="240" w:lineRule="auto"/>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Bialskopodlaska LGD</w:t>
            </w:r>
          </w:p>
        </w:tc>
        <w:tc>
          <w:tcPr>
            <w:tcW w:w="338" w:type="pct"/>
            <w:tcBorders>
              <w:top w:val="nil"/>
              <w:left w:val="nil"/>
              <w:bottom w:val="single" w:sz="4" w:space="0" w:color="auto"/>
              <w:right w:val="single" w:sz="4" w:space="0" w:color="auto"/>
            </w:tcBorders>
            <w:shd w:val="clear" w:color="auto" w:fill="auto"/>
            <w:noWrap/>
            <w:vAlign w:val="center"/>
            <w:hideMark/>
          </w:tcPr>
          <w:p w14:paraId="1369B144" w14:textId="77777777" w:rsidR="008E681A" w:rsidRPr="000E6BF6"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42</w:t>
            </w:r>
          </w:p>
        </w:tc>
        <w:tc>
          <w:tcPr>
            <w:tcW w:w="337" w:type="pct"/>
            <w:tcBorders>
              <w:top w:val="nil"/>
              <w:left w:val="nil"/>
              <w:bottom w:val="single" w:sz="4" w:space="0" w:color="auto"/>
              <w:right w:val="single" w:sz="4" w:space="0" w:color="auto"/>
            </w:tcBorders>
            <w:shd w:val="clear" w:color="auto" w:fill="auto"/>
            <w:noWrap/>
            <w:vAlign w:val="center"/>
            <w:hideMark/>
          </w:tcPr>
          <w:p w14:paraId="58C24974" w14:textId="77777777" w:rsidR="008E681A" w:rsidRPr="000E6BF6"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39</w:t>
            </w:r>
          </w:p>
        </w:tc>
        <w:tc>
          <w:tcPr>
            <w:tcW w:w="337" w:type="pct"/>
            <w:tcBorders>
              <w:top w:val="nil"/>
              <w:left w:val="nil"/>
              <w:bottom w:val="single" w:sz="4" w:space="0" w:color="auto"/>
              <w:right w:val="single" w:sz="4" w:space="0" w:color="auto"/>
            </w:tcBorders>
            <w:shd w:val="clear" w:color="auto" w:fill="auto"/>
            <w:noWrap/>
            <w:vAlign w:val="center"/>
            <w:hideMark/>
          </w:tcPr>
          <w:p w14:paraId="3088D97C" w14:textId="77777777" w:rsidR="008E681A" w:rsidRPr="000E6BF6"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47</w:t>
            </w:r>
          </w:p>
        </w:tc>
        <w:tc>
          <w:tcPr>
            <w:tcW w:w="337" w:type="pct"/>
            <w:tcBorders>
              <w:top w:val="nil"/>
              <w:left w:val="nil"/>
              <w:bottom w:val="single" w:sz="4" w:space="0" w:color="auto"/>
              <w:right w:val="single" w:sz="4" w:space="0" w:color="auto"/>
            </w:tcBorders>
            <w:shd w:val="clear" w:color="auto" w:fill="auto"/>
            <w:noWrap/>
            <w:vAlign w:val="center"/>
            <w:hideMark/>
          </w:tcPr>
          <w:p w14:paraId="0D0C2492" w14:textId="77777777" w:rsidR="008E681A" w:rsidRPr="000E6BF6"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33</w:t>
            </w:r>
          </w:p>
        </w:tc>
        <w:tc>
          <w:tcPr>
            <w:tcW w:w="337" w:type="pct"/>
            <w:tcBorders>
              <w:top w:val="nil"/>
              <w:left w:val="nil"/>
              <w:bottom w:val="single" w:sz="4" w:space="0" w:color="auto"/>
              <w:right w:val="single" w:sz="4" w:space="0" w:color="auto"/>
            </w:tcBorders>
            <w:shd w:val="clear" w:color="auto" w:fill="auto"/>
            <w:noWrap/>
            <w:vAlign w:val="center"/>
            <w:hideMark/>
          </w:tcPr>
          <w:p w14:paraId="25E3A332" w14:textId="77777777" w:rsidR="008E681A" w:rsidRPr="000E6BF6"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26</w:t>
            </w:r>
          </w:p>
        </w:tc>
        <w:tc>
          <w:tcPr>
            <w:tcW w:w="339" w:type="pct"/>
            <w:tcBorders>
              <w:top w:val="nil"/>
              <w:left w:val="nil"/>
              <w:bottom w:val="single" w:sz="4" w:space="0" w:color="auto"/>
              <w:right w:val="single" w:sz="4" w:space="0" w:color="auto"/>
            </w:tcBorders>
            <w:shd w:val="clear" w:color="auto" w:fill="auto"/>
            <w:noWrap/>
            <w:vAlign w:val="center"/>
            <w:hideMark/>
          </w:tcPr>
          <w:p w14:paraId="28F88ACF" w14:textId="77777777" w:rsidR="008E681A" w:rsidRPr="000E6BF6"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28</w:t>
            </w:r>
          </w:p>
        </w:tc>
        <w:tc>
          <w:tcPr>
            <w:tcW w:w="284" w:type="pct"/>
            <w:tcBorders>
              <w:top w:val="nil"/>
              <w:left w:val="nil"/>
              <w:bottom w:val="single" w:sz="4" w:space="0" w:color="auto"/>
              <w:right w:val="single" w:sz="4" w:space="0" w:color="auto"/>
            </w:tcBorders>
            <w:shd w:val="clear" w:color="auto" w:fill="auto"/>
            <w:noWrap/>
            <w:vAlign w:val="center"/>
            <w:hideMark/>
          </w:tcPr>
          <w:p w14:paraId="61F1F247"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7,1</w:t>
            </w:r>
          </w:p>
        </w:tc>
        <w:tc>
          <w:tcPr>
            <w:tcW w:w="284" w:type="pct"/>
            <w:tcBorders>
              <w:top w:val="nil"/>
              <w:left w:val="nil"/>
              <w:bottom w:val="single" w:sz="4" w:space="0" w:color="auto"/>
              <w:right w:val="single" w:sz="4" w:space="0" w:color="auto"/>
            </w:tcBorders>
            <w:shd w:val="clear" w:color="auto" w:fill="auto"/>
            <w:noWrap/>
            <w:vAlign w:val="center"/>
            <w:hideMark/>
          </w:tcPr>
          <w:p w14:paraId="19E867C9"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6,4</w:t>
            </w:r>
          </w:p>
        </w:tc>
        <w:tc>
          <w:tcPr>
            <w:tcW w:w="284" w:type="pct"/>
            <w:tcBorders>
              <w:top w:val="nil"/>
              <w:left w:val="nil"/>
              <w:bottom w:val="single" w:sz="4" w:space="0" w:color="auto"/>
              <w:right w:val="single" w:sz="4" w:space="0" w:color="auto"/>
            </w:tcBorders>
            <w:shd w:val="clear" w:color="auto" w:fill="auto"/>
            <w:noWrap/>
            <w:vAlign w:val="center"/>
            <w:hideMark/>
          </w:tcPr>
          <w:p w14:paraId="03E24345"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7,4</w:t>
            </w:r>
          </w:p>
        </w:tc>
        <w:tc>
          <w:tcPr>
            <w:tcW w:w="285" w:type="pct"/>
            <w:tcBorders>
              <w:top w:val="nil"/>
              <w:left w:val="nil"/>
              <w:bottom w:val="single" w:sz="4" w:space="0" w:color="auto"/>
              <w:right w:val="single" w:sz="4" w:space="0" w:color="auto"/>
            </w:tcBorders>
            <w:shd w:val="clear" w:color="auto" w:fill="auto"/>
            <w:noWrap/>
            <w:vAlign w:val="center"/>
            <w:hideMark/>
          </w:tcPr>
          <w:p w14:paraId="1A3B58DA"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4,9</w:t>
            </w:r>
          </w:p>
        </w:tc>
        <w:tc>
          <w:tcPr>
            <w:tcW w:w="285" w:type="pct"/>
            <w:tcBorders>
              <w:top w:val="nil"/>
              <w:left w:val="nil"/>
              <w:bottom w:val="single" w:sz="4" w:space="0" w:color="auto"/>
              <w:right w:val="single" w:sz="4" w:space="0" w:color="auto"/>
            </w:tcBorders>
            <w:shd w:val="clear" w:color="auto" w:fill="auto"/>
            <w:noWrap/>
            <w:vAlign w:val="center"/>
            <w:hideMark/>
          </w:tcPr>
          <w:p w14:paraId="71CC722B"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3,6</w:t>
            </w:r>
          </w:p>
        </w:tc>
        <w:tc>
          <w:tcPr>
            <w:tcW w:w="286" w:type="pct"/>
            <w:tcBorders>
              <w:top w:val="nil"/>
              <w:left w:val="nil"/>
              <w:bottom w:val="single" w:sz="4" w:space="0" w:color="auto"/>
              <w:right w:val="single" w:sz="4" w:space="0" w:color="auto"/>
            </w:tcBorders>
            <w:shd w:val="clear" w:color="auto" w:fill="auto"/>
            <w:noWrap/>
            <w:vAlign w:val="center"/>
            <w:hideMark/>
          </w:tcPr>
          <w:p w14:paraId="4B44C6B1" w14:textId="77777777" w:rsidR="008E681A" w:rsidRPr="00D17FDB" w:rsidRDefault="008E681A" w:rsidP="000F4949">
            <w:pPr>
              <w:spacing w:after="0" w:line="240" w:lineRule="auto"/>
              <w:jc w:val="center"/>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3,7</w:t>
            </w:r>
          </w:p>
        </w:tc>
        <w:tc>
          <w:tcPr>
            <w:tcW w:w="72" w:type="pct"/>
            <w:vAlign w:val="center"/>
            <w:hideMark/>
          </w:tcPr>
          <w:p w14:paraId="288763DF" w14:textId="77777777" w:rsidR="008E681A" w:rsidRPr="00D17FDB" w:rsidRDefault="008E681A" w:rsidP="000F4949">
            <w:pPr>
              <w:spacing w:after="0" w:line="240" w:lineRule="auto"/>
              <w:rPr>
                <w:rFonts w:ascii="Times New Roman" w:eastAsia="Times New Roman" w:hAnsi="Times New Roman" w:cs="Times New Roman"/>
                <w:sz w:val="20"/>
                <w:szCs w:val="20"/>
                <w:lang w:eastAsia="pl-PL"/>
              </w:rPr>
            </w:pPr>
          </w:p>
        </w:tc>
      </w:tr>
      <w:tr w:rsidR="008E681A" w:rsidRPr="00D17FDB" w14:paraId="4F5E2991" w14:textId="77777777" w:rsidTr="008E681A">
        <w:trPr>
          <w:trHeight w:val="340"/>
        </w:trPr>
        <w:tc>
          <w:tcPr>
            <w:tcW w:w="1191" w:type="pct"/>
            <w:tcBorders>
              <w:top w:val="nil"/>
              <w:left w:val="single" w:sz="4" w:space="0" w:color="auto"/>
              <w:bottom w:val="single" w:sz="4" w:space="0" w:color="auto"/>
              <w:right w:val="single" w:sz="4" w:space="0" w:color="auto"/>
            </w:tcBorders>
            <w:shd w:val="clear" w:color="auto" w:fill="auto"/>
            <w:noWrap/>
            <w:vAlign w:val="center"/>
            <w:hideMark/>
          </w:tcPr>
          <w:p w14:paraId="79616F6E" w14:textId="77777777" w:rsidR="008E681A" w:rsidRPr="00D17FDB" w:rsidRDefault="008E681A" w:rsidP="000F4949">
            <w:pPr>
              <w:spacing w:after="0" w:line="240" w:lineRule="auto"/>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województwo lubelskie</w:t>
            </w:r>
          </w:p>
        </w:tc>
        <w:tc>
          <w:tcPr>
            <w:tcW w:w="338" w:type="pct"/>
            <w:tcBorders>
              <w:top w:val="nil"/>
              <w:left w:val="nil"/>
              <w:bottom w:val="single" w:sz="4" w:space="0" w:color="auto"/>
              <w:right w:val="single" w:sz="4" w:space="0" w:color="auto"/>
            </w:tcBorders>
            <w:shd w:val="clear" w:color="auto" w:fill="auto"/>
            <w:noWrap/>
            <w:vAlign w:val="center"/>
            <w:hideMark/>
          </w:tcPr>
          <w:p w14:paraId="29FCBD2F"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60</w:t>
            </w:r>
          </w:p>
        </w:tc>
        <w:tc>
          <w:tcPr>
            <w:tcW w:w="337" w:type="pct"/>
            <w:tcBorders>
              <w:top w:val="nil"/>
              <w:left w:val="nil"/>
              <w:bottom w:val="single" w:sz="4" w:space="0" w:color="auto"/>
              <w:right w:val="single" w:sz="4" w:space="0" w:color="auto"/>
            </w:tcBorders>
            <w:shd w:val="clear" w:color="auto" w:fill="auto"/>
            <w:noWrap/>
            <w:vAlign w:val="center"/>
            <w:hideMark/>
          </w:tcPr>
          <w:p w14:paraId="5FF26F0B"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58</w:t>
            </w:r>
          </w:p>
        </w:tc>
        <w:tc>
          <w:tcPr>
            <w:tcW w:w="337" w:type="pct"/>
            <w:tcBorders>
              <w:top w:val="nil"/>
              <w:left w:val="nil"/>
              <w:bottom w:val="single" w:sz="4" w:space="0" w:color="auto"/>
              <w:right w:val="single" w:sz="4" w:space="0" w:color="auto"/>
            </w:tcBorders>
            <w:shd w:val="clear" w:color="auto" w:fill="auto"/>
            <w:noWrap/>
            <w:vAlign w:val="center"/>
            <w:hideMark/>
          </w:tcPr>
          <w:p w14:paraId="729AD0F6"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66</w:t>
            </w:r>
          </w:p>
        </w:tc>
        <w:tc>
          <w:tcPr>
            <w:tcW w:w="337" w:type="pct"/>
            <w:tcBorders>
              <w:top w:val="nil"/>
              <w:left w:val="nil"/>
              <w:bottom w:val="single" w:sz="4" w:space="0" w:color="auto"/>
              <w:right w:val="single" w:sz="4" w:space="0" w:color="auto"/>
            </w:tcBorders>
            <w:shd w:val="clear" w:color="auto" w:fill="auto"/>
            <w:noWrap/>
            <w:vAlign w:val="center"/>
            <w:hideMark/>
          </w:tcPr>
          <w:p w14:paraId="384F50A6"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51</w:t>
            </w:r>
          </w:p>
        </w:tc>
        <w:tc>
          <w:tcPr>
            <w:tcW w:w="337" w:type="pct"/>
            <w:tcBorders>
              <w:top w:val="nil"/>
              <w:left w:val="nil"/>
              <w:bottom w:val="single" w:sz="4" w:space="0" w:color="auto"/>
              <w:right w:val="single" w:sz="4" w:space="0" w:color="auto"/>
            </w:tcBorders>
            <w:shd w:val="clear" w:color="auto" w:fill="auto"/>
            <w:noWrap/>
            <w:vAlign w:val="center"/>
            <w:hideMark/>
          </w:tcPr>
          <w:p w14:paraId="55D5BDB4"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37</w:t>
            </w:r>
          </w:p>
        </w:tc>
        <w:tc>
          <w:tcPr>
            <w:tcW w:w="339" w:type="pct"/>
            <w:tcBorders>
              <w:top w:val="nil"/>
              <w:left w:val="nil"/>
              <w:bottom w:val="single" w:sz="4" w:space="0" w:color="auto"/>
              <w:right w:val="single" w:sz="4" w:space="0" w:color="auto"/>
            </w:tcBorders>
            <w:shd w:val="clear" w:color="auto" w:fill="auto"/>
            <w:noWrap/>
            <w:vAlign w:val="center"/>
            <w:hideMark/>
          </w:tcPr>
          <w:p w14:paraId="03DB9496"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42</w:t>
            </w:r>
          </w:p>
        </w:tc>
        <w:tc>
          <w:tcPr>
            <w:tcW w:w="284" w:type="pct"/>
            <w:tcBorders>
              <w:top w:val="nil"/>
              <w:left w:val="nil"/>
              <w:bottom w:val="single" w:sz="4" w:space="0" w:color="auto"/>
              <w:right w:val="single" w:sz="4" w:space="0" w:color="auto"/>
            </w:tcBorders>
            <w:shd w:val="clear" w:color="auto" w:fill="auto"/>
            <w:noWrap/>
            <w:vAlign w:val="center"/>
            <w:hideMark/>
          </w:tcPr>
          <w:p w14:paraId="19DFEB14"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7,3</w:t>
            </w:r>
          </w:p>
        </w:tc>
        <w:tc>
          <w:tcPr>
            <w:tcW w:w="284" w:type="pct"/>
            <w:tcBorders>
              <w:top w:val="nil"/>
              <w:left w:val="nil"/>
              <w:bottom w:val="single" w:sz="4" w:space="0" w:color="auto"/>
              <w:right w:val="single" w:sz="4" w:space="0" w:color="auto"/>
            </w:tcBorders>
            <w:shd w:val="clear" w:color="auto" w:fill="auto"/>
            <w:noWrap/>
            <w:vAlign w:val="center"/>
            <w:hideMark/>
          </w:tcPr>
          <w:p w14:paraId="3E4A14AA"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7,0</w:t>
            </w:r>
          </w:p>
        </w:tc>
        <w:tc>
          <w:tcPr>
            <w:tcW w:w="284" w:type="pct"/>
            <w:tcBorders>
              <w:top w:val="nil"/>
              <w:left w:val="nil"/>
              <w:bottom w:val="single" w:sz="4" w:space="0" w:color="auto"/>
              <w:right w:val="single" w:sz="4" w:space="0" w:color="auto"/>
            </w:tcBorders>
            <w:shd w:val="clear" w:color="auto" w:fill="auto"/>
            <w:noWrap/>
            <w:vAlign w:val="center"/>
            <w:hideMark/>
          </w:tcPr>
          <w:p w14:paraId="3B0792A7"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7,7</w:t>
            </w:r>
          </w:p>
        </w:tc>
        <w:tc>
          <w:tcPr>
            <w:tcW w:w="285" w:type="pct"/>
            <w:tcBorders>
              <w:top w:val="nil"/>
              <w:left w:val="nil"/>
              <w:bottom w:val="single" w:sz="4" w:space="0" w:color="auto"/>
              <w:right w:val="single" w:sz="4" w:space="0" w:color="auto"/>
            </w:tcBorders>
            <w:shd w:val="clear" w:color="auto" w:fill="auto"/>
            <w:noWrap/>
            <w:vAlign w:val="center"/>
            <w:hideMark/>
          </w:tcPr>
          <w:p w14:paraId="2C91E2CA"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5,8</w:t>
            </w:r>
          </w:p>
        </w:tc>
        <w:tc>
          <w:tcPr>
            <w:tcW w:w="285" w:type="pct"/>
            <w:tcBorders>
              <w:top w:val="nil"/>
              <w:left w:val="nil"/>
              <w:bottom w:val="single" w:sz="4" w:space="0" w:color="auto"/>
              <w:right w:val="single" w:sz="4" w:space="0" w:color="auto"/>
            </w:tcBorders>
            <w:shd w:val="clear" w:color="auto" w:fill="auto"/>
            <w:noWrap/>
            <w:vAlign w:val="center"/>
            <w:hideMark/>
          </w:tcPr>
          <w:p w14:paraId="73B63C37"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3,9</w:t>
            </w:r>
          </w:p>
        </w:tc>
        <w:tc>
          <w:tcPr>
            <w:tcW w:w="286" w:type="pct"/>
            <w:tcBorders>
              <w:top w:val="nil"/>
              <w:left w:val="nil"/>
              <w:bottom w:val="single" w:sz="4" w:space="0" w:color="auto"/>
              <w:right w:val="single" w:sz="4" w:space="0" w:color="auto"/>
            </w:tcBorders>
            <w:shd w:val="clear" w:color="auto" w:fill="auto"/>
            <w:noWrap/>
            <w:vAlign w:val="center"/>
            <w:hideMark/>
          </w:tcPr>
          <w:p w14:paraId="31310C35"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4,2</w:t>
            </w:r>
          </w:p>
        </w:tc>
        <w:tc>
          <w:tcPr>
            <w:tcW w:w="72" w:type="pct"/>
            <w:vAlign w:val="center"/>
            <w:hideMark/>
          </w:tcPr>
          <w:p w14:paraId="41AE1B68" w14:textId="77777777" w:rsidR="008E681A" w:rsidRPr="00D17FDB" w:rsidRDefault="008E681A" w:rsidP="000F4949">
            <w:pPr>
              <w:spacing w:after="0" w:line="240" w:lineRule="auto"/>
              <w:rPr>
                <w:rFonts w:ascii="Times New Roman" w:eastAsia="Times New Roman" w:hAnsi="Times New Roman" w:cs="Times New Roman"/>
                <w:sz w:val="20"/>
                <w:szCs w:val="20"/>
                <w:lang w:eastAsia="pl-PL"/>
              </w:rPr>
            </w:pPr>
          </w:p>
        </w:tc>
      </w:tr>
      <w:tr w:rsidR="008E681A" w:rsidRPr="00D17FDB" w14:paraId="3614D005" w14:textId="77777777" w:rsidTr="008E681A">
        <w:trPr>
          <w:trHeight w:val="340"/>
        </w:trPr>
        <w:tc>
          <w:tcPr>
            <w:tcW w:w="1191" w:type="pct"/>
            <w:tcBorders>
              <w:top w:val="nil"/>
              <w:left w:val="single" w:sz="4" w:space="0" w:color="auto"/>
              <w:bottom w:val="single" w:sz="4" w:space="0" w:color="auto"/>
              <w:right w:val="single" w:sz="4" w:space="0" w:color="auto"/>
            </w:tcBorders>
            <w:shd w:val="clear" w:color="auto" w:fill="auto"/>
            <w:noWrap/>
            <w:vAlign w:val="center"/>
            <w:hideMark/>
          </w:tcPr>
          <w:p w14:paraId="6A6D6FC6" w14:textId="77777777" w:rsidR="008E681A" w:rsidRPr="00D17FDB" w:rsidRDefault="008E681A" w:rsidP="000F4949">
            <w:pPr>
              <w:spacing w:after="0" w:line="240" w:lineRule="auto"/>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Polska</w:t>
            </w:r>
          </w:p>
        </w:tc>
        <w:tc>
          <w:tcPr>
            <w:tcW w:w="338" w:type="pct"/>
            <w:tcBorders>
              <w:top w:val="nil"/>
              <w:left w:val="nil"/>
              <w:bottom w:val="single" w:sz="4" w:space="0" w:color="auto"/>
              <w:right w:val="single" w:sz="4" w:space="0" w:color="auto"/>
            </w:tcBorders>
            <w:shd w:val="clear" w:color="auto" w:fill="auto"/>
            <w:noWrap/>
            <w:vAlign w:val="center"/>
            <w:hideMark/>
          </w:tcPr>
          <w:p w14:paraId="0365DF71"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76</w:t>
            </w:r>
          </w:p>
        </w:tc>
        <w:tc>
          <w:tcPr>
            <w:tcW w:w="337" w:type="pct"/>
            <w:tcBorders>
              <w:top w:val="nil"/>
              <w:left w:val="nil"/>
              <w:bottom w:val="single" w:sz="4" w:space="0" w:color="auto"/>
              <w:right w:val="single" w:sz="4" w:space="0" w:color="auto"/>
            </w:tcBorders>
            <w:shd w:val="clear" w:color="auto" w:fill="auto"/>
            <w:noWrap/>
            <w:vAlign w:val="center"/>
            <w:hideMark/>
          </w:tcPr>
          <w:p w14:paraId="7639A3BA"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75</w:t>
            </w:r>
          </w:p>
        </w:tc>
        <w:tc>
          <w:tcPr>
            <w:tcW w:w="337" w:type="pct"/>
            <w:tcBorders>
              <w:top w:val="nil"/>
              <w:left w:val="nil"/>
              <w:bottom w:val="single" w:sz="4" w:space="0" w:color="auto"/>
              <w:right w:val="single" w:sz="4" w:space="0" w:color="auto"/>
            </w:tcBorders>
            <w:shd w:val="clear" w:color="auto" w:fill="auto"/>
            <w:noWrap/>
            <w:vAlign w:val="center"/>
            <w:hideMark/>
          </w:tcPr>
          <w:p w14:paraId="1C4B00D2"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86</w:t>
            </w:r>
          </w:p>
        </w:tc>
        <w:tc>
          <w:tcPr>
            <w:tcW w:w="337" w:type="pct"/>
            <w:tcBorders>
              <w:top w:val="nil"/>
              <w:left w:val="nil"/>
              <w:bottom w:val="single" w:sz="4" w:space="0" w:color="auto"/>
              <w:right w:val="single" w:sz="4" w:space="0" w:color="auto"/>
            </w:tcBorders>
            <w:shd w:val="clear" w:color="auto" w:fill="auto"/>
            <w:noWrap/>
            <w:vAlign w:val="center"/>
            <w:hideMark/>
          </w:tcPr>
          <w:p w14:paraId="046B41A6"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59</w:t>
            </w:r>
          </w:p>
        </w:tc>
        <w:tc>
          <w:tcPr>
            <w:tcW w:w="337" w:type="pct"/>
            <w:tcBorders>
              <w:top w:val="nil"/>
              <w:left w:val="nil"/>
              <w:bottom w:val="single" w:sz="4" w:space="0" w:color="auto"/>
              <w:right w:val="single" w:sz="4" w:space="0" w:color="auto"/>
            </w:tcBorders>
            <w:shd w:val="clear" w:color="auto" w:fill="auto"/>
            <w:noWrap/>
            <w:vAlign w:val="center"/>
            <w:hideMark/>
          </w:tcPr>
          <w:p w14:paraId="21C22A1D"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44</w:t>
            </w:r>
          </w:p>
        </w:tc>
        <w:tc>
          <w:tcPr>
            <w:tcW w:w="339" w:type="pct"/>
            <w:tcBorders>
              <w:top w:val="nil"/>
              <w:left w:val="nil"/>
              <w:bottom w:val="single" w:sz="4" w:space="0" w:color="auto"/>
              <w:right w:val="single" w:sz="4" w:space="0" w:color="auto"/>
            </w:tcBorders>
            <w:shd w:val="clear" w:color="auto" w:fill="auto"/>
            <w:noWrap/>
            <w:vAlign w:val="center"/>
            <w:hideMark/>
          </w:tcPr>
          <w:p w14:paraId="30D665D7" w14:textId="77777777" w:rsidR="008E681A" w:rsidRPr="000E6BF6"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0E6BF6">
              <w:rPr>
                <w:rFonts w:ascii="Times New Roman" w:eastAsia="Times New Roman" w:hAnsi="Times New Roman" w:cs="Times New Roman"/>
                <w:color w:val="000000"/>
                <w:sz w:val="20"/>
                <w:szCs w:val="20"/>
                <w:lang w:eastAsia="pl-PL"/>
              </w:rPr>
              <w:t>50</w:t>
            </w:r>
          </w:p>
        </w:tc>
        <w:tc>
          <w:tcPr>
            <w:tcW w:w="284" w:type="pct"/>
            <w:tcBorders>
              <w:top w:val="nil"/>
              <w:left w:val="nil"/>
              <w:bottom w:val="single" w:sz="4" w:space="0" w:color="auto"/>
              <w:right w:val="single" w:sz="4" w:space="0" w:color="auto"/>
            </w:tcBorders>
            <w:shd w:val="clear" w:color="auto" w:fill="auto"/>
            <w:noWrap/>
            <w:vAlign w:val="center"/>
            <w:hideMark/>
          </w:tcPr>
          <w:p w14:paraId="2C0DB1A3"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6,9</w:t>
            </w:r>
          </w:p>
        </w:tc>
        <w:tc>
          <w:tcPr>
            <w:tcW w:w="284" w:type="pct"/>
            <w:tcBorders>
              <w:top w:val="nil"/>
              <w:left w:val="nil"/>
              <w:bottom w:val="single" w:sz="4" w:space="0" w:color="auto"/>
              <w:right w:val="single" w:sz="4" w:space="0" w:color="auto"/>
            </w:tcBorders>
            <w:shd w:val="clear" w:color="auto" w:fill="auto"/>
            <w:noWrap/>
            <w:vAlign w:val="center"/>
            <w:hideMark/>
          </w:tcPr>
          <w:p w14:paraId="24648D76"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6,7</w:t>
            </w:r>
          </w:p>
        </w:tc>
        <w:tc>
          <w:tcPr>
            <w:tcW w:w="284" w:type="pct"/>
            <w:tcBorders>
              <w:top w:val="nil"/>
              <w:left w:val="nil"/>
              <w:bottom w:val="single" w:sz="4" w:space="0" w:color="auto"/>
              <w:right w:val="single" w:sz="4" w:space="0" w:color="auto"/>
            </w:tcBorders>
            <w:shd w:val="clear" w:color="auto" w:fill="auto"/>
            <w:noWrap/>
            <w:vAlign w:val="center"/>
            <w:hideMark/>
          </w:tcPr>
          <w:p w14:paraId="4093BA24"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7,6</w:t>
            </w:r>
          </w:p>
        </w:tc>
        <w:tc>
          <w:tcPr>
            <w:tcW w:w="285" w:type="pct"/>
            <w:tcBorders>
              <w:top w:val="nil"/>
              <w:left w:val="nil"/>
              <w:bottom w:val="single" w:sz="4" w:space="0" w:color="auto"/>
              <w:right w:val="single" w:sz="4" w:space="0" w:color="auto"/>
            </w:tcBorders>
            <w:shd w:val="clear" w:color="auto" w:fill="auto"/>
            <w:noWrap/>
            <w:vAlign w:val="center"/>
            <w:hideMark/>
          </w:tcPr>
          <w:p w14:paraId="7E58BB7C"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5,0</w:t>
            </w:r>
          </w:p>
        </w:tc>
        <w:tc>
          <w:tcPr>
            <w:tcW w:w="285" w:type="pct"/>
            <w:tcBorders>
              <w:top w:val="nil"/>
              <w:left w:val="nil"/>
              <w:bottom w:val="single" w:sz="4" w:space="0" w:color="auto"/>
              <w:right w:val="single" w:sz="4" w:space="0" w:color="auto"/>
            </w:tcBorders>
            <w:shd w:val="clear" w:color="auto" w:fill="auto"/>
            <w:noWrap/>
            <w:vAlign w:val="center"/>
            <w:hideMark/>
          </w:tcPr>
          <w:p w14:paraId="2D1D7E08"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3,6</w:t>
            </w:r>
          </w:p>
        </w:tc>
        <w:tc>
          <w:tcPr>
            <w:tcW w:w="286" w:type="pct"/>
            <w:tcBorders>
              <w:top w:val="nil"/>
              <w:left w:val="nil"/>
              <w:bottom w:val="single" w:sz="4" w:space="0" w:color="auto"/>
              <w:right w:val="single" w:sz="4" w:space="0" w:color="auto"/>
            </w:tcBorders>
            <w:shd w:val="clear" w:color="auto" w:fill="auto"/>
            <w:noWrap/>
            <w:vAlign w:val="center"/>
            <w:hideMark/>
          </w:tcPr>
          <w:p w14:paraId="5F78C7A7" w14:textId="77777777" w:rsidR="008E681A" w:rsidRPr="00D17FDB" w:rsidRDefault="008E681A" w:rsidP="000F4949">
            <w:pPr>
              <w:spacing w:after="0" w:line="240" w:lineRule="auto"/>
              <w:jc w:val="center"/>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3,9</w:t>
            </w:r>
          </w:p>
        </w:tc>
        <w:tc>
          <w:tcPr>
            <w:tcW w:w="72" w:type="pct"/>
            <w:vAlign w:val="center"/>
            <w:hideMark/>
          </w:tcPr>
          <w:p w14:paraId="37904E33" w14:textId="77777777" w:rsidR="008E681A" w:rsidRPr="00D17FDB" w:rsidRDefault="008E681A" w:rsidP="000F4949">
            <w:pPr>
              <w:spacing w:after="0" w:line="240" w:lineRule="auto"/>
              <w:rPr>
                <w:rFonts w:ascii="Times New Roman" w:eastAsia="Times New Roman" w:hAnsi="Times New Roman" w:cs="Times New Roman"/>
                <w:sz w:val="20"/>
                <w:szCs w:val="20"/>
                <w:lang w:eastAsia="pl-PL"/>
              </w:rPr>
            </w:pPr>
          </w:p>
        </w:tc>
      </w:tr>
    </w:tbl>
    <w:p w14:paraId="7F5881B6" w14:textId="5DBB5512" w:rsidR="00A17173" w:rsidRDefault="00A17173" w:rsidP="00A17173">
      <w:pPr>
        <w:tabs>
          <w:tab w:val="left" w:pos="3684"/>
        </w:tabs>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01750C8C" w14:textId="066378FB" w:rsidR="00A17173" w:rsidRDefault="00A17173" w:rsidP="008F34ED">
      <w:pPr>
        <w:spacing w:after="80"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W tabeli </w:t>
      </w:r>
      <w:r w:rsidR="001E060A">
        <w:rPr>
          <w:rFonts w:ascii="Times New Roman" w:hAnsi="Times New Roman" w:cs="Times New Roman"/>
          <w:color w:val="000000" w:themeColor="text1"/>
        </w:rPr>
        <w:t>5</w:t>
      </w:r>
      <w:r>
        <w:rPr>
          <w:rFonts w:ascii="Times New Roman" w:hAnsi="Times New Roman" w:cs="Times New Roman"/>
          <w:color w:val="000000" w:themeColor="text1"/>
        </w:rPr>
        <w:t xml:space="preserve"> przedstawiono wartość wskaźników </w:t>
      </w:r>
      <w:r w:rsidRPr="00D47A21">
        <w:rPr>
          <w:rFonts w:ascii="Times New Roman" w:hAnsi="Times New Roman" w:cs="Times New Roman"/>
          <w:i/>
          <w:iCs/>
          <w:color w:val="000000" w:themeColor="text1"/>
        </w:rPr>
        <w:t>udział przedsiębiorstw zatrudniających mniej niż 50 pracowników w liczbie mieszkańców ogółem</w:t>
      </w:r>
      <w:r>
        <w:rPr>
          <w:rFonts w:ascii="Times New Roman" w:hAnsi="Times New Roman" w:cs="Times New Roman"/>
          <w:color w:val="000000" w:themeColor="text1"/>
        </w:rPr>
        <w:t xml:space="preserve"> </w:t>
      </w:r>
      <w:r w:rsidR="009315C8">
        <w:rPr>
          <w:rFonts w:ascii="Times New Roman" w:hAnsi="Times New Roman" w:cs="Times New Roman"/>
          <w:color w:val="000000" w:themeColor="text1"/>
        </w:rPr>
        <w:t xml:space="preserve">oraz </w:t>
      </w:r>
      <w:r w:rsidR="009315C8" w:rsidRPr="008546D9">
        <w:rPr>
          <w:rFonts w:ascii="Times New Roman" w:hAnsi="Times New Roman" w:cs="Times New Roman"/>
          <w:i/>
          <w:iCs/>
          <w:color w:val="000000" w:themeColor="text1"/>
        </w:rPr>
        <w:t>przedsiębiorstwa zatrudniające mniej niż 50 pracowników ogółem</w:t>
      </w:r>
      <w:r w:rsidR="009315C8">
        <w:rPr>
          <w:rFonts w:ascii="Times New Roman" w:hAnsi="Times New Roman" w:cs="Times New Roman"/>
          <w:color w:val="000000" w:themeColor="text1"/>
        </w:rPr>
        <w:t xml:space="preserve"> </w:t>
      </w:r>
      <w:r>
        <w:rPr>
          <w:rFonts w:ascii="Times New Roman" w:hAnsi="Times New Roman" w:cs="Times New Roman"/>
          <w:color w:val="000000" w:themeColor="text1"/>
        </w:rPr>
        <w:t>średnio w LGD oraz województwie i kraju w roku 2016 i 2020. Przedsiębiorstwa, które zatrudniają mniej niż 50 pracowników to tzw. mikro (do 9 pracowników) i małe firmy (do 49 pracowników). Stanowią one ok. 99% polskiego sektora przedsiębiorstw.</w:t>
      </w:r>
      <w:bookmarkStart w:id="51" w:name="_Toc115335597"/>
    </w:p>
    <w:p w14:paraId="026EF9DB" w14:textId="6FF2A042" w:rsidR="00A17173" w:rsidRDefault="00A17173" w:rsidP="00A17173">
      <w:pPr>
        <w:spacing w:after="0" w:line="276" w:lineRule="auto"/>
        <w:ind w:firstLine="709"/>
        <w:jc w:val="center"/>
        <w:rPr>
          <w:rFonts w:ascii="Times New Roman" w:hAnsi="Times New Roman" w:cs="Times New Roman"/>
          <w:b/>
          <w:bCs/>
          <w:i/>
          <w:iCs/>
          <w:color w:val="000000" w:themeColor="text1"/>
          <w:sz w:val="20"/>
          <w:szCs w:val="20"/>
        </w:rPr>
      </w:pPr>
      <w:bookmarkStart w:id="52" w:name="_Toc135896547"/>
      <w:r w:rsidRPr="00203067">
        <w:rPr>
          <w:rFonts w:ascii="Times New Roman" w:hAnsi="Times New Roman" w:cs="Times New Roman"/>
          <w:b/>
          <w:bCs/>
          <w:color w:val="000000" w:themeColor="text1"/>
          <w:sz w:val="20"/>
          <w:szCs w:val="20"/>
        </w:rPr>
        <w:t xml:space="preserve">Tabela </w:t>
      </w:r>
      <w:r w:rsidRPr="00203067">
        <w:rPr>
          <w:rFonts w:ascii="Times New Roman" w:hAnsi="Times New Roman" w:cs="Times New Roman"/>
          <w:b/>
          <w:bCs/>
          <w:i/>
          <w:iCs/>
          <w:color w:val="000000" w:themeColor="text1"/>
          <w:sz w:val="20"/>
          <w:szCs w:val="20"/>
        </w:rPr>
        <w:fldChar w:fldCharType="begin"/>
      </w:r>
      <w:r w:rsidRPr="00203067">
        <w:rPr>
          <w:rFonts w:ascii="Times New Roman" w:hAnsi="Times New Roman" w:cs="Times New Roman"/>
          <w:b/>
          <w:bCs/>
          <w:color w:val="000000" w:themeColor="text1"/>
          <w:sz w:val="20"/>
          <w:szCs w:val="20"/>
        </w:rPr>
        <w:instrText xml:space="preserve"> SEQ Tabela \* ARABIC </w:instrText>
      </w:r>
      <w:r w:rsidRPr="00203067">
        <w:rPr>
          <w:rFonts w:ascii="Times New Roman" w:hAnsi="Times New Roman" w:cs="Times New Roman"/>
          <w:b/>
          <w:bCs/>
          <w:i/>
          <w:iCs/>
          <w:color w:val="000000" w:themeColor="text1"/>
          <w:sz w:val="20"/>
          <w:szCs w:val="20"/>
        </w:rPr>
        <w:fldChar w:fldCharType="separate"/>
      </w:r>
      <w:r w:rsidR="00090F4A">
        <w:rPr>
          <w:rFonts w:ascii="Times New Roman" w:hAnsi="Times New Roman" w:cs="Times New Roman"/>
          <w:b/>
          <w:bCs/>
          <w:noProof/>
          <w:color w:val="000000" w:themeColor="text1"/>
          <w:sz w:val="20"/>
          <w:szCs w:val="20"/>
        </w:rPr>
        <w:t>5</w:t>
      </w:r>
      <w:r w:rsidRPr="00203067">
        <w:rPr>
          <w:rFonts w:ascii="Times New Roman" w:hAnsi="Times New Roman" w:cs="Times New Roman"/>
          <w:b/>
          <w:bCs/>
          <w:i/>
          <w:iCs/>
          <w:color w:val="000000" w:themeColor="text1"/>
          <w:sz w:val="20"/>
          <w:szCs w:val="20"/>
        </w:rPr>
        <w:fldChar w:fldCharType="end"/>
      </w:r>
      <w:r w:rsidRPr="00AA5192">
        <w:rPr>
          <w:rFonts w:ascii="Times New Roman" w:hAnsi="Times New Roman" w:cs="Times New Roman"/>
          <w:b/>
          <w:bCs/>
          <w:color w:val="000000" w:themeColor="text1"/>
          <w:sz w:val="20"/>
          <w:szCs w:val="20"/>
        </w:rPr>
        <w:t xml:space="preserve"> </w:t>
      </w:r>
      <w:bookmarkStart w:id="53" w:name="_Hlk113306374"/>
      <w:r>
        <w:rPr>
          <w:rFonts w:ascii="Times New Roman" w:hAnsi="Times New Roman" w:cs="Times New Roman"/>
          <w:b/>
          <w:bCs/>
          <w:color w:val="000000" w:themeColor="text1"/>
          <w:sz w:val="20"/>
          <w:szCs w:val="20"/>
        </w:rPr>
        <w:t>Wskaźniki dotyczące przedsiębiorczości</w:t>
      </w:r>
      <w:r w:rsidRPr="00D47A21">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dla obszaru </w:t>
      </w:r>
      <w:r w:rsidRPr="00394BEE">
        <w:rPr>
          <w:rFonts w:ascii="Times New Roman" w:hAnsi="Times New Roman" w:cs="Times New Roman"/>
          <w:b/>
          <w:bCs/>
          <w:color w:val="000000" w:themeColor="text1"/>
          <w:sz w:val="20"/>
          <w:szCs w:val="20"/>
        </w:rPr>
        <w:t>LGD</w:t>
      </w:r>
      <w:r>
        <w:rPr>
          <w:rFonts w:ascii="Times New Roman" w:hAnsi="Times New Roman" w:cs="Times New Roman"/>
          <w:b/>
          <w:bCs/>
          <w:color w:val="000000" w:themeColor="text1"/>
          <w:sz w:val="20"/>
          <w:szCs w:val="20"/>
        </w:rPr>
        <w:t xml:space="preserve"> oraz w porównaniu</w:t>
      </w:r>
      <w:r w:rsidRPr="00394BEE">
        <w:rPr>
          <w:rFonts w:ascii="Times New Roman" w:hAnsi="Times New Roman" w:cs="Times New Roman"/>
          <w:b/>
          <w:bCs/>
          <w:color w:val="000000" w:themeColor="text1"/>
          <w:sz w:val="20"/>
          <w:szCs w:val="20"/>
        </w:rPr>
        <w:t xml:space="preserve"> do województwa i</w:t>
      </w:r>
      <w:r>
        <w:rPr>
          <w:rFonts w:ascii="Times New Roman" w:hAnsi="Times New Roman" w:cs="Times New Roman"/>
          <w:b/>
          <w:bCs/>
          <w:color w:val="000000" w:themeColor="text1"/>
          <w:sz w:val="20"/>
          <w:szCs w:val="20"/>
        </w:rPr>
        <w:t> </w:t>
      </w:r>
      <w:r w:rsidRPr="00394BEE">
        <w:rPr>
          <w:rFonts w:ascii="Times New Roman" w:hAnsi="Times New Roman" w:cs="Times New Roman"/>
          <w:b/>
          <w:bCs/>
          <w:color w:val="000000" w:themeColor="text1"/>
          <w:sz w:val="20"/>
          <w:szCs w:val="20"/>
        </w:rPr>
        <w:t xml:space="preserve">kraju w </w:t>
      </w:r>
      <w:bookmarkEnd w:id="51"/>
      <w:bookmarkEnd w:id="53"/>
      <w:r>
        <w:rPr>
          <w:rFonts w:ascii="Times New Roman" w:hAnsi="Times New Roman" w:cs="Times New Roman"/>
          <w:b/>
          <w:bCs/>
          <w:color w:val="000000" w:themeColor="text1"/>
          <w:sz w:val="20"/>
          <w:szCs w:val="20"/>
        </w:rPr>
        <w:t>roku 2016 i 2020</w:t>
      </w:r>
      <w:bookmarkEnd w:id="52"/>
    </w:p>
    <w:tbl>
      <w:tblPr>
        <w:tblW w:w="0" w:type="auto"/>
        <w:tblCellMar>
          <w:left w:w="70" w:type="dxa"/>
          <w:right w:w="70" w:type="dxa"/>
        </w:tblCellMar>
        <w:tblLook w:val="04A0" w:firstRow="1" w:lastRow="0" w:firstColumn="1" w:lastColumn="0" w:noHBand="0" w:noVBand="1"/>
      </w:tblPr>
      <w:tblGrid>
        <w:gridCol w:w="2052"/>
        <w:gridCol w:w="1937"/>
        <w:gridCol w:w="1937"/>
        <w:gridCol w:w="2134"/>
        <w:gridCol w:w="2134"/>
      </w:tblGrid>
      <w:tr w:rsidR="00A17173" w:rsidRPr="00AA5192" w14:paraId="3972B996" w14:textId="77777777" w:rsidTr="00E15165">
        <w:trPr>
          <w:trHeight w:val="3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673F35D" w14:textId="77777777" w:rsidR="00A17173" w:rsidRPr="00CD788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CD7881">
              <w:rPr>
                <w:rFonts w:ascii="Times New Roman" w:eastAsia="Times New Roman" w:hAnsi="Times New Roman" w:cs="Times New Roman"/>
                <w:b/>
                <w:bCs/>
                <w:color w:val="000000" w:themeColor="text1"/>
                <w:sz w:val="20"/>
                <w:szCs w:val="20"/>
                <w:lang w:eastAsia="pl-PL"/>
              </w:rPr>
              <w:t>Jednostka terytorialna</w:t>
            </w:r>
          </w:p>
        </w:tc>
        <w:tc>
          <w:tcPr>
            <w:tcW w:w="0" w:type="auto"/>
            <w:gridSpan w:val="2"/>
            <w:tcBorders>
              <w:top w:val="single" w:sz="4" w:space="0" w:color="auto"/>
              <w:left w:val="nil"/>
              <w:bottom w:val="single" w:sz="4" w:space="0" w:color="auto"/>
              <w:right w:val="single" w:sz="4" w:space="0" w:color="auto"/>
            </w:tcBorders>
            <w:shd w:val="clear" w:color="000000" w:fill="F2F2F2"/>
            <w:vAlign w:val="center"/>
            <w:hideMark/>
          </w:tcPr>
          <w:p w14:paraId="594C33F3" w14:textId="77777777" w:rsidR="00A17173" w:rsidRPr="00CD788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sz w:val="20"/>
                <w:szCs w:val="20"/>
                <w:lang w:eastAsia="pl-PL"/>
              </w:rPr>
              <w:t>Przedsiębiorstwa zatrudniające mniej niż 50 pracowników (0–9 i 10–49) ogółem</w:t>
            </w:r>
          </w:p>
        </w:tc>
        <w:tc>
          <w:tcPr>
            <w:tcW w:w="0" w:type="auto"/>
            <w:gridSpan w:val="2"/>
            <w:tcBorders>
              <w:top w:val="single" w:sz="4" w:space="0" w:color="auto"/>
              <w:left w:val="nil"/>
              <w:bottom w:val="single" w:sz="4" w:space="0" w:color="auto"/>
              <w:right w:val="single" w:sz="4" w:space="0" w:color="auto"/>
            </w:tcBorders>
            <w:shd w:val="clear" w:color="000000" w:fill="F2F2F2"/>
            <w:vAlign w:val="center"/>
            <w:hideMark/>
          </w:tcPr>
          <w:p w14:paraId="5B71D7DA" w14:textId="77777777" w:rsidR="00A17173" w:rsidRPr="00CD788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hAnsi="Times New Roman" w:cs="Times New Roman"/>
                <w:b/>
                <w:bCs/>
                <w:color w:val="000000" w:themeColor="text1"/>
                <w:sz w:val="20"/>
                <w:szCs w:val="20"/>
              </w:rPr>
              <w:t>U</w:t>
            </w:r>
            <w:r w:rsidRPr="00D47A21">
              <w:rPr>
                <w:rFonts w:ascii="Times New Roman" w:hAnsi="Times New Roman" w:cs="Times New Roman"/>
                <w:b/>
                <w:bCs/>
                <w:color w:val="000000" w:themeColor="text1"/>
                <w:sz w:val="20"/>
                <w:szCs w:val="20"/>
              </w:rPr>
              <w:t>dział przedsiębiorstw zatrudniających mniej niż 50 pracowników w liczbie mieszkańców ogółem</w:t>
            </w:r>
          </w:p>
        </w:tc>
      </w:tr>
      <w:tr w:rsidR="00A17173" w:rsidRPr="00AA5192" w14:paraId="4C93FC13" w14:textId="77777777" w:rsidTr="00E1516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67ED8" w14:textId="77777777" w:rsidR="00A17173" w:rsidRPr="00CD7881"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0" w:type="auto"/>
            <w:tcBorders>
              <w:top w:val="nil"/>
              <w:left w:val="nil"/>
              <w:bottom w:val="single" w:sz="4" w:space="0" w:color="auto"/>
              <w:right w:val="single" w:sz="4" w:space="0" w:color="auto"/>
            </w:tcBorders>
            <w:shd w:val="clear" w:color="000000" w:fill="F2F2F2"/>
            <w:vAlign w:val="center"/>
            <w:hideMark/>
          </w:tcPr>
          <w:p w14:paraId="087CE5A9" w14:textId="77777777" w:rsidR="00A17173" w:rsidRPr="00CD788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CD7881">
              <w:rPr>
                <w:rFonts w:ascii="Times New Roman" w:eastAsia="Times New Roman" w:hAnsi="Times New Roman" w:cs="Times New Roman"/>
                <w:b/>
                <w:bCs/>
                <w:color w:val="000000"/>
                <w:sz w:val="20"/>
                <w:szCs w:val="20"/>
                <w:lang w:eastAsia="pl-PL"/>
              </w:rPr>
              <w:t>2016</w:t>
            </w:r>
          </w:p>
        </w:tc>
        <w:tc>
          <w:tcPr>
            <w:tcW w:w="0" w:type="auto"/>
            <w:tcBorders>
              <w:top w:val="nil"/>
              <w:left w:val="nil"/>
              <w:bottom w:val="single" w:sz="4" w:space="0" w:color="auto"/>
              <w:right w:val="single" w:sz="4" w:space="0" w:color="auto"/>
            </w:tcBorders>
            <w:shd w:val="clear" w:color="000000" w:fill="F2F2F2"/>
            <w:vAlign w:val="center"/>
            <w:hideMark/>
          </w:tcPr>
          <w:p w14:paraId="3A8338EC" w14:textId="77777777" w:rsidR="00A17173" w:rsidRPr="00CD788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CD7881">
              <w:rPr>
                <w:rFonts w:ascii="Times New Roman" w:eastAsia="Times New Roman" w:hAnsi="Times New Roman" w:cs="Times New Roman"/>
                <w:b/>
                <w:bCs/>
                <w:color w:val="000000" w:themeColor="text1"/>
                <w:sz w:val="20"/>
                <w:szCs w:val="20"/>
                <w:lang w:eastAsia="pl-PL"/>
              </w:rPr>
              <w:t>2020</w:t>
            </w:r>
          </w:p>
        </w:tc>
        <w:tc>
          <w:tcPr>
            <w:tcW w:w="0" w:type="auto"/>
            <w:tcBorders>
              <w:top w:val="nil"/>
              <w:left w:val="nil"/>
              <w:bottom w:val="single" w:sz="4" w:space="0" w:color="auto"/>
              <w:right w:val="single" w:sz="4" w:space="0" w:color="auto"/>
            </w:tcBorders>
            <w:shd w:val="clear" w:color="000000" w:fill="F2F2F2"/>
            <w:vAlign w:val="center"/>
            <w:hideMark/>
          </w:tcPr>
          <w:p w14:paraId="572B8160" w14:textId="77777777" w:rsidR="00A17173" w:rsidRPr="00CD788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CD7881">
              <w:rPr>
                <w:rFonts w:ascii="Times New Roman" w:eastAsia="Times New Roman" w:hAnsi="Times New Roman" w:cs="Times New Roman"/>
                <w:b/>
                <w:bCs/>
                <w:sz w:val="20"/>
                <w:szCs w:val="20"/>
                <w:lang w:eastAsia="pl-PL"/>
              </w:rPr>
              <w:t>2016</w:t>
            </w:r>
          </w:p>
        </w:tc>
        <w:tc>
          <w:tcPr>
            <w:tcW w:w="0" w:type="auto"/>
            <w:tcBorders>
              <w:top w:val="nil"/>
              <w:left w:val="nil"/>
              <w:bottom w:val="single" w:sz="4" w:space="0" w:color="auto"/>
              <w:right w:val="single" w:sz="4" w:space="0" w:color="auto"/>
            </w:tcBorders>
            <w:shd w:val="clear" w:color="000000" w:fill="F2F2F2"/>
            <w:vAlign w:val="center"/>
            <w:hideMark/>
          </w:tcPr>
          <w:p w14:paraId="3B0F148B" w14:textId="77777777" w:rsidR="00A17173" w:rsidRPr="00CD788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CD7881">
              <w:rPr>
                <w:rFonts w:ascii="Times New Roman" w:eastAsia="Times New Roman" w:hAnsi="Times New Roman" w:cs="Times New Roman"/>
                <w:b/>
                <w:bCs/>
                <w:color w:val="000000" w:themeColor="text1"/>
                <w:sz w:val="20"/>
                <w:szCs w:val="20"/>
                <w:lang w:eastAsia="pl-PL"/>
              </w:rPr>
              <w:t>2020</w:t>
            </w:r>
          </w:p>
        </w:tc>
      </w:tr>
      <w:tr w:rsidR="00A04FE5" w:rsidRPr="00AA5192" w14:paraId="4A6326B9" w14:textId="77777777" w:rsidTr="00E15165">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A4E1A" w14:textId="10257A0E" w:rsidR="00A04FE5" w:rsidRPr="00CD7881" w:rsidRDefault="00A04FE5" w:rsidP="00A04FE5">
            <w:pPr>
              <w:spacing w:after="0" w:line="240" w:lineRule="auto"/>
              <w:rPr>
                <w:rFonts w:ascii="Times New Roman" w:eastAsia="Times New Roman" w:hAnsi="Times New Roman" w:cs="Times New Roman"/>
                <w:b/>
                <w:bCs/>
                <w:color w:val="000000"/>
                <w:sz w:val="20"/>
                <w:szCs w:val="20"/>
                <w:lang w:eastAsia="pl-PL"/>
              </w:rPr>
            </w:pPr>
            <w:r w:rsidRPr="00D17FDB">
              <w:rPr>
                <w:rFonts w:ascii="Times New Roman" w:eastAsia="Times New Roman" w:hAnsi="Times New Roman" w:cs="Times New Roman"/>
                <w:b/>
                <w:bCs/>
                <w:color w:val="000000"/>
                <w:sz w:val="20"/>
                <w:szCs w:val="20"/>
                <w:lang w:eastAsia="pl-PL"/>
              </w:rPr>
              <w:t>Bialskopodlaska LGD</w:t>
            </w:r>
          </w:p>
        </w:tc>
        <w:tc>
          <w:tcPr>
            <w:tcW w:w="0" w:type="auto"/>
            <w:tcBorders>
              <w:top w:val="nil"/>
              <w:left w:val="nil"/>
              <w:bottom w:val="single" w:sz="4" w:space="0" w:color="auto"/>
              <w:right w:val="single" w:sz="4" w:space="0" w:color="auto"/>
            </w:tcBorders>
            <w:shd w:val="clear" w:color="auto" w:fill="auto"/>
            <w:noWrap/>
            <w:vAlign w:val="center"/>
            <w:hideMark/>
          </w:tcPr>
          <w:p w14:paraId="2BD3162F" w14:textId="24563E09" w:rsidR="00A04FE5" w:rsidRPr="00CD7881" w:rsidRDefault="00A04FE5" w:rsidP="00A04FE5">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6 667</w:t>
            </w:r>
          </w:p>
        </w:tc>
        <w:tc>
          <w:tcPr>
            <w:tcW w:w="0" w:type="auto"/>
            <w:tcBorders>
              <w:top w:val="nil"/>
              <w:left w:val="nil"/>
              <w:bottom w:val="single" w:sz="4" w:space="0" w:color="auto"/>
              <w:right w:val="single" w:sz="4" w:space="0" w:color="auto"/>
            </w:tcBorders>
            <w:shd w:val="clear" w:color="auto" w:fill="auto"/>
            <w:noWrap/>
            <w:vAlign w:val="center"/>
            <w:hideMark/>
          </w:tcPr>
          <w:p w14:paraId="5C06E1A3" w14:textId="2ACE6BAB" w:rsidR="00A04FE5" w:rsidRPr="00CD7881" w:rsidRDefault="00A04FE5" w:rsidP="00A04FE5">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7 681</w:t>
            </w:r>
          </w:p>
        </w:tc>
        <w:tc>
          <w:tcPr>
            <w:tcW w:w="0" w:type="auto"/>
            <w:tcBorders>
              <w:top w:val="nil"/>
              <w:left w:val="nil"/>
              <w:bottom w:val="single" w:sz="4" w:space="0" w:color="auto"/>
              <w:right w:val="single" w:sz="4" w:space="0" w:color="auto"/>
            </w:tcBorders>
            <w:shd w:val="clear" w:color="auto" w:fill="auto"/>
            <w:noWrap/>
            <w:vAlign w:val="center"/>
            <w:hideMark/>
          </w:tcPr>
          <w:p w14:paraId="0F0B1EE2" w14:textId="324D95F8" w:rsidR="00A04FE5" w:rsidRPr="00CD7881" w:rsidRDefault="00A04FE5" w:rsidP="00A04FE5">
            <w:pPr>
              <w:spacing w:after="0" w:line="240" w:lineRule="auto"/>
              <w:jc w:val="center"/>
              <w:rPr>
                <w:rFonts w:ascii="Times New Roman" w:eastAsia="Times New Roman" w:hAnsi="Times New Roman" w:cs="Times New Roman"/>
                <w:b/>
                <w:bCs/>
                <w:color w:val="000000"/>
                <w:sz w:val="20"/>
                <w:szCs w:val="20"/>
                <w:lang w:eastAsia="pl-PL"/>
              </w:rPr>
            </w:pPr>
            <w:r w:rsidRPr="00F26AC9">
              <w:rPr>
                <w:rFonts w:ascii="Times New Roman" w:eastAsia="Times New Roman" w:hAnsi="Times New Roman" w:cs="Times New Roman"/>
                <w:b/>
                <w:bCs/>
                <w:color w:val="000000"/>
                <w:sz w:val="20"/>
                <w:szCs w:val="20"/>
                <w:lang w:eastAsia="pl-PL"/>
              </w:rPr>
              <w:t>5,9</w:t>
            </w:r>
          </w:p>
        </w:tc>
        <w:tc>
          <w:tcPr>
            <w:tcW w:w="0" w:type="auto"/>
            <w:tcBorders>
              <w:top w:val="nil"/>
              <w:left w:val="nil"/>
              <w:bottom w:val="single" w:sz="4" w:space="0" w:color="auto"/>
              <w:right w:val="single" w:sz="4" w:space="0" w:color="auto"/>
            </w:tcBorders>
            <w:shd w:val="clear" w:color="auto" w:fill="auto"/>
            <w:noWrap/>
            <w:vAlign w:val="center"/>
            <w:hideMark/>
          </w:tcPr>
          <w:p w14:paraId="38AC7076" w14:textId="49C12B3F" w:rsidR="00A04FE5" w:rsidRPr="00CD7881" w:rsidRDefault="00A04FE5" w:rsidP="00A04FE5">
            <w:pPr>
              <w:spacing w:after="0" w:line="240" w:lineRule="auto"/>
              <w:jc w:val="center"/>
              <w:rPr>
                <w:rFonts w:ascii="Times New Roman" w:eastAsia="Times New Roman" w:hAnsi="Times New Roman" w:cs="Times New Roman"/>
                <w:b/>
                <w:bCs/>
                <w:color w:val="000000"/>
                <w:sz w:val="20"/>
                <w:szCs w:val="20"/>
                <w:lang w:eastAsia="pl-PL"/>
              </w:rPr>
            </w:pPr>
            <w:r w:rsidRPr="00F26AC9">
              <w:rPr>
                <w:rFonts w:ascii="Times New Roman" w:eastAsia="Times New Roman" w:hAnsi="Times New Roman" w:cs="Times New Roman"/>
                <w:b/>
                <w:bCs/>
                <w:color w:val="000000"/>
                <w:sz w:val="20"/>
                <w:szCs w:val="20"/>
                <w:lang w:eastAsia="pl-PL"/>
              </w:rPr>
              <w:t>7,2</w:t>
            </w:r>
          </w:p>
        </w:tc>
      </w:tr>
      <w:tr w:rsidR="00A04FE5" w:rsidRPr="00AA5192" w14:paraId="5C2E5CCC" w14:textId="77777777" w:rsidTr="00E15165">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D16876" w14:textId="01070374" w:rsidR="00A04FE5" w:rsidRPr="00CD7881" w:rsidRDefault="00A04FE5" w:rsidP="00A04FE5">
            <w:pPr>
              <w:spacing w:after="0" w:line="240" w:lineRule="auto"/>
              <w:rPr>
                <w:rFonts w:ascii="Times New Roman" w:eastAsia="Times New Roman" w:hAnsi="Times New Roman" w:cs="Times New Roman"/>
                <w:color w:val="000000"/>
                <w:sz w:val="20"/>
                <w:szCs w:val="20"/>
                <w:lang w:eastAsia="pl-PL"/>
              </w:rPr>
            </w:pPr>
            <w:r w:rsidRPr="00D17FDB">
              <w:rPr>
                <w:rFonts w:ascii="Times New Roman" w:eastAsia="Times New Roman" w:hAnsi="Times New Roman" w:cs="Times New Roman"/>
                <w:color w:val="000000"/>
                <w:sz w:val="20"/>
                <w:szCs w:val="20"/>
                <w:lang w:eastAsia="pl-PL"/>
              </w:rPr>
              <w:t>województwo lubelskie</w:t>
            </w:r>
          </w:p>
        </w:tc>
        <w:tc>
          <w:tcPr>
            <w:tcW w:w="0" w:type="auto"/>
            <w:tcBorders>
              <w:top w:val="nil"/>
              <w:left w:val="nil"/>
              <w:bottom w:val="single" w:sz="4" w:space="0" w:color="auto"/>
              <w:right w:val="single" w:sz="4" w:space="0" w:color="auto"/>
            </w:tcBorders>
            <w:shd w:val="clear" w:color="auto" w:fill="auto"/>
            <w:noWrap/>
            <w:vAlign w:val="center"/>
            <w:hideMark/>
          </w:tcPr>
          <w:p w14:paraId="74A16E3A" w14:textId="06A389EB" w:rsidR="00A04FE5" w:rsidRPr="00CD7881" w:rsidRDefault="00A04FE5" w:rsidP="00A04FE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172 759</w:t>
            </w:r>
          </w:p>
        </w:tc>
        <w:tc>
          <w:tcPr>
            <w:tcW w:w="0" w:type="auto"/>
            <w:tcBorders>
              <w:top w:val="nil"/>
              <w:left w:val="nil"/>
              <w:bottom w:val="single" w:sz="4" w:space="0" w:color="auto"/>
              <w:right w:val="single" w:sz="4" w:space="0" w:color="auto"/>
            </w:tcBorders>
            <w:shd w:val="clear" w:color="auto" w:fill="auto"/>
            <w:noWrap/>
            <w:vAlign w:val="center"/>
            <w:hideMark/>
          </w:tcPr>
          <w:p w14:paraId="700E8E78" w14:textId="7545682C" w:rsidR="00A04FE5" w:rsidRPr="00CD7881" w:rsidRDefault="00A04FE5" w:rsidP="00A04FE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191 485</w:t>
            </w:r>
          </w:p>
        </w:tc>
        <w:tc>
          <w:tcPr>
            <w:tcW w:w="0" w:type="auto"/>
            <w:tcBorders>
              <w:top w:val="nil"/>
              <w:left w:val="nil"/>
              <w:bottom w:val="single" w:sz="4" w:space="0" w:color="auto"/>
              <w:right w:val="single" w:sz="4" w:space="0" w:color="auto"/>
            </w:tcBorders>
            <w:shd w:val="clear" w:color="auto" w:fill="auto"/>
            <w:noWrap/>
            <w:vAlign w:val="center"/>
            <w:hideMark/>
          </w:tcPr>
          <w:p w14:paraId="797C84E8" w14:textId="56A7F9CD" w:rsidR="00A04FE5" w:rsidRPr="00CD7881" w:rsidRDefault="00A04FE5" w:rsidP="00A04FE5">
            <w:pPr>
              <w:spacing w:after="0" w:line="240" w:lineRule="auto"/>
              <w:jc w:val="center"/>
              <w:rPr>
                <w:rFonts w:ascii="Times New Roman" w:eastAsia="Times New Roman" w:hAnsi="Times New Roman" w:cs="Times New Roman"/>
                <w:color w:val="000000"/>
                <w:sz w:val="20"/>
                <w:szCs w:val="20"/>
                <w:lang w:eastAsia="pl-PL"/>
              </w:rPr>
            </w:pPr>
            <w:r w:rsidRPr="00F26AC9">
              <w:rPr>
                <w:rFonts w:ascii="Times New Roman" w:eastAsia="Times New Roman" w:hAnsi="Times New Roman" w:cs="Times New Roman"/>
                <w:color w:val="000000"/>
                <w:sz w:val="20"/>
                <w:szCs w:val="20"/>
                <w:lang w:eastAsia="pl-PL"/>
              </w:rPr>
              <w:t>8,1</w:t>
            </w:r>
          </w:p>
        </w:tc>
        <w:tc>
          <w:tcPr>
            <w:tcW w:w="0" w:type="auto"/>
            <w:tcBorders>
              <w:top w:val="nil"/>
              <w:left w:val="nil"/>
              <w:bottom w:val="single" w:sz="4" w:space="0" w:color="auto"/>
              <w:right w:val="single" w:sz="4" w:space="0" w:color="auto"/>
            </w:tcBorders>
            <w:shd w:val="clear" w:color="auto" w:fill="auto"/>
            <w:noWrap/>
            <w:vAlign w:val="center"/>
            <w:hideMark/>
          </w:tcPr>
          <w:p w14:paraId="3903A71A" w14:textId="5B345B6A" w:rsidR="00A04FE5" w:rsidRPr="00CD7881" w:rsidRDefault="00A04FE5" w:rsidP="00A04FE5">
            <w:pPr>
              <w:spacing w:after="0" w:line="240" w:lineRule="auto"/>
              <w:jc w:val="center"/>
              <w:rPr>
                <w:rFonts w:ascii="Times New Roman" w:eastAsia="Times New Roman" w:hAnsi="Times New Roman" w:cs="Times New Roman"/>
                <w:color w:val="000000"/>
                <w:sz w:val="20"/>
                <w:szCs w:val="20"/>
                <w:lang w:eastAsia="pl-PL"/>
              </w:rPr>
            </w:pPr>
            <w:r w:rsidRPr="00F26AC9">
              <w:rPr>
                <w:rFonts w:ascii="Times New Roman" w:eastAsia="Times New Roman" w:hAnsi="Times New Roman" w:cs="Times New Roman"/>
                <w:color w:val="000000"/>
                <w:sz w:val="20"/>
                <w:szCs w:val="20"/>
                <w:lang w:eastAsia="pl-PL"/>
              </w:rPr>
              <w:t>9,3</w:t>
            </w:r>
          </w:p>
        </w:tc>
      </w:tr>
      <w:tr w:rsidR="0095093B" w:rsidRPr="00AA5192" w14:paraId="3F58EDC6" w14:textId="77777777" w:rsidTr="00E15165">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AADB78" w14:textId="77777777" w:rsidR="0095093B" w:rsidRPr="00CD7881" w:rsidRDefault="0095093B" w:rsidP="0095093B">
            <w:pPr>
              <w:spacing w:after="0" w:line="240" w:lineRule="auto"/>
              <w:rPr>
                <w:rFonts w:ascii="Times New Roman" w:eastAsia="Times New Roman" w:hAnsi="Times New Roman" w:cs="Times New Roman"/>
                <w:color w:val="000000"/>
                <w:sz w:val="20"/>
                <w:szCs w:val="20"/>
                <w:lang w:eastAsia="pl-PL"/>
              </w:rPr>
            </w:pPr>
            <w:r w:rsidRPr="00CD7881">
              <w:rPr>
                <w:rFonts w:ascii="Times New Roman" w:eastAsia="Times New Roman" w:hAnsi="Times New Roman" w:cs="Times New Roman"/>
                <w:color w:val="000000"/>
                <w:sz w:val="20"/>
                <w:szCs w:val="20"/>
                <w:lang w:eastAsia="pl-PL"/>
              </w:rPr>
              <w:t>Polska</w:t>
            </w:r>
          </w:p>
        </w:tc>
        <w:tc>
          <w:tcPr>
            <w:tcW w:w="0" w:type="auto"/>
            <w:tcBorders>
              <w:top w:val="nil"/>
              <w:left w:val="nil"/>
              <w:bottom w:val="single" w:sz="4" w:space="0" w:color="auto"/>
              <w:right w:val="single" w:sz="4" w:space="0" w:color="auto"/>
            </w:tcBorders>
            <w:shd w:val="clear" w:color="auto" w:fill="auto"/>
            <w:noWrap/>
            <w:vAlign w:val="center"/>
            <w:hideMark/>
          </w:tcPr>
          <w:p w14:paraId="2AB270DF" w14:textId="77777777" w:rsidR="0095093B" w:rsidRPr="00CD7881" w:rsidRDefault="0095093B" w:rsidP="0095093B">
            <w:pPr>
              <w:spacing w:after="0" w:line="240" w:lineRule="auto"/>
              <w:jc w:val="center"/>
              <w:rPr>
                <w:rFonts w:ascii="Times New Roman" w:eastAsia="Times New Roman" w:hAnsi="Times New Roman" w:cs="Times New Roman"/>
                <w:color w:val="000000"/>
                <w:sz w:val="20"/>
                <w:szCs w:val="20"/>
                <w:lang w:eastAsia="pl-PL"/>
              </w:rPr>
            </w:pPr>
            <w:r w:rsidRPr="009C6B4E">
              <w:rPr>
                <w:rFonts w:ascii="Times New Roman" w:eastAsia="Times New Roman" w:hAnsi="Times New Roman" w:cs="Times New Roman"/>
                <w:color w:val="000000"/>
                <w:sz w:val="20"/>
                <w:szCs w:val="20"/>
                <w:lang w:eastAsia="pl-PL"/>
              </w:rPr>
              <w:t>4 203 948</w:t>
            </w:r>
          </w:p>
        </w:tc>
        <w:tc>
          <w:tcPr>
            <w:tcW w:w="0" w:type="auto"/>
            <w:tcBorders>
              <w:top w:val="nil"/>
              <w:left w:val="nil"/>
              <w:bottom w:val="single" w:sz="4" w:space="0" w:color="auto"/>
              <w:right w:val="single" w:sz="4" w:space="0" w:color="auto"/>
            </w:tcBorders>
            <w:shd w:val="clear" w:color="auto" w:fill="auto"/>
            <w:noWrap/>
            <w:vAlign w:val="center"/>
            <w:hideMark/>
          </w:tcPr>
          <w:p w14:paraId="1AA0F29B" w14:textId="77777777" w:rsidR="0095093B" w:rsidRPr="00CD7881" w:rsidRDefault="0095093B" w:rsidP="0095093B">
            <w:pPr>
              <w:spacing w:after="0" w:line="240" w:lineRule="auto"/>
              <w:jc w:val="center"/>
              <w:rPr>
                <w:rFonts w:ascii="Times New Roman" w:eastAsia="Times New Roman" w:hAnsi="Times New Roman" w:cs="Times New Roman"/>
                <w:color w:val="000000"/>
                <w:sz w:val="20"/>
                <w:szCs w:val="20"/>
                <w:lang w:eastAsia="pl-PL"/>
              </w:rPr>
            </w:pPr>
            <w:r w:rsidRPr="009C6B4E">
              <w:rPr>
                <w:rFonts w:ascii="Times New Roman" w:eastAsia="Times New Roman" w:hAnsi="Times New Roman" w:cs="Times New Roman"/>
                <w:color w:val="000000"/>
                <w:sz w:val="20"/>
                <w:szCs w:val="20"/>
                <w:lang w:eastAsia="pl-PL"/>
              </w:rPr>
              <w:t>4 631 699</w:t>
            </w:r>
          </w:p>
        </w:tc>
        <w:tc>
          <w:tcPr>
            <w:tcW w:w="0" w:type="auto"/>
            <w:tcBorders>
              <w:top w:val="nil"/>
              <w:left w:val="nil"/>
              <w:bottom w:val="single" w:sz="4" w:space="0" w:color="auto"/>
              <w:right w:val="single" w:sz="4" w:space="0" w:color="auto"/>
            </w:tcBorders>
            <w:shd w:val="clear" w:color="auto" w:fill="auto"/>
            <w:noWrap/>
            <w:vAlign w:val="center"/>
            <w:hideMark/>
          </w:tcPr>
          <w:p w14:paraId="2B87E4C0" w14:textId="471F24EA" w:rsidR="0095093B" w:rsidRPr="00CD7881" w:rsidRDefault="0095093B" w:rsidP="0095093B">
            <w:pPr>
              <w:spacing w:after="0" w:line="240" w:lineRule="auto"/>
              <w:jc w:val="center"/>
              <w:rPr>
                <w:rFonts w:ascii="Times New Roman" w:eastAsia="Times New Roman" w:hAnsi="Times New Roman" w:cs="Times New Roman"/>
                <w:color w:val="000000"/>
                <w:sz w:val="20"/>
                <w:szCs w:val="20"/>
                <w:lang w:eastAsia="pl-PL"/>
              </w:rPr>
            </w:pPr>
            <w:r w:rsidRPr="00F26AC9">
              <w:rPr>
                <w:rFonts w:ascii="Times New Roman" w:eastAsia="Times New Roman" w:hAnsi="Times New Roman" w:cs="Times New Roman"/>
                <w:color w:val="000000"/>
                <w:sz w:val="20"/>
                <w:szCs w:val="20"/>
                <w:lang w:eastAsia="pl-PL"/>
              </w:rPr>
              <w:t>10,9</w:t>
            </w:r>
          </w:p>
        </w:tc>
        <w:tc>
          <w:tcPr>
            <w:tcW w:w="0" w:type="auto"/>
            <w:tcBorders>
              <w:top w:val="nil"/>
              <w:left w:val="nil"/>
              <w:bottom w:val="single" w:sz="4" w:space="0" w:color="auto"/>
              <w:right w:val="single" w:sz="4" w:space="0" w:color="auto"/>
            </w:tcBorders>
            <w:shd w:val="clear" w:color="auto" w:fill="auto"/>
            <w:noWrap/>
            <w:vAlign w:val="center"/>
            <w:hideMark/>
          </w:tcPr>
          <w:p w14:paraId="175F5552" w14:textId="6260941F" w:rsidR="0095093B" w:rsidRPr="00CD7881" w:rsidRDefault="0095093B" w:rsidP="0095093B">
            <w:pPr>
              <w:spacing w:after="0" w:line="240" w:lineRule="auto"/>
              <w:jc w:val="center"/>
              <w:rPr>
                <w:rFonts w:ascii="Times New Roman" w:eastAsia="Times New Roman" w:hAnsi="Times New Roman" w:cs="Times New Roman"/>
                <w:color w:val="000000"/>
                <w:sz w:val="20"/>
                <w:szCs w:val="20"/>
                <w:lang w:eastAsia="pl-PL"/>
              </w:rPr>
            </w:pPr>
            <w:r w:rsidRPr="00F26AC9">
              <w:rPr>
                <w:rFonts w:ascii="Times New Roman" w:eastAsia="Times New Roman" w:hAnsi="Times New Roman" w:cs="Times New Roman"/>
                <w:color w:val="000000"/>
                <w:sz w:val="20"/>
                <w:szCs w:val="20"/>
                <w:lang w:eastAsia="pl-PL"/>
              </w:rPr>
              <w:t>12,1</w:t>
            </w:r>
          </w:p>
        </w:tc>
      </w:tr>
    </w:tbl>
    <w:p w14:paraId="2F2F599C" w14:textId="77777777" w:rsidR="00F46D3D" w:rsidRDefault="00A17173" w:rsidP="00F46D3D">
      <w:pPr>
        <w:tabs>
          <w:tab w:val="left" w:pos="3684"/>
        </w:tabs>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025EE3A3" w14:textId="6F551C66" w:rsidR="00A17173" w:rsidRPr="009C36D6" w:rsidRDefault="00A17173" w:rsidP="00F46D3D">
      <w:pPr>
        <w:tabs>
          <w:tab w:val="left" w:pos="3684"/>
        </w:tabs>
        <w:jc w:val="center"/>
        <w:rPr>
          <w:rFonts w:ascii="Times New Roman" w:hAnsi="Times New Roman" w:cs="Times New Roman"/>
          <w:b/>
          <w:bCs/>
          <w:color w:val="000000" w:themeColor="text1"/>
        </w:rPr>
      </w:pPr>
      <w:r w:rsidRPr="009C36D6">
        <w:rPr>
          <w:rFonts w:ascii="Times New Roman" w:hAnsi="Times New Roman" w:cs="Times New Roman"/>
          <w:b/>
          <w:bCs/>
          <w:color w:val="000000" w:themeColor="text1"/>
        </w:rPr>
        <w:t xml:space="preserve">Przy obliczeniu wskaźnika </w:t>
      </w:r>
      <w:r>
        <w:rPr>
          <w:rFonts w:ascii="Times New Roman" w:hAnsi="Times New Roman" w:cs="Times New Roman"/>
          <w:b/>
          <w:bCs/>
          <w:i/>
          <w:iCs/>
          <w:color w:val="000000" w:themeColor="text1"/>
        </w:rPr>
        <w:t>przedsiębiorczość na obszarze LSR</w:t>
      </w:r>
      <w:r w:rsidRPr="009C36D6">
        <w:rPr>
          <w:rFonts w:ascii="Times New Roman" w:hAnsi="Times New Roman" w:cs="Times New Roman"/>
          <w:b/>
          <w:bCs/>
          <w:i/>
          <w:iCs/>
          <w:color w:val="000000" w:themeColor="text1"/>
        </w:rPr>
        <w:t xml:space="preserve"> </w:t>
      </w:r>
      <w:r w:rsidRPr="00D03CAB">
        <w:rPr>
          <w:rFonts w:ascii="Times New Roman" w:hAnsi="Times New Roman" w:cs="Times New Roman"/>
          <w:b/>
          <w:bCs/>
          <w:color w:val="000000" w:themeColor="text1"/>
        </w:rPr>
        <w:t>za</w:t>
      </w:r>
      <w:r w:rsidRPr="009C36D6">
        <w:rPr>
          <w:rFonts w:ascii="Times New Roman" w:hAnsi="Times New Roman" w:cs="Times New Roman"/>
          <w:b/>
          <w:bCs/>
          <w:i/>
          <w:iCs/>
          <w:color w:val="000000" w:themeColor="text1"/>
        </w:rPr>
        <w:t xml:space="preserve"> </w:t>
      </w:r>
      <w:r w:rsidRPr="009C36D6">
        <w:rPr>
          <w:rFonts w:ascii="Times New Roman" w:hAnsi="Times New Roman" w:cs="Times New Roman"/>
          <w:b/>
          <w:bCs/>
          <w:color w:val="000000" w:themeColor="text1"/>
        </w:rPr>
        <w:t>2020 r. ze wzoru:</w:t>
      </w:r>
    </w:p>
    <w:p w14:paraId="0D4F8CE8" w14:textId="7DCBA8C6" w:rsidR="00A17173" w:rsidRPr="00DD04B1" w:rsidRDefault="00000000" w:rsidP="00A17173">
      <w:pPr>
        <w:pStyle w:val="Tekstkomentarza"/>
        <w:jc w:val="center"/>
        <w:rPr>
          <w:rFonts w:ascii="Arial" w:hAnsi="Arial" w:cs="Arial"/>
          <w:b/>
          <w:bCs/>
          <w:sz w:val="22"/>
          <w:szCs w:val="22"/>
        </w:rPr>
      </w:pPr>
      <m:oMath>
        <m:f>
          <m:fPr>
            <m:ctrlPr>
              <w:rPr>
                <w:rFonts w:ascii="Cambria Math" w:hAnsi="Cambria Math" w:cs="Arial"/>
                <w:b/>
                <w:bCs/>
              </w:rPr>
            </m:ctrlPr>
          </m:fPr>
          <m:num>
            <m:r>
              <m:rPr>
                <m:sty m:val="bi"/>
              </m:rPr>
              <w:rPr>
                <w:rFonts w:ascii="Cambria Math" w:hAnsi="Cambria Math" w:cs="Arial"/>
              </w:rPr>
              <m:t>0,25 x liczba mieszkańców</m:t>
            </m:r>
          </m:num>
          <m:den>
            <m:eqArr>
              <m:eqArrPr>
                <m:ctrlPr>
                  <w:rPr>
                    <w:rFonts w:ascii="Cambria Math" w:hAnsi="Cambria Math" w:cs="Arial"/>
                    <w:b/>
                    <w:bCs/>
                    <w:i/>
                  </w:rPr>
                </m:ctrlPr>
              </m:eqArrPr>
              <m:e>
                <m:r>
                  <m:rPr>
                    <m:sty m:val="bi"/>
                  </m:rPr>
                  <w:rPr>
                    <w:rFonts w:ascii="Cambria Math" w:hAnsi="Cambria Math" w:cs="Arial"/>
                  </w:rPr>
                  <m:t xml:space="preserve">liczba przedsiębiorstw </m:t>
                </m:r>
              </m:e>
              <m:e>
                <m:r>
                  <m:rPr>
                    <m:sty m:val="bi"/>
                  </m:rPr>
                  <w:rPr>
                    <w:rFonts w:ascii="Cambria Math" w:hAnsi="Cambria Math" w:cs="Arial"/>
                  </w:rPr>
                  <m:t>poniżej</m:t>
                </m:r>
                <m:r>
                  <m:rPr>
                    <m:sty m:val="bi"/>
                  </m:rPr>
                  <w:rPr>
                    <w:rFonts w:ascii="Cambria Math" w:hAnsi="Cambria Math" w:cs="Arial"/>
                  </w:rPr>
                  <m:t>50 pracowników</m:t>
                </m:r>
              </m:e>
            </m:eqArr>
          </m:den>
        </m:f>
      </m:oMath>
      <w:r w:rsidR="00A17173" w:rsidRPr="00DD04B1">
        <w:rPr>
          <w:rFonts w:ascii="Arial" w:hAnsi="Arial" w:cs="Arial"/>
          <w:b/>
          <w:bCs/>
          <w:sz w:val="22"/>
          <w:szCs w:val="22"/>
        </w:rPr>
        <w:t xml:space="preserve"> </w:t>
      </w:r>
      <w:r w:rsidR="00A17173" w:rsidRPr="00DD04B1">
        <w:rPr>
          <w:rFonts w:cs="Times New Roman"/>
          <w:b/>
          <w:bCs/>
          <w:color w:val="000000" w:themeColor="text1"/>
          <w:sz w:val="22"/>
          <w:szCs w:val="22"/>
        </w:rPr>
        <w:t xml:space="preserve">obszar LGD osiąga wartość </w:t>
      </w:r>
      <w:r w:rsidR="00A04FE5">
        <w:rPr>
          <w:rFonts w:cs="Times New Roman"/>
          <w:b/>
          <w:bCs/>
          <w:color w:val="000000" w:themeColor="text1"/>
          <w:sz w:val="22"/>
          <w:szCs w:val="22"/>
        </w:rPr>
        <w:t>3,48</w:t>
      </w:r>
    </w:p>
    <w:p w14:paraId="522D04EA" w14:textId="3B710A40" w:rsidR="003467E8" w:rsidRDefault="00A17173" w:rsidP="00EE5304">
      <w:pPr>
        <w:spacing w:after="0" w:line="276" w:lineRule="auto"/>
        <w:ind w:firstLine="708"/>
        <w:jc w:val="both"/>
        <w:rPr>
          <w:rFonts w:ascii="Times New Roman" w:hAnsi="Times New Roman" w:cs="Times New Roman"/>
          <w:color w:val="000000"/>
        </w:rPr>
      </w:pPr>
      <w:r>
        <w:rPr>
          <w:rFonts w:ascii="Times New Roman" w:hAnsi="Times New Roman" w:cs="Times New Roman"/>
        </w:rPr>
        <w:t xml:space="preserve">Biorąc pod uwagę udział % podmiotów gospodarczych według grup rodzajów działalności (PKD 2007) </w:t>
      </w:r>
      <w:r w:rsidR="00A04FE5">
        <w:rPr>
          <w:rFonts w:ascii="Times New Roman" w:hAnsi="Times New Roman" w:cs="Times New Roman"/>
        </w:rPr>
        <w:br/>
      </w:r>
      <w:r w:rsidR="00A04FE5" w:rsidRPr="00547651">
        <w:rPr>
          <w:rFonts w:ascii="Times New Roman" w:hAnsi="Times New Roman" w:cs="Times New Roman"/>
          <w:color w:val="000000"/>
        </w:rPr>
        <w:t>w 2021 r</w:t>
      </w:r>
      <w:r w:rsidR="003467E8">
        <w:rPr>
          <w:rFonts w:ascii="Times New Roman" w:hAnsi="Times New Roman" w:cs="Times New Roman"/>
          <w:color w:val="000000"/>
        </w:rPr>
        <w:t>.</w:t>
      </w:r>
      <w:r w:rsidR="009315C8">
        <w:rPr>
          <w:rFonts w:ascii="Times New Roman" w:hAnsi="Times New Roman" w:cs="Times New Roman"/>
          <w:color w:val="000000"/>
        </w:rPr>
        <w:t>, ś</w:t>
      </w:r>
      <w:r w:rsidR="00A04FE5" w:rsidRPr="00547651">
        <w:rPr>
          <w:rFonts w:ascii="Times New Roman" w:hAnsi="Times New Roman" w:cs="Times New Roman"/>
          <w:color w:val="000000"/>
        </w:rPr>
        <w:t xml:space="preserve">redni udział grupy „rolnictwo, leśnictwo, łowiectwo i rybactwo” </w:t>
      </w:r>
      <w:r w:rsidR="009315C8">
        <w:rPr>
          <w:rFonts w:ascii="Times New Roman" w:hAnsi="Times New Roman" w:cs="Times New Roman"/>
          <w:color w:val="000000"/>
        </w:rPr>
        <w:t>był</w:t>
      </w:r>
      <w:r w:rsidR="00A04FE5" w:rsidRPr="00547651">
        <w:rPr>
          <w:rFonts w:ascii="Times New Roman" w:hAnsi="Times New Roman" w:cs="Times New Roman"/>
          <w:color w:val="000000"/>
        </w:rPr>
        <w:t xml:space="preserve"> dla obszaru LGD znacznie wyższy niż średnia dla województwa i kraju. Zdecydowanie najbardziej spośród gmin obszaru w tym zakresie wyróżnia</w:t>
      </w:r>
      <w:r w:rsidR="00A04FE5">
        <w:rPr>
          <w:rFonts w:ascii="Times New Roman" w:hAnsi="Times New Roman" w:cs="Times New Roman"/>
          <w:color w:val="000000"/>
        </w:rPr>
        <w:t>ją</w:t>
      </w:r>
      <w:r w:rsidR="00A04FE5" w:rsidRPr="00547651">
        <w:rPr>
          <w:rFonts w:ascii="Times New Roman" w:hAnsi="Times New Roman" w:cs="Times New Roman"/>
          <w:color w:val="000000"/>
        </w:rPr>
        <w:t xml:space="preserve"> się </w:t>
      </w:r>
      <w:r w:rsidR="00A04FE5">
        <w:rPr>
          <w:rFonts w:ascii="Times New Roman" w:hAnsi="Times New Roman" w:cs="Times New Roman"/>
          <w:color w:val="000000"/>
        </w:rPr>
        <w:t>gminy wiejskie Międzyrzec Podlaski oraz Sosnówka, gdzie wartości wskaźników osiąga</w:t>
      </w:r>
      <w:r w:rsidR="009315C8">
        <w:rPr>
          <w:rFonts w:ascii="Times New Roman" w:hAnsi="Times New Roman" w:cs="Times New Roman"/>
          <w:color w:val="000000"/>
        </w:rPr>
        <w:t>ły</w:t>
      </w:r>
      <w:r w:rsidR="00A04FE5">
        <w:rPr>
          <w:rFonts w:ascii="Times New Roman" w:hAnsi="Times New Roman" w:cs="Times New Roman"/>
          <w:color w:val="000000"/>
        </w:rPr>
        <w:t xml:space="preserve"> wartość powyżej 10% i </w:t>
      </w:r>
      <w:r w:rsidR="009315C8">
        <w:rPr>
          <w:rFonts w:ascii="Times New Roman" w:hAnsi="Times New Roman" w:cs="Times New Roman"/>
          <w:color w:val="000000"/>
        </w:rPr>
        <w:t>były</w:t>
      </w:r>
      <w:r w:rsidR="00A04FE5">
        <w:rPr>
          <w:rFonts w:ascii="Times New Roman" w:hAnsi="Times New Roman" w:cs="Times New Roman"/>
          <w:color w:val="000000"/>
        </w:rPr>
        <w:t xml:space="preserve"> znacznie wyższe niż w przypadku średniej dla obszaru LGD (4,6%), średniej dla województwa lubelskiego (1,8%) oraz dla Polski (1,5%). Jedynie dwie gminy z obszaru LGD – Miasto Terespol oraz Gmina Leśna Podlaska osiąg</w:t>
      </w:r>
      <w:r w:rsidR="009315C8">
        <w:rPr>
          <w:rFonts w:ascii="Times New Roman" w:hAnsi="Times New Roman" w:cs="Times New Roman"/>
          <w:color w:val="000000"/>
        </w:rPr>
        <w:t>nęły</w:t>
      </w:r>
      <w:r w:rsidR="00A04FE5">
        <w:rPr>
          <w:rFonts w:ascii="Times New Roman" w:hAnsi="Times New Roman" w:cs="Times New Roman"/>
          <w:color w:val="000000"/>
        </w:rPr>
        <w:t xml:space="preserve"> wartości poniżej średniej krajowej i wojewódzkiej w tym zakresie. </w:t>
      </w:r>
    </w:p>
    <w:p w14:paraId="23BE9251" w14:textId="5047163D" w:rsidR="003467E8" w:rsidRPr="003467E8" w:rsidRDefault="003467E8" w:rsidP="00EE5304">
      <w:pPr>
        <w:spacing w:after="0" w:line="276" w:lineRule="auto"/>
        <w:ind w:firstLine="708"/>
        <w:jc w:val="both"/>
        <w:rPr>
          <w:rFonts w:ascii="Times New Roman" w:hAnsi="Times New Roman" w:cs="Times New Roman"/>
          <w:color w:val="000000"/>
        </w:rPr>
      </w:pPr>
      <w:r w:rsidRPr="00F019CB">
        <w:rPr>
          <w:rFonts w:ascii="Times New Roman" w:hAnsi="Times New Roman" w:cs="Times New Roman"/>
        </w:rPr>
        <w:t>Jak wynika z danych statystycznych klasyfikacji podmiotów gospodarczych według sekcji PKD 2007, największa liczba spośród wszystkich</w:t>
      </w:r>
      <w:r>
        <w:rPr>
          <w:rFonts w:ascii="Times New Roman" w:hAnsi="Times New Roman" w:cs="Times New Roman"/>
        </w:rPr>
        <w:t xml:space="preserve"> 8 080 podmiotów gospodarczych na obszarze w 2021 r. była zarejestrowana w sekcjach: G „H</w:t>
      </w:r>
      <w:r w:rsidRPr="008C2775">
        <w:rPr>
          <w:rFonts w:ascii="Times New Roman" w:hAnsi="Times New Roman" w:cs="Times New Roman"/>
        </w:rPr>
        <w:t>andel hurtowy i detaliczny; naprawa pojazdów</w:t>
      </w:r>
      <w:r>
        <w:rPr>
          <w:rFonts w:ascii="Times New Roman" w:hAnsi="Times New Roman" w:cs="Times New Roman"/>
        </w:rPr>
        <w:t xml:space="preserve"> </w:t>
      </w:r>
      <w:r w:rsidRPr="008C2775">
        <w:rPr>
          <w:rFonts w:ascii="Times New Roman" w:hAnsi="Times New Roman" w:cs="Times New Roman"/>
        </w:rPr>
        <w:t>samochodowych, włączając motocykle</w:t>
      </w:r>
      <w:r>
        <w:rPr>
          <w:rFonts w:ascii="Times New Roman" w:hAnsi="Times New Roman" w:cs="Times New Roman"/>
        </w:rPr>
        <w:t>” – 1 695 podmiotów (21,0%), F „Budownictwo” – 1 378 podmiotów (17,1%) oraz H „Transport i gospodarka magazynowa” – 827 podmiotów (10,2%). Udział działalności związanej z zakwaterowaniem i usługami gastronomicznymi to 2,2% – mniej niż średnio w województwie (2,7%) i kraju (3,3%), przy czym w gminach Kodeń, Leśna Podlaska, Sławatycze oraz w Mieście Terespol wartość wskaźnika była wyższa od tych średnich. Na obszarze nie są zarejestrowane żadne podmioty w sekcji U „Organizacje i zespoły eksterytorialne”, a najniższe udziały podmiotów zarejestrowane są w sekcjach B „Górnictwo i wydobywanie” oraz D „W</w:t>
      </w:r>
      <w:r w:rsidRPr="00877D1C">
        <w:rPr>
          <w:rFonts w:ascii="Times New Roman" w:hAnsi="Times New Roman" w:cs="Times New Roman"/>
        </w:rPr>
        <w:t>ytwarzanie i</w:t>
      </w:r>
      <w:r>
        <w:rPr>
          <w:rFonts w:ascii="Times New Roman" w:hAnsi="Times New Roman" w:cs="Times New Roman"/>
        </w:rPr>
        <w:t> </w:t>
      </w:r>
      <w:r w:rsidRPr="00877D1C">
        <w:rPr>
          <w:rFonts w:ascii="Times New Roman" w:hAnsi="Times New Roman" w:cs="Times New Roman"/>
        </w:rPr>
        <w:t xml:space="preserve">zaopatrywanie w energię </w:t>
      </w:r>
      <w:r w:rsidRPr="00877D1C">
        <w:rPr>
          <w:rFonts w:ascii="Times New Roman" w:hAnsi="Times New Roman" w:cs="Times New Roman"/>
        </w:rPr>
        <w:lastRenderedPageBreak/>
        <w:t>elektryczną, gaz, parę</w:t>
      </w:r>
      <w:r>
        <w:rPr>
          <w:rFonts w:ascii="Times New Roman" w:hAnsi="Times New Roman" w:cs="Times New Roman"/>
        </w:rPr>
        <w:t xml:space="preserve"> </w:t>
      </w:r>
      <w:r w:rsidRPr="00877D1C">
        <w:rPr>
          <w:rFonts w:ascii="Times New Roman" w:hAnsi="Times New Roman" w:cs="Times New Roman"/>
        </w:rPr>
        <w:t>wodną, gorącą wodę i powietrze do układów klimatyzacyjnych</w:t>
      </w:r>
      <w:r>
        <w:rPr>
          <w:rFonts w:ascii="Times New Roman" w:hAnsi="Times New Roman" w:cs="Times New Roman"/>
        </w:rPr>
        <w:t>” oraz E „Dostawa wody; gospodarowanie ściekami oraz odpadami oraz działalność związana z rekultywacją”.</w:t>
      </w:r>
    </w:p>
    <w:p w14:paraId="7C2B0686" w14:textId="77777777" w:rsidR="003467E8" w:rsidRPr="00500567" w:rsidRDefault="003467E8" w:rsidP="00EE5304">
      <w:pPr>
        <w:spacing w:after="0" w:line="276" w:lineRule="auto"/>
        <w:ind w:firstLine="709"/>
        <w:jc w:val="both"/>
      </w:pPr>
      <w:r>
        <w:rPr>
          <w:rFonts w:ascii="Times New Roman" w:hAnsi="Times New Roman" w:cs="Times New Roman"/>
        </w:rPr>
        <w:t>Według danych GUS</w:t>
      </w:r>
      <w:r>
        <w:rPr>
          <w:rStyle w:val="Odwoanieprzypisudolnego"/>
        </w:rPr>
        <w:footnoteReference w:id="7"/>
      </w:r>
      <w:r>
        <w:rPr>
          <w:rFonts w:ascii="Times New Roman" w:hAnsi="Times New Roman" w:cs="Times New Roman"/>
        </w:rPr>
        <w:t xml:space="preserve"> na całym obszarze LGD funkcjonuje dziewiętnaście podmiotów oferujących miejsca noclegowe, z czego siedemnaście dysponuje ofertą całoroczną – łącznie 1 382 miejsca noclegowe. </w:t>
      </w:r>
      <w:r w:rsidRPr="003B524E">
        <w:rPr>
          <w:rFonts w:ascii="Times New Roman" w:hAnsi="Times New Roman" w:cs="Times New Roman"/>
        </w:rPr>
        <w:t xml:space="preserve">Natomiast łączna liczba miejsc noclegowych </w:t>
      </w:r>
      <w:r>
        <w:rPr>
          <w:rFonts w:ascii="Times New Roman" w:hAnsi="Times New Roman" w:cs="Times New Roman"/>
        </w:rPr>
        <w:t xml:space="preserve">(z </w:t>
      </w:r>
      <w:r w:rsidRPr="003B524E">
        <w:rPr>
          <w:rFonts w:ascii="Times New Roman" w:hAnsi="Times New Roman" w:cs="Times New Roman"/>
        </w:rPr>
        <w:t>dostępny</w:t>
      </w:r>
      <w:r>
        <w:rPr>
          <w:rFonts w:ascii="Times New Roman" w:hAnsi="Times New Roman" w:cs="Times New Roman"/>
        </w:rPr>
        <w:t>mi</w:t>
      </w:r>
      <w:r w:rsidRPr="003B524E">
        <w:rPr>
          <w:rFonts w:ascii="Times New Roman" w:hAnsi="Times New Roman" w:cs="Times New Roman"/>
        </w:rPr>
        <w:t xml:space="preserve"> sezonowo</w:t>
      </w:r>
      <w:r>
        <w:rPr>
          <w:rFonts w:ascii="Times New Roman" w:hAnsi="Times New Roman" w:cs="Times New Roman"/>
        </w:rPr>
        <w:t>)</w:t>
      </w:r>
      <w:r w:rsidRPr="003B524E">
        <w:rPr>
          <w:rFonts w:ascii="Times New Roman" w:hAnsi="Times New Roman" w:cs="Times New Roman"/>
        </w:rPr>
        <w:t xml:space="preserve"> </w:t>
      </w:r>
      <w:r>
        <w:rPr>
          <w:rFonts w:ascii="Times New Roman" w:hAnsi="Times New Roman" w:cs="Times New Roman"/>
        </w:rPr>
        <w:t>na obszarze wynosi 1 458</w:t>
      </w:r>
      <w:r w:rsidRPr="003B524E">
        <w:rPr>
          <w:rFonts w:ascii="Times New Roman" w:hAnsi="Times New Roman" w:cs="Times New Roman"/>
        </w:rPr>
        <w:t xml:space="preserve">. </w:t>
      </w:r>
      <w:r>
        <w:rPr>
          <w:rFonts w:ascii="Times New Roman" w:hAnsi="Times New Roman" w:cs="Times New Roman"/>
        </w:rPr>
        <w:t xml:space="preserve">Najwięcej obiektów </w:t>
      </w:r>
      <w:r w:rsidRPr="003B524E">
        <w:rPr>
          <w:rFonts w:ascii="Times New Roman" w:hAnsi="Times New Roman" w:cs="Times New Roman"/>
        </w:rPr>
        <w:t xml:space="preserve">występuje na terenie gmin </w:t>
      </w:r>
      <w:r>
        <w:rPr>
          <w:rFonts w:ascii="Times New Roman" w:hAnsi="Times New Roman" w:cs="Times New Roman"/>
        </w:rPr>
        <w:t xml:space="preserve">Janów Podlaski i Biała Podlaska. Na terenie gmin wiejskich Drelów, Konstantynów, Łomazy, Międzyrzec Podlaski, Piszczac, Rossosz, Sławatycze, Sosnówka oraz Tuczna według danych GUS nie występują żadne obiekty oferujące miejsca noclegowe. </w:t>
      </w:r>
    </w:p>
    <w:p w14:paraId="0F0D9289" w14:textId="7AA31183" w:rsidR="003467E8" w:rsidRDefault="00A17173" w:rsidP="00EE5304">
      <w:pPr>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Istnieje wiele definicji przedsiębiorczości. Jedne z nich skupiają się na rezultatach, inne na procesowości, a jeszcze inne na umiejętnościach. O przedsiębiorczości na ogół mówi się w kontekście gospodarczym, natomiast istotna jest również przedsiębiorczość społeczna, rozumiana jako </w:t>
      </w:r>
      <w:r w:rsidRPr="00157233">
        <w:rPr>
          <w:rFonts w:ascii="Times New Roman" w:hAnsi="Times New Roman" w:cs="Times New Roman"/>
          <w:color w:val="000000" w:themeColor="text1"/>
        </w:rPr>
        <w:t>sfera aktywności obywatelskiej, która łączy działalność ekonomiczną z</w:t>
      </w:r>
      <w:r>
        <w:rPr>
          <w:rFonts w:ascii="Times New Roman" w:hAnsi="Times New Roman" w:cs="Times New Roman"/>
          <w:color w:val="000000" w:themeColor="text1"/>
        </w:rPr>
        <w:t> </w:t>
      </w:r>
      <w:r w:rsidRPr="00157233">
        <w:rPr>
          <w:rFonts w:ascii="Times New Roman" w:hAnsi="Times New Roman" w:cs="Times New Roman"/>
          <w:color w:val="000000" w:themeColor="text1"/>
        </w:rPr>
        <w:t xml:space="preserve">działalnością pożytku publicznego, przyczyniając się m.in. do integracji zawodowej </w:t>
      </w:r>
      <w:r w:rsidR="000761AD">
        <w:rPr>
          <w:rFonts w:ascii="Times New Roman" w:hAnsi="Times New Roman" w:cs="Times New Roman"/>
          <w:color w:val="000000" w:themeColor="text1"/>
        </w:rPr>
        <w:br/>
      </w:r>
      <w:r w:rsidRPr="00157233">
        <w:rPr>
          <w:rFonts w:ascii="Times New Roman" w:hAnsi="Times New Roman" w:cs="Times New Roman"/>
          <w:color w:val="000000" w:themeColor="text1"/>
        </w:rPr>
        <w:t xml:space="preserve">i społecznej osób zagrożonych marginalizacją społeczną, do tworzenia miejsc pracy oraz rozwoju lokalnego. </w:t>
      </w:r>
      <w:r w:rsidR="000761AD">
        <w:rPr>
          <w:rFonts w:ascii="Times New Roman" w:hAnsi="Times New Roman" w:cs="Times New Roman"/>
          <w:color w:val="000000" w:themeColor="text1"/>
        </w:rPr>
        <w:br/>
      </w:r>
      <w:r w:rsidR="003467E8">
        <w:rPr>
          <w:rFonts w:ascii="Times New Roman" w:hAnsi="Times New Roman" w:cs="Times New Roman"/>
          <w:color w:val="000000" w:themeColor="text1"/>
        </w:rPr>
        <w:t>W całym powiecie bialskim – czyli na ternie obszaru Bialskopodlask</w:t>
      </w:r>
      <w:r w:rsidR="009315C8">
        <w:rPr>
          <w:rFonts w:ascii="Times New Roman" w:hAnsi="Times New Roman" w:cs="Times New Roman"/>
          <w:color w:val="000000" w:themeColor="text1"/>
        </w:rPr>
        <w:t>iej</w:t>
      </w:r>
      <w:r w:rsidR="003467E8">
        <w:rPr>
          <w:rFonts w:ascii="Times New Roman" w:hAnsi="Times New Roman" w:cs="Times New Roman"/>
          <w:color w:val="000000" w:themeColor="text1"/>
        </w:rPr>
        <w:t xml:space="preserve"> LGD, znajduje się sześć przedsiębiorstw społecznych. </w:t>
      </w:r>
    </w:p>
    <w:p w14:paraId="2EA94EDA" w14:textId="6B5F6976" w:rsidR="00F46D3D" w:rsidRDefault="00A17173" w:rsidP="00F46D3D">
      <w:pPr>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Ludzie przedsiębiorczy to ludzie aktywni zawodowo i/lub społecznie. Istotna w tym zakresie jest analiza kapitału społecznego. </w:t>
      </w:r>
      <w:r w:rsidRPr="001D4C77">
        <w:rPr>
          <w:rFonts w:ascii="Times New Roman" w:hAnsi="Times New Roman" w:cs="Times New Roman"/>
          <w:color w:val="000000" w:themeColor="text1"/>
        </w:rPr>
        <w:t xml:space="preserve">Jednym z głównych mierników kapitału społecznego jest </w:t>
      </w:r>
      <w:bookmarkStart w:id="54" w:name="_Hlk111038292"/>
      <w:r w:rsidRPr="001D4C77">
        <w:rPr>
          <w:rFonts w:ascii="Times New Roman" w:hAnsi="Times New Roman" w:cs="Times New Roman"/>
          <w:color w:val="000000" w:themeColor="text1"/>
        </w:rPr>
        <w:t xml:space="preserve">wskaźnik </w:t>
      </w:r>
      <w:r w:rsidRPr="001D4C77">
        <w:rPr>
          <w:rFonts w:ascii="Times New Roman" w:hAnsi="Times New Roman" w:cs="Times New Roman"/>
          <w:i/>
          <w:iCs/>
          <w:color w:val="000000" w:themeColor="text1"/>
        </w:rPr>
        <w:t>liczba fundacji, stowarzyszeń, organizacji społecznych na 10 tys. mieszkańców</w:t>
      </w:r>
      <w:r w:rsidRPr="001D4C77">
        <w:rPr>
          <w:rFonts w:ascii="Times New Roman" w:hAnsi="Times New Roman" w:cs="Times New Roman"/>
          <w:color w:val="000000" w:themeColor="text1"/>
        </w:rPr>
        <w:t xml:space="preserve"> (wykres </w:t>
      </w:r>
      <w:r w:rsidR="00F46D3D">
        <w:rPr>
          <w:rFonts w:ascii="Times New Roman" w:hAnsi="Times New Roman" w:cs="Times New Roman"/>
          <w:color w:val="000000" w:themeColor="text1"/>
        </w:rPr>
        <w:t>7</w:t>
      </w:r>
      <w:r w:rsidRPr="001D4C77">
        <w:rPr>
          <w:rFonts w:ascii="Times New Roman" w:hAnsi="Times New Roman" w:cs="Times New Roman"/>
          <w:color w:val="000000" w:themeColor="text1"/>
        </w:rPr>
        <w:t>)</w:t>
      </w:r>
      <w:r>
        <w:rPr>
          <w:rFonts w:ascii="Times New Roman" w:hAnsi="Times New Roman" w:cs="Times New Roman"/>
          <w:color w:val="000000" w:themeColor="text1"/>
        </w:rPr>
        <w:t xml:space="preserve">. </w:t>
      </w:r>
      <w:bookmarkStart w:id="55" w:name="_Toc115335710"/>
      <w:bookmarkEnd w:id="54"/>
      <w:r>
        <w:rPr>
          <w:rFonts w:ascii="Times New Roman" w:hAnsi="Times New Roman" w:cs="Times New Roman"/>
          <w:color w:val="000000" w:themeColor="text1"/>
        </w:rPr>
        <w:t xml:space="preserve">W 2016 r. wskaźnik dla obszaru wynosił </w:t>
      </w:r>
      <w:r w:rsidR="001969C9">
        <w:rPr>
          <w:rFonts w:ascii="Times New Roman" w:hAnsi="Times New Roman" w:cs="Times New Roman"/>
          <w:color w:val="000000" w:themeColor="text1"/>
        </w:rPr>
        <w:t>31, rok później wzrósł do 33, ale w kolejnych dwóch latach spadł i dopiero</w:t>
      </w:r>
      <w:r>
        <w:rPr>
          <w:rFonts w:ascii="Times New Roman" w:hAnsi="Times New Roman" w:cs="Times New Roman"/>
          <w:color w:val="000000" w:themeColor="text1"/>
        </w:rPr>
        <w:t xml:space="preserve"> w 2020 r. wzrósł </w:t>
      </w:r>
      <w:r w:rsidR="001969C9">
        <w:rPr>
          <w:rFonts w:ascii="Times New Roman" w:hAnsi="Times New Roman" w:cs="Times New Roman"/>
          <w:color w:val="000000" w:themeColor="text1"/>
        </w:rPr>
        <w:t xml:space="preserve">znowu </w:t>
      </w:r>
      <w:r>
        <w:rPr>
          <w:rFonts w:ascii="Times New Roman" w:hAnsi="Times New Roman" w:cs="Times New Roman"/>
          <w:color w:val="000000" w:themeColor="text1"/>
        </w:rPr>
        <w:t>do 3</w:t>
      </w:r>
      <w:r w:rsidR="001969C9">
        <w:rPr>
          <w:rFonts w:ascii="Times New Roman" w:hAnsi="Times New Roman" w:cs="Times New Roman"/>
          <w:color w:val="000000" w:themeColor="text1"/>
        </w:rPr>
        <w:t>3, a w 2021 wynosił 34</w:t>
      </w:r>
      <w:r>
        <w:rPr>
          <w:rStyle w:val="Odwoanieprzypisudolnego"/>
          <w:rFonts w:ascii="Times New Roman" w:hAnsi="Times New Roman" w:cs="Times New Roman"/>
          <w:color w:val="000000" w:themeColor="text1"/>
        </w:rPr>
        <w:footnoteReference w:id="8"/>
      </w:r>
      <w:r>
        <w:rPr>
          <w:rFonts w:ascii="Times New Roman" w:hAnsi="Times New Roman" w:cs="Times New Roman"/>
          <w:color w:val="000000" w:themeColor="text1"/>
        </w:rPr>
        <w:t xml:space="preserve">. Ponadto we wszystkich analizowanych latach wskaźnik dla LGD był niższy od średniej dla województwa i dla kraju. </w:t>
      </w:r>
    </w:p>
    <w:p w14:paraId="010F1C27" w14:textId="6ED39E5A" w:rsidR="00A17173" w:rsidRDefault="00A17173" w:rsidP="00F46D3D">
      <w:pPr>
        <w:spacing w:after="0" w:line="276" w:lineRule="auto"/>
        <w:ind w:firstLine="708"/>
        <w:jc w:val="center"/>
        <w:rPr>
          <w:rFonts w:ascii="Times New Roman" w:hAnsi="Times New Roman" w:cs="Times New Roman"/>
          <w:b/>
          <w:bCs/>
          <w:i/>
          <w:iCs/>
          <w:color w:val="000000" w:themeColor="text1"/>
          <w:sz w:val="20"/>
          <w:szCs w:val="20"/>
        </w:rPr>
      </w:pPr>
      <w:bookmarkStart w:id="56" w:name="_Toc135896522"/>
      <w:r w:rsidRPr="00557233">
        <w:rPr>
          <w:rFonts w:ascii="Times New Roman" w:hAnsi="Times New Roman" w:cs="Times New Roman"/>
          <w:b/>
          <w:bCs/>
          <w:color w:val="000000" w:themeColor="text1"/>
          <w:sz w:val="20"/>
          <w:szCs w:val="20"/>
        </w:rPr>
        <w:t xml:space="preserve">Wykres </w:t>
      </w:r>
      <w:r w:rsidRPr="00557233">
        <w:rPr>
          <w:rFonts w:ascii="Times New Roman" w:hAnsi="Times New Roman" w:cs="Times New Roman"/>
          <w:b/>
          <w:bCs/>
          <w:i/>
          <w:iCs/>
          <w:color w:val="000000" w:themeColor="text1"/>
          <w:sz w:val="20"/>
          <w:szCs w:val="20"/>
        </w:rPr>
        <w:fldChar w:fldCharType="begin"/>
      </w:r>
      <w:r w:rsidRPr="00557233">
        <w:rPr>
          <w:rFonts w:ascii="Times New Roman" w:hAnsi="Times New Roman" w:cs="Times New Roman"/>
          <w:b/>
          <w:bCs/>
          <w:color w:val="000000" w:themeColor="text1"/>
          <w:sz w:val="20"/>
          <w:szCs w:val="20"/>
        </w:rPr>
        <w:instrText xml:space="preserve"> SEQ Wykres \* ARABIC </w:instrText>
      </w:r>
      <w:r w:rsidRPr="00557233">
        <w:rPr>
          <w:rFonts w:ascii="Times New Roman" w:hAnsi="Times New Roman" w:cs="Times New Roman"/>
          <w:b/>
          <w:bCs/>
          <w:i/>
          <w:iCs/>
          <w:color w:val="000000" w:themeColor="text1"/>
          <w:sz w:val="20"/>
          <w:szCs w:val="20"/>
        </w:rPr>
        <w:fldChar w:fldCharType="separate"/>
      </w:r>
      <w:r w:rsidR="00467831">
        <w:rPr>
          <w:rFonts w:ascii="Times New Roman" w:hAnsi="Times New Roman" w:cs="Times New Roman"/>
          <w:b/>
          <w:bCs/>
          <w:noProof/>
          <w:color w:val="000000" w:themeColor="text1"/>
          <w:sz w:val="20"/>
          <w:szCs w:val="20"/>
        </w:rPr>
        <w:t>7</w:t>
      </w:r>
      <w:r w:rsidRPr="00557233">
        <w:rPr>
          <w:rFonts w:ascii="Times New Roman" w:hAnsi="Times New Roman" w:cs="Times New Roman"/>
          <w:b/>
          <w:bCs/>
          <w:i/>
          <w:iCs/>
          <w:color w:val="000000" w:themeColor="text1"/>
          <w:sz w:val="20"/>
          <w:szCs w:val="20"/>
        </w:rPr>
        <w:fldChar w:fldCharType="end"/>
      </w:r>
      <w:r>
        <w:t xml:space="preserve"> </w:t>
      </w:r>
      <w:r>
        <w:rPr>
          <w:rFonts w:ascii="Times New Roman" w:hAnsi="Times New Roman" w:cs="Times New Roman"/>
          <w:b/>
          <w:bCs/>
          <w:color w:val="000000" w:themeColor="text1"/>
          <w:sz w:val="20"/>
          <w:szCs w:val="20"/>
        </w:rPr>
        <w:t>L</w:t>
      </w:r>
      <w:r w:rsidRPr="001D4C77">
        <w:rPr>
          <w:rFonts w:ascii="Times New Roman" w:hAnsi="Times New Roman" w:cs="Times New Roman"/>
          <w:b/>
          <w:bCs/>
          <w:color w:val="000000" w:themeColor="text1"/>
          <w:sz w:val="20"/>
          <w:szCs w:val="20"/>
        </w:rPr>
        <w:t xml:space="preserve">iczba fundacji, stowarzyszeń, organizacji społecznych na 10 tys. mieszkańców </w:t>
      </w:r>
      <w:r>
        <w:rPr>
          <w:rFonts w:ascii="Times New Roman" w:hAnsi="Times New Roman" w:cs="Times New Roman"/>
          <w:b/>
          <w:bCs/>
          <w:color w:val="000000" w:themeColor="text1"/>
          <w:sz w:val="20"/>
          <w:szCs w:val="20"/>
        </w:rPr>
        <w:t>na obszarze</w:t>
      </w:r>
      <w:r w:rsidRPr="00596EFB">
        <w:rPr>
          <w:rFonts w:ascii="Times New Roman" w:hAnsi="Times New Roman" w:cs="Times New Roman"/>
          <w:b/>
          <w:bCs/>
          <w:color w:val="000000" w:themeColor="text1"/>
          <w:sz w:val="20"/>
          <w:szCs w:val="20"/>
        </w:rPr>
        <w:t xml:space="preserve"> LGD </w:t>
      </w:r>
      <w:r>
        <w:rPr>
          <w:rFonts w:ascii="Times New Roman" w:hAnsi="Times New Roman" w:cs="Times New Roman"/>
          <w:b/>
          <w:bCs/>
          <w:color w:val="000000" w:themeColor="text1"/>
          <w:sz w:val="20"/>
          <w:szCs w:val="20"/>
        </w:rPr>
        <w:br/>
      </w:r>
      <w:r w:rsidRPr="00596EFB">
        <w:rPr>
          <w:rFonts w:ascii="Times New Roman" w:hAnsi="Times New Roman" w:cs="Times New Roman"/>
          <w:b/>
          <w:bCs/>
          <w:color w:val="000000" w:themeColor="text1"/>
          <w:sz w:val="20"/>
          <w:szCs w:val="20"/>
        </w:rPr>
        <w:t>w porównaniu do województwa i kraju w 202</w:t>
      </w:r>
      <w:r>
        <w:rPr>
          <w:rFonts w:ascii="Times New Roman" w:hAnsi="Times New Roman" w:cs="Times New Roman"/>
          <w:b/>
          <w:bCs/>
          <w:color w:val="000000" w:themeColor="text1"/>
          <w:sz w:val="20"/>
          <w:szCs w:val="20"/>
        </w:rPr>
        <w:t>1</w:t>
      </w:r>
      <w:r w:rsidRPr="00596EFB">
        <w:rPr>
          <w:rFonts w:ascii="Times New Roman" w:hAnsi="Times New Roman" w:cs="Times New Roman"/>
          <w:b/>
          <w:bCs/>
          <w:color w:val="000000" w:themeColor="text1"/>
          <w:sz w:val="20"/>
          <w:szCs w:val="20"/>
        </w:rPr>
        <w:t xml:space="preserve"> r.</w:t>
      </w:r>
      <w:bookmarkEnd w:id="55"/>
      <w:bookmarkEnd w:id="56"/>
    </w:p>
    <w:p w14:paraId="3BB7BE2A" w14:textId="2B0A267F" w:rsidR="00A17173" w:rsidRDefault="001969C9" w:rsidP="00A17173">
      <w:pPr>
        <w:spacing w:after="0"/>
        <w:jc w:val="center"/>
      </w:pPr>
      <w:r>
        <w:rPr>
          <w:noProof/>
        </w:rPr>
        <w:drawing>
          <wp:inline distT="0" distB="0" distL="0" distR="0" wp14:anchorId="3F73AA22" wp14:editId="677409DC">
            <wp:extent cx="3648075" cy="1400175"/>
            <wp:effectExtent l="0" t="0" r="0" b="0"/>
            <wp:docPr id="8" name="Wykres 8">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071B5E" w14:textId="77777777" w:rsidR="00A17173" w:rsidRDefault="00A17173" w:rsidP="00A17173">
      <w:pPr>
        <w:tabs>
          <w:tab w:val="left" w:pos="3684"/>
        </w:tabs>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340E296A" w14:textId="5599E49E" w:rsidR="00AC4AC7" w:rsidRDefault="00BA4D76" w:rsidP="00A17173">
      <w:pPr>
        <w:tabs>
          <w:tab w:val="left" w:pos="3684"/>
        </w:tabs>
        <w:spacing w:after="120"/>
        <w:ind w:firstLine="709"/>
        <w:jc w:val="both"/>
        <w:rPr>
          <w:rFonts w:ascii="Times New Roman" w:hAnsi="Times New Roman" w:cs="Times New Roman"/>
          <w:color w:val="000000" w:themeColor="text1"/>
        </w:rPr>
      </w:pPr>
      <w:r w:rsidRPr="00370AD0">
        <w:rPr>
          <w:rFonts w:ascii="Times New Roman" w:hAnsi="Times New Roman" w:cs="Times New Roman"/>
          <w:color w:val="000000" w:themeColor="text1"/>
        </w:rPr>
        <w:t>Niezadowolenie z sytuacji dotyczącej przedsiębiorczości, którą obrazują wskaźniki statystyczne,</w:t>
      </w:r>
      <w:r w:rsidRPr="00370AD0">
        <w:rPr>
          <w:rFonts w:ascii="Times New Roman" w:hAnsi="Times New Roman" w:cs="Times New Roman"/>
          <w:color w:val="000000" w:themeColor="text1"/>
        </w:rPr>
        <w:br/>
        <w:t xml:space="preserve">odzwierciedlają także wyniki z przeprowadzonych konsultacji społecznych. Podczas spotkań informacyjno- warsztatowych oraz wywiadów grupowych temat pobudzenia przedsiębiorczości i zaangażowania mieszkańców </w:t>
      </w:r>
      <w:r w:rsidRPr="00370AD0">
        <w:rPr>
          <w:rFonts w:ascii="Times New Roman" w:hAnsi="Times New Roman" w:cs="Times New Roman"/>
          <w:color w:val="000000" w:themeColor="text1"/>
        </w:rPr>
        <w:br/>
        <w:t>w prowadzenie własnych działalności był również poruszany</w:t>
      </w:r>
      <w:r>
        <w:rPr>
          <w:rFonts w:ascii="Times New Roman" w:hAnsi="Times New Roman" w:cs="Times New Roman"/>
          <w:color w:val="000000" w:themeColor="text1"/>
        </w:rPr>
        <w:t>. Kolejnym problemem według mieszkańców jest niska aktywność społeczna, na co również wskazuje niewielki udział mieszkańców w ankietach dotyczących budowania LSR.</w:t>
      </w:r>
      <w:r w:rsidRPr="00370AD0">
        <w:rPr>
          <w:rFonts w:ascii="Times New Roman" w:hAnsi="Times New Roman" w:cs="Times New Roman"/>
          <w:color w:val="000000" w:themeColor="text1"/>
        </w:rPr>
        <w:t xml:space="preserve"> </w:t>
      </w:r>
      <w:r>
        <w:rPr>
          <w:rFonts w:ascii="Times New Roman" w:hAnsi="Times New Roman" w:cs="Times New Roman"/>
          <w:color w:val="000000" w:themeColor="text1"/>
        </w:rPr>
        <w:t>Wskazano, iż trzeba zaaktywizować zarówno organizacje pozarządowe, jak i nieformalne grupy mieszkańców do podejmowania działań, w tym innowacyjnych na rzecz obszaru, a także zachęcać ich do większej współpracy.</w:t>
      </w:r>
      <w:r w:rsidR="000B0033">
        <w:rPr>
          <w:rFonts w:ascii="Times New Roman" w:hAnsi="Times New Roman" w:cs="Times New Roman"/>
          <w:color w:val="000000" w:themeColor="text1"/>
        </w:rPr>
        <w:t xml:space="preserve"> Według uczestników spotkań brakuje również lokalnych liderów, którzy motywowaliby mieszkańców do działania</w:t>
      </w:r>
      <w:r w:rsidR="00BA4531">
        <w:rPr>
          <w:rFonts w:ascii="Times New Roman" w:hAnsi="Times New Roman" w:cs="Times New Roman"/>
          <w:color w:val="000000" w:themeColor="text1"/>
        </w:rPr>
        <w:t>.</w:t>
      </w:r>
      <w:r>
        <w:rPr>
          <w:rFonts w:ascii="Times New Roman" w:hAnsi="Times New Roman" w:cs="Times New Roman"/>
          <w:color w:val="000000" w:themeColor="text1"/>
        </w:rPr>
        <w:br/>
      </w:r>
      <w:r w:rsidRPr="00370AD0">
        <w:rPr>
          <w:rFonts w:ascii="Times New Roman" w:hAnsi="Times New Roman" w:cs="Times New Roman"/>
          <w:color w:val="000000" w:themeColor="text1"/>
        </w:rPr>
        <w:t>W poprzednim okresie programowania w ramach LSR realizowano operacje w zakresie rozwoju gospodarczego regionu, nabory te cieszyły się dużym zainteresowaniem, na co również zwrócono uwagę w Ewaluacji dot</w:t>
      </w:r>
      <w:r w:rsidR="00BA4531">
        <w:rPr>
          <w:rFonts w:ascii="Times New Roman" w:hAnsi="Times New Roman" w:cs="Times New Roman"/>
          <w:color w:val="000000" w:themeColor="text1"/>
        </w:rPr>
        <w:t>yczącej</w:t>
      </w:r>
      <w:r w:rsidRPr="00370AD0">
        <w:rPr>
          <w:rFonts w:ascii="Times New Roman" w:hAnsi="Times New Roman" w:cs="Times New Roman"/>
          <w:color w:val="000000" w:themeColor="text1"/>
        </w:rPr>
        <w:t xml:space="preserve"> poprzedniej LSR, gdzie rekomendowano kontynuację tych działań w kolejnych latach, ponieważ jak zauważono</w:t>
      </w:r>
      <w:r w:rsidR="00BA4531">
        <w:rPr>
          <w:rFonts w:ascii="Times New Roman" w:hAnsi="Times New Roman" w:cs="Times New Roman"/>
          <w:color w:val="000000" w:themeColor="text1"/>
        </w:rPr>
        <w:t>,</w:t>
      </w:r>
      <w:r w:rsidRPr="00370AD0">
        <w:rPr>
          <w:rFonts w:ascii="Times New Roman" w:hAnsi="Times New Roman" w:cs="Times New Roman"/>
          <w:color w:val="000000" w:themeColor="text1"/>
        </w:rPr>
        <w:t xml:space="preserve"> wspieranie przedsiębiorczości ma istotny wpływ na rozwój obszaru. Drugim obszarem, który zgodnie </w:t>
      </w:r>
      <w:r w:rsidR="00ED359B">
        <w:rPr>
          <w:rFonts w:ascii="Times New Roman" w:hAnsi="Times New Roman" w:cs="Times New Roman"/>
          <w:color w:val="000000" w:themeColor="text1"/>
        </w:rPr>
        <w:br/>
      </w:r>
      <w:r w:rsidRPr="00370AD0">
        <w:rPr>
          <w:rFonts w:ascii="Times New Roman" w:hAnsi="Times New Roman" w:cs="Times New Roman"/>
          <w:color w:val="000000" w:themeColor="text1"/>
        </w:rPr>
        <w:t xml:space="preserve">z rekomendacjami z </w:t>
      </w:r>
      <w:r w:rsidR="00BA4531">
        <w:rPr>
          <w:rFonts w:ascii="Times New Roman" w:hAnsi="Times New Roman" w:cs="Times New Roman"/>
          <w:color w:val="000000" w:themeColor="text1"/>
        </w:rPr>
        <w:t>E</w:t>
      </w:r>
      <w:r w:rsidRPr="00370AD0">
        <w:rPr>
          <w:rFonts w:ascii="Times New Roman" w:hAnsi="Times New Roman" w:cs="Times New Roman"/>
          <w:color w:val="000000" w:themeColor="text1"/>
        </w:rPr>
        <w:t>waluacji należy wspierać</w:t>
      </w:r>
      <w:r w:rsidR="00BA4531">
        <w:rPr>
          <w:rFonts w:ascii="Times New Roman" w:hAnsi="Times New Roman" w:cs="Times New Roman"/>
          <w:color w:val="000000" w:themeColor="text1"/>
        </w:rPr>
        <w:t>,</w:t>
      </w:r>
      <w:r w:rsidRPr="00370AD0">
        <w:rPr>
          <w:rFonts w:ascii="Times New Roman" w:hAnsi="Times New Roman" w:cs="Times New Roman"/>
          <w:color w:val="000000" w:themeColor="text1"/>
        </w:rPr>
        <w:t xml:space="preserve"> jest kapitał społeczny</w:t>
      </w:r>
      <w:r w:rsidR="00BA4531">
        <w:rPr>
          <w:rFonts w:ascii="Times New Roman" w:hAnsi="Times New Roman" w:cs="Times New Roman"/>
          <w:color w:val="000000" w:themeColor="text1"/>
        </w:rPr>
        <w:t xml:space="preserve"> –</w:t>
      </w:r>
      <w:r w:rsidRPr="00370AD0">
        <w:rPr>
          <w:rFonts w:ascii="Times New Roman" w:hAnsi="Times New Roman" w:cs="Times New Roman"/>
          <w:color w:val="000000" w:themeColor="text1"/>
        </w:rPr>
        <w:t xml:space="preserve"> działania w tym zakresie w poprzedniej LSR </w:t>
      </w:r>
      <w:r w:rsidR="00ED359B">
        <w:rPr>
          <w:rFonts w:ascii="Times New Roman" w:hAnsi="Times New Roman" w:cs="Times New Roman"/>
          <w:color w:val="000000" w:themeColor="text1"/>
        </w:rPr>
        <w:t xml:space="preserve">nie przyniosły oczekiwanych efektów, poprzez „ograniczony czas trwania akcji grantowej”, ponadto realizację </w:t>
      </w:r>
      <w:r w:rsidR="00ED359B">
        <w:rPr>
          <w:rFonts w:ascii="Times New Roman" w:hAnsi="Times New Roman" w:cs="Times New Roman"/>
          <w:color w:val="000000" w:themeColor="text1"/>
        </w:rPr>
        <w:lastRenderedPageBreak/>
        <w:t>działań utrudniała mała aktywność społeczna mieszkańców</w:t>
      </w:r>
      <w:r w:rsidR="00ED359B">
        <w:rPr>
          <w:rStyle w:val="Odwoanieprzypisudolnego"/>
          <w:rFonts w:ascii="Times New Roman" w:hAnsi="Times New Roman" w:cs="Times New Roman"/>
          <w:color w:val="000000" w:themeColor="text1"/>
        </w:rPr>
        <w:footnoteReference w:id="9"/>
      </w:r>
      <w:r w:rsidR="00B332D6">
        <w:rPr>
          <w:rFonts w:ascii="Times New Roman" w:hAnsi="Times New Roman" w:cs="Times New Roman"/>
          <w:color w:val="000000" w:themeColor="text1"/>
        </w:rPr>
        <w:t xml:space="preserve">. </w:t>
      </w:r>
      <w:r w:rsidRPr="00370AD0">
        <w:rPr>
          <w:rFonts w:ascii="Times New Roman" w:hAnsi="Times New Roman" w:cs="Times New Roman"/>
        </w:rPr>
        <w:t>Również na spotkaniach dotyczących budowania nowej LSR mieszkańcy zwracali uwagę na potrzebę jeszcze większego zaangażowania mieszkańców w życie obszaru</w:t>
      </w:r>
      <w:r w:rsidR="00ED359B">
        <w:rPr>
          <w:rFonts w:ascii="Times New Roman" w:hAnsi="Times New Roman" w:cs="Times New Roman"/>
          <w:color w:val="000000" w:themeColor="text1"/>
        </w:rPr>
        <w:t>.</w:t>
      </w:r>
    </w:p>
    <w:p w14:paraId="41E2C7AD" w14:textId="77777777" w:rsidR="00A17173" w:rsidRPr="00D06602" w:rsidRDefault="00A17173" w:rsidP="00813AD1">
      <w:pPr>
        <w:pStyle w:val="podnagowek"/>
        <w:numPr>
          <w:ilvl w:val="1"/>
          <w:numId w:val="16"/>
        </w:numPr>
        <w:spacing w:after="0" w:line="276" w:lineRule="auto"/>
        <w:outlineLvl w:val="9"/>
        <w:rPr>
          <w:sz w:val="22"/>
          <w:szCs w:val="22"/>
        </w:rPr>
      </w:pPr>
      <w:bookmarkStart w:id="57" w:name="_Toc111101335"/>
      <w:bookmarkStart w:id="58" w:name="_Toc132578924"/>
      <w:r w:rsidRPr="00DD04B1">
        <w:rPr>
          <w:sz w:val="22"/>
          <w:szCs w:val="22"/>
        </w:rPr>
        <w:t>Charakterystyka rynku pracy</w:t>
      </w:r>
      <w:bookmarkEnd w:id="57"/>
      <w:r w:rsidRPr="00DD04B1">
        <w:rPr>
          <w:sz w:val="22"/>
          <w:szCs w:val="22"/>
        </w:rPr>
        <w:t xml:space="preserve"> – zatrudnienie i bezrobocie</w:t>
      </w:r>
      <w:bookmarkEnd w:id="58"/>
    </w:p>
    <w:p w14:paraId="7923C8AA" w14:textId="7E6395BC" w:rsidR="00735C02" w:rsidRDefault="00A17173" w:rsidP="00735C02">
      <w:pPr>
        <w:spacing w:after="120" w:line="276" w:lineRule="auto"/>
        <w:ind w:firstLine="708"/>
        <w:jc w:val="both"/>
        <w:rPr>
          <w:rFonts w:ascii="Times New Roman" w:hAnsi="Times New Roman" w:cs="Times New Roman"/>
          <w:color w:val="000000" w:themeColor="text1"/>
        </w:rPr>
      </w:pPr>
      <w:r w:rsidRPr="00B96DA2">
        <w:rPr>
          <w:rFonts w:ascii="Times New Roman" w:hAnsi="Times New Roman" w:cs="Times New Roman"/>
          <w:color w:val="000000" w:themeColor="text1"/>
        </w:rPr>
        <w:t>Sytuację panującą na rynku pracy odzwierciedlają wskaźniki dotyczące zatrudnienia oraz bezrobocia.</w:t>
      </w:r>
      <w:r>
        <w:rPr>
          <w:rFonts w:ascii="Times New Roman" w:hAnsi="Times New Roman" w:cs="Times New Roman"/>
          <w:color w:val="000000" w:themeColor="text1"/>
        </w:rPr>
        <w:t xml:space="preserve"> Ogólna liczba bezrobotnych na obszarze LGD w 2020 r. wynosiła </w:t>
      </w:r>
      <w:r w:rsidR="00400A44">
        <w:rPr>
          <w:rFonts w:ascii="Times New Roman" w:hAnsi="Times New Roman" w:cs="Times New Roman"/>
          <w:color w:val="000000" w:themeColor="text1"/>
        </w:rPr>
        <w:t>4 729</w:t>
      </w:r>
      <w:r>
        <w:rPr>
          <w:rFonts w:ascii="Times New Roman" w:hAnsi="Times New Roman" w:cs="Times New Roman"/>
          <w:color w:val="000000" w:themeColor="text1"/>
        </w:rPr>
        <w:t xml:space="preserve"> os</w:t>
      </w:r>
      <w:r w:rsidR="00400A44">
        <w:rPr>
          <w:rFonts w:ascii="Times New Roman" w:hAnsi="Times New Roman" w:cs="Times New Roman"/>
          <w:color w:val="000000" w:themeColor="text1"/>
        </w:rPr>
        <w:t>ób</w:t>
      </w:r>
      <w:r>
        <w:rPr>
          <w:rFonts w:ascii="Times New Roman" w:hAnsi="Times New Roman" w:cs="Times New Roman"/>
          <w:color w:val="000000" w:themeColor="text1"/>
        </w:rPr>
        <w:t xml:space="preserve">, w tym </w:t>
      </w:r>
      <w:r w:rsidR="00400A44">
        <w:rPr>
          <w:rFonts w:ascii="Times New Roman" w:hAnsi="Times New Roman" w:cs="Times New Roman"/>
          <w:color w:val="000000" w:themeColor="text1"/>
        </w:rPr>
        <w:t>2 351</w:t>
      </w:r>
      <w:r>
        <w:rPr>
          <w:rFonts w:ascii="Times New Roman" w:hAnsi="Times New Roman" w:cs="Times New Roman"/>
          <w:color w:val="000000" w:themeColor="text1"/>
        </w:rPr>
        <w:t xml:space="preserve"> kobiet (4</w:t>
      </w:r>
      <w:r w:rsidR="00400A44">
        <w:rPr>
          <w:rFonts w:ascii="Times New Roman" w:hAnsi="Times New Roman" w:cs="Times New Roman"/>
          <w:color w:val="000000" w:themeColor="text1"/>
        </w:rPr>
        <w:t>9,7</w:t>
      </w:r>
      <w:r>
        <w:rPr>
          <w:rFonts w:ascii="Times New Roman" w:hAnsi="Times New Roman" w:cs="Times New Roman"/>
          <w:color w:val="000000" w:themeColor="text1"/>
        </w:rPr>
        <w:t xml:space="preserve">%) oraz </w:t>
      </w:r>
      <w:r w:rsidR="00400A44">
        <w:rPr>
          <w:rFonts w:ascii="Times New Roman" w:hAnsi="Times New Roman" w:cs="Times New Roman"/>
          <w:color w:val="000000" w:themeColor="text1"/>
        </w:rPr>
        <w:br/>
        <w:t>2 378</w:t>
      </w:r>
      <w:r>
        <w:rPr>
          <w:rFonts w:ascii="Times New Roman" w:hAnsi="Times New Roman" w:cs="Times New Roman"/>
          <w:color w:val="000000" w:themeColor="text1"/>
        </w:rPr>
        <w:t xml:space="preserve"> mężczyzn (</w:t>
      </w:r>
      <w:r w:rsidR="00400A44">
        <w:rPr>
          <w:rFonts w:ascii="Times New Roman" w:hAnsi="Times New Roman" w:cs="Times New Roman"/>
          <w:color w:val="000000" w:themeColor="text1"/>
        </w:rPr>
        <w:t>50,3</w:t>
      </w:r>
      <w:r>
        <w:rPr>
          <w:rFonts w:ascii="Times New Roman" w:hAnsi="Times New Roman" w:cs="Times New Roman"/>
          <w:color w:val="000000" w:themeColor="text1"/>
        </w:rPr>
        <w:t>%). Udział procentowy kobiet w ogólnej liczbie bezrobotnych na obszarze LGD w 2020 r. był niższy od średniej w województwie (5</w:t>
      </w:r>
      <w:r w:rsidR="00400A44">
        <w:rPr>
          <w:rFonts w:ascii="Times New Roman" w:hAnsi="Times New Roman" w:cs="Times New Roman"/>
          <w:color w:val="000000" w:themeColor="text1"/>
        </w:rPr>
        <w:t>0,6</w:t>
      </w:r>
      <w:r>
        <w:rPr>
          <w:rFonts w:ascii="Times New Roman" w:hAnsi="Times New Roman" w:cs="Times New Roman"/>
          <w:color w:val="000000" w:themeColor="text1"/>
        </w:rPr>
        <w:t xml:space="preserve">%) oraz kraju (53,7%), natomiast liczba bezrobotnych mężczyzn </w:t>
      </w:r>
      <w:r w:rsidR="00400A44">
        <w:rPr>
          <w:rFonts w:ascii="Times New Roman" w:hAnsi="Times New Roman" w:cs="Times New Roman"/>
          <w:color w:val="000000" w:themeColor="text1"/>
        </w:rPr>
        <w:t>na obszarze</w:t>
      </w:r>
      <w:r>
        <w:rPr>
          <w:rFonts w:ascii="Times New Roman" w:hAnsi="Times New Roman" w:cs="Times New Roman"/>
          <w:color w:val="000000" w:themeColor="text1"/>
        </w:rPr>
        <w:t xml:space="preserve"> była wyższa od średniej dla województwa (4</w:t>
      </w:r>
      <w:r w:rsidR="00400A44">
        <w:rPr>
          <w:rFonts w:ascii="Times New Roman" w:hAnsi="Times New Roman" w:cs="Times New Roman"/>
          <w:color w:val="000000" w:themeColor="text1"/>
        </w:rPr>
        <w:t>9</w:t>
      </w:r>
      <w:r>
        <w:rPr>
          <w:rFonts w:ascii="Times New Roman" w:hAnsi="Times New Roman" w:cs="Times New Roman"/>
          <w:color w:val="000000" w:themeColor="text1"/>
        </w:rPr>
        <w:t>,</w:t>
      </w:r>
      <w:r w:rsidR="00400A44">
        <w:rPr>
          <w:rFonts w:ascii="Times New Roman" w:hAnsi="Times New Roman" w:cs="Times New Roman"/>
          <w:color w:val="000000" w:themeColor="text1"/>
        </w:rPr>
        <w:t>4</w:t>
      </w:r>
      <w:r>
        <w:rPr>
          <w:rFonts w:ascii="Times New Roman" w:hAnsi="Times New Roman" w:cs="Times New Roman"/>
          <w:color w:val="000000" w:themeColor="text1"/>
        </w:rPr>
        <w:t>%) i kraju (46,3%). W kolejnym analizowanym roku sytuacja wyglądała podobnie</w:t>
      </w:r>
      <w:r w:rsidR="00467831">
        <w:rPr>
          <w:rFonts w:ascii="Times New Roman" w:hAnsi="Times New Roman" w:cs="Times New Roman"/>
          <w:color w:val="000000" w:themeColor="text1"/>
        </w:rPr>
        <w:t>.</w:t>
      </w:r>
      <w:r>
        <w:rPr>
          <w:rFonts w:ascii="Times New Roman" w:hAnsi="Times New Roman" w:cs="Times New Roman"/>
          <w:color w:val="000000" w:themeColor="text1"/>
        </w:rPr>
        <w:t xml:space="preserve"> Ponadto według danych GUS w latach 2016–2019 liczba bezrobotnych malała, jednak w 2020 r. nastąpił wzrost tego wskaźnika, na co miała wpływ niewątpliwie pandemia COVID-19</w:t>
      </w:r>
      <w:r w:rsidRPr="008F0943">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5BD0D0A4" w14:textId="226AE018" w:rsidR="00A17173" w:rsidRPr="009C36D6" w:rsidRDefault="00A17173" w:rsidP="00735C02">
      <w:pPr>
        <w:spacing w:line="276" w:lineRule="auto"/>
        <w:ind w:firstLine="708"/>
        <w:jc w:val="center"/>
        <w:rPr>
          <w:rFonts w:ascii="Times New Roman" w:hAnsi="Times New Roman" w:cs="Times New Roman"/>
          <w:b/>
          <w:bCs/>
          <w:color w:val="000000" w:themeColor="text1"/>
        </w:rPr>
      </w:pPr>
      <w:r w:rsidRPr="009C36D6">
        <w:rPr>
          <w:rFonts w:ascii="Times New Roman" w:hAnsi="Times New Roman" w:cs="Times New Roman"/>
          <w:b/>
          <w:bCs/>
          <w:color w:val="000000" w:themeColor="text1"/>
        </w:rPr>
        <w:t xml:space="preserve">Przy obliczeniu wskaźnika </w:t>
      </w:r>
      <w:r>
        <w:rPr>
          <w:rFonts w:ascii="Times New Roman" w:hAnsi="Times New Roman" w:cs="Times New Roman"/>
          <w:b/>
          <w:bCs/>
          <w:i/>
          <w:iCs/>
          <w:color w:val="000000" w:themeColor="text1"/>
        </w:rPr>
        <w:t>bezrobotni na obszarze LSR</w:t>
      </w:r>
      <w:r w:rsidRPr="009C36D6">
        <w:rPr>
          <w:rFonts w:ascii="Times New Roman" w:hAnsi="Times New Roman" w:cs="Times New Roman"/>
          <w:b/>
          <w:bCs/>
          <w:i/>
          <w:iCs/>
          <w:color w:val="000000" w:themeColor="text1"/>
        </w:rPr>
        <w:t xml:space="preserve"> </w:t>
      </w:r>
      <w:r w:rsidRPr="00D03CAB">
        <w:rPr>
          <w:rFonts w:ascii="Times New Roman" w:hAnsi="Times New Roman" w:cs="Times New Roman"/>
          <w:b/>
          <w:bCs/>
          <w:color w:val="000000" w:themeColor="text1"/>
        </w:rPr>
        <w:t>za</w:t>
      </w:r>
      <w:r w:rsidRPr="009C36D6">
        <w:rPr>
          <w:rFonts w:ascii="Times New Roman" w:hAnsi="Times New Roman" w:cs="Times New Roman"/>
          <w:b/>
          <w:bCs/>
          <w:i/>
          <w:iCs/>
          <w:color w:val="000000" w:themeColor="text1"/>
        </w:rPr>
        <w:t xml:space="preserve"> </w:t>
      </w:r>
      <w:r w:rsidRPr="009C36D6">
        <w:rPr>
          <w:rFonts w:ascii="Times New Roman" w:hAnsi="Times New Roman" w:cs="Times New Roman"/>
          <w:b/>
          <w:bCs/>
          <w:color w:val="000000" w:themeColor="text1"/>
        </w:rPr>
        <w:t>2020 r. ze wzoru:</w:t>
      </w:r>
    </w:p>
    <w:p w14:paraId="74E10C40" w14:textId="634B6576" w:rsidR="00A17173" w:rsidRPr="00DD04B1" w:rsidRDefault="00A17173" w:rsidP="00A17173">
      <w:pPr>
        <w:autoSpaceDE w:val="0"/>
        <w:autoSpaceDN w:val="0"/>
        <w:adjustRightInd w:val="0"/>
        <w:spacing w:after="120" w:line="240" w:lineRule="auto"/>
        <w:jc w:val="center"/>
        <w:rPr>
          <w:rFonts w:ascii="Times New Roman" w:hAnsi="Times New Roman" w:cs="Times New Roman"/>
          <w:b/>
          <w:bCs/>
        </w:rPr>
      </w:pPr>
      <m:oMath>
        <m:r>
          <m:rPr>
            <m:sty m:val="b"/>
          </m:rPr>
          <w:rPr>
            <w:rFonts w:ascii="Cambria Math" w:hAnsi="Cambria Math" w:cs="Arial"/>
            <w:sz w:val="20"/>
            <w:szCs w:val="20"/>
          </w:rPr>
          <m:t xml:space="preserve">5 x </m:t>
        </m:r>
        <m:d>
          <m:dPr>
            <m:ctrlPr>
              <w:rPr>
                <w:rFonts w:ascii="Cambria Math" w:hAnsi="Cambria Math" w:cs="Arial"/>
                <w:b/>
                <w:bCs/>
                <w:sz w:val="20"/>
                <w:szCs w:val="20"/>
              </w:rPr>
            </m:ctrlPr>
          </m:dPr>
          <m:e>
            <m:r>
              <m:rPr>
                <m:sty m:val="b"/>
              </m:rPr>
              <w:rPr>
                <w:rFonts w:ascii="Cambria Math" w:hAnsi="Cambria Math" w:cs="Arial"/>
                <w:sz w:val="20"/>
                <w:szCs w:val="20"/>
              </w:rPr>
              <m:t>1-</m:t>
            </m:r>
            <m:f>
              <m:fPr>
                <m:ctrlPr>
                  <w:rPr>
                    <w:rFonts w:ascii="Cambria Math" w:hAnsi="Cambria Math" w:cs="Arial"/>
                    <w:b/>
                    <w:bCs/>
                    <w:sz w:val="20"/>
                    <w:szCs w:val="20"/>
                  </w:rPr>
                </m:ctrlPr>
              </m:fPr>
              <m:num>
                <m:r>
                  <m:rPr>
                    <m:sty m:val="b"/>
                  </m:rPr>
                  <w:rPr>
                    <w:rFonts w:ascii="Cambria Math" w:hAnsi="Cambria Math" w:cs="Arial"/>
                    <w:sz w:val="20"/>
                    <w:szCs w:val="20"/>
                  </w:rPr>
                  <m:t>0,015 x ludność w wieku produkcyjnym</m:t>
                </m:r>
              </m:num>
              <m:den>
                <m:r>
                  <m:rPr>
                    <m:sty m:val="bi"/>
                  </m:rPr>
                  <w:rPr>
                    <w:rFonts w:ascii="Cambria Math" w:hAnsi="Cambria Math" w:cs="Arial"/>
                    <w:sz w:val="20"/>
                    <w:szCs w:val="20"/>
                  </w:rPr>
                  <m:t>liczba bezrobotnych</m:t>
                </m:r>
              </m:den>
            </m:f>
            <m:ctrlPr>
              <w:rPr>
                <w:rFonts w:ascii="Cambria Math" w:hAnsi="Cambria Math" w:cs="Arial"/>
                <w:b/>
                <w:bCs/>
                <w:i/>
                <w:sz w:val="20"/>
                <w:szCs w:val="20"/>
              </w:rPr>
            </m:ctrlPr>
          </m:e>
        </m:d>
      </m:oMath>
      <w:r w:rsidRPr="00DD04B1">
        <w:rPr>
          <w:rFonts w:ascii="Times New Roman" w:eastAsiaTheme="minorEastAsia" w:hAnsi="Times New Roman" w:cs="Times New Roman"/>
          <w:b/>
          <w:bCs/>
          <w:sz w:val="18"/>
        </w:rPr>
        <w:t xml:space="preserve"> </w:t>
      </w:r>
      <w:r w:rsidRPr="00DD04B1">
        <w:rPr>
          <w:rFonts w:ascii="Times New Roman" w:hAnsi="Times New Roman" w:cs="Times New Roman"/>
          <w:b/>
          <w:bCs/>
          <w:color w:val="000000" w:themeColor="text1"/>
        </w:rPr>
        <w:t xml:space="preserve">obszar LGD osiąga wartość </w:t>
      </w:r>
      <w:r>
        <w:rPr>
          <w:rFonts w:ascii="Times New Roman" w:hAnsi="Times New Roman" w:cs="Times New Roman"/>
          <w:b/>
          <w:bCs/>
          <w:color w:val="000000" w:themeColor="text1"/>
        </w:rPr>
        <w:t>3,</w:t>
      </w:r>
      <w:r w:rsidR="00735C02">
        <w:rPr>
          <w:rFonts w:ascii="Times New Roman" w:hAnsi="Times New Roman" w:cs="Times New Roman"/>
          <w:b/>
          <w:bCs/>
          <w:color w:val="000000" w:themeColor="text1"/>
        </w:rPr>
        <w:t>94</w:t>
      </w:r>
    </w:p>
    <w:p w14:paraId="55956981" w14:textId="0BE45878" w:rsidR="00F46D3D" w:rsidRDefault="00A17173" w:rsidP="00F46D3D">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Kolejnym wskaźnikiem charakteryzującym rynek pracy jest </w:t>
      </w:r>
      <w:r w:rsidRPr="00D51328">
        <w:rPr>
          <w:rFonts w:ascii="Times New Roman" w:hAnsi="Times New Roman" w:cs="Times New Roman"/>
          <w:i/>
          <w:iCs/>
          <w:color w:val="000000" w:themeColor="text1"/>
        </w:rPr>
        <w:t>udział długotrwale bezrobotnych w liczbie bezrobotnych ogółem</w:t>
      </w:r>
      <w:r>
        <w:rPr>
          <w:rFonts w:ascii="Times New Roman" w:hAnsi="Times New Roman" w:cs="Times New Roman"/>
          <w:color w:val="000000" w:themeColor="text1"/>
        </w:rPr>
        <w:t xml:space="preserve"> (tabela </w:t>
      </w:r>
      <w:r w:rsidR="00467831">
        <w:rPr>
          <w:rFonts w:ascii="Times New Roman" w:hAnsi="Times New Roman" w:cs="Times New Roman"/>
          <w:color w:val="000000" w:themeColor="text1"/>
        </w:rPr>
        <w:t>6</w:t>
      </w:r>
      <w:r>
        <w:rPr>
          <w:rFonts w:ascii="Times New Roman" w:hAnsi="Times New Roman" w:cs="Times New Roman"/>
          <w:color w:val="000000" w:themeColor="text1"/>
        </w:rPr>
        <w:t xml:space="preserve">). W tym przypadku wskaźnik dla obszaru LGD w każdym analizowanym roku </w:t>
      </w:r>
      <w:r w:rsidR="00BA4531">
        <w:rPr>
          <w:rFonts w:ascii="Times New Roman" w:hAnsi="Times New Roman" w:cs="Times New Roman"/>
          <w:color w:val="000000" w:themeColor="text1"/>
        </w:rPr>
        <w:t>był</w:t>
      </w:r>
      <w:r>
        <w:rPr>
          <w:rFonts w:ascii="Times New Roman" w:hAnsi="Times New Roman" w:cs="Times New Roman"/>
          <w:color w:val="000000" w:themeColor="text1"/>
        </w:rPr>
        <w:t xml:space="preserve"> </w:t>
      </w:r>
      <w:r w:rsidR="00911300">
        <w:rPr>
          <w:rFonts w:ascii="Times New Roman" w:hAnsi="Times New Roman" w:cs="Times New Roman"/>
          <w:color w:val="000000" w:themeColor="text1"/>
        </w:rPr>
        <w:t>wyższy</w:t>
      </w:r>
      <w:r>
        <w:rPr>
          <w:rFonts w:ascii="Times New Roman" w:hAnsi="Times New Roman" w:cs="Times New Roman"/>
          <w:color w:val="000000" w:themeColor="text1"/>
        </w:rPr>
        <w:t xml:space="preserve"> niż średnia dla województwa oraz kraju. Ponadto wskaźnik dla obszaru w latach 2016–20</w:t>
      </w:r>
      <w:r w:rsidR="00911300">
        <w:rPr>
          <w:rFonts w:ascii="Times New Roman" w:hAnsi="Times New Roman" w:cs="Times New Roman"/>
          <w:color w:val="000000" w:themeColor="text1"/>
        </w:rPr>
        <w:t>20</w:t>
      </w:r>
      <w:r>
        <w:rPr>
          <w:rFonts w:ascii="Times New Roman" w:hAnsi="Times New Roman" w:cs="Times New Roman"/>
          <w:color w:val="000000" w:themeColor="text1"/>
        </w:rPr>
        <w:t xml:space="preserve"> malał, wzrost odnotowano dopiero w roku 202</w:t>
      </w:r>
      <w:r w:rsidR="00911300">
        <w:rPr>
          <w:rFonts w:ascii="Times New Roman" w:hAnsi="Times New Roman" w:cs="Times New Roman"/>
          <w:color w:val="000000" w:themeColor="text1"/>
        </w:rPr>
        <w:t>1</w:t>
      </w:r>
      <w:r>
        <w:rPr>
          <w:rFonts w:ascii="Times New Roman" w:hAnsi="Times New Roman" w:cs="Times New Roman"/>
          <w:color w:val="000000" w:themeColor="text1"/>
        </w:rPr>
        <w:t xml:space="preserve"> r.</w:t>
      </w:r>
      <w:bookmarkStart w:id="59" w:name="_Toc115335599"/>
    </w:p>
    <w:p w14:paraId="05A2A67C" w14:textId="11DC9FDC" w:rsidR="00A17173" w:rsidRDefault="00A17173" w:rsidP="00F46D3D">
      <w:pPr>
        <w:spacing w:after="0" w:line="276" w:lineRule="auto"/>
        <w:ind w:firstLine="709"/>
        <w:jc w:val="center"/>
        <w:rPr>
          <w:rFonts w:ascii="Times New Roman" w:hAnsi="Times New Roman" w:cs="Times New Roman"/>
          <w:b/>
          <w:bCs/>
          <w:i/>
          <w:iCs/>
          <w:color w:val="000000" w:themeColor="text1"/>
          <w:sz w:val="20"/>
          <w:szCs w:val="20"/>
        </w:rPr>
      </w:pPr>
      <w:bookmarkStart w:id="60" w:name="_Toc135896548"/>
      <w:r w:rsidRPr="002A6599">
        <w:rPr>
          <w:rFonts w:ascii="Times New Roman" w:hAnsi="Times New Roman" w:cs="Times New Roman"/>
          <w:b/>
          <w:bCs/>
          <w:color w:val="000000" w:themeColor="text1"/>
          <w:sz w:val="20"/>
          <w:szCs w:val="20"/>
        </w:rPr>
        <w:t xml:space="preserve">Tabela </w:t>
      </w:r>
      <w:r w:rsidRPr="002A6599">
        <w:rPr>
          <w:rFonts w:ascii="Times New Roman" w:hAnsi="Times New Roman" w:cs="Times New Roman"/>
          <w:b/>
          <w:bCs/>
          <w:i/>
          <w:iCs/>
          <w:color w:val="000000" w:themeColor="text1"/>
          <w:sz w:val="20"/>
          <w:szCs w:val="20"/>
        </w:rPr>
        <w:fldChar w:fldCharType="begin"/>
      </w:r>
      <w:r w:rsidRPr="002A6599">
        <w:rPr>
          <w:rFonts w:ascii="Times New Roman" w:hAnsi="Times New Roman" w:cs="Times New Roman"/>
          <w:b/>
          <w:bCs/>
          <w:color w:val="000000" w:themeColor="text1"/>
          <w:sz w:val="20"/>
          <w:szCs w:val="20"/>
        </w:rPr>
        <w:instrText xml:space="preserve"> SEQ Tabela \* ARABIC </w:instrText>
      </w:r>
      <w:r w:rsidRPr="002A6599">
        <w:rPr>
          <w:rFonts w:ascii="Times New Roman" w:hAnsi="Times New Roman" w:cs="Times New Roman"/>
          <w:b/>
          <w:bCs/>
          <w:i/>
          <w:iCs/>
          <w:color w:val="000000" w:themeColor="text1"/>
          <w:sz w:val="20"/>
          <w:szCs w:val="20"/>
        </w:rPr>
        <w:fldChar w:fldCharType="separate"/>
      </w:r>
      <w:r w:rsidR="00467831">
        <w:rPr>
          <w:rFonts w:ascii="Times New Roman" w:hAnsi="Times New Roman" w:cs="Times New Roman"/>
          <w:b/>
          <w:bCs/>
          <w:noProof/>
          <w:color w:val="000000" w:themeColor="text1"/>
          <w:sz w:val="20"/>
          <w:szCs w:val="20"/>
        </w:rPr>
        <w:t>6</w:t>
      </w:r>
      <w:r w:rsidRPr="002A6599">
        <w:rPr>
          <w:rFonts w:ascii="Times New Roman" w:hAnsi="Times New Roman" w:cs="Times New Roman"/>
          <w:b/>
          <w:bCs/>
          <w:i/>
          <w:iCs/>
          <w:color w:val="000000" w:themeColor="text1"/>
          <w:sz w:val="20"/>
          <w:szCs w:val="20"/>
        </w:rPr>
        <w:fldChar w:fldCharType="end"/>
      </w:r>
      <w:r w:rsidRPr="002A6599">
        <w:rPr>
          <w:rFonts w:ascii="Times New Roman" w:hAnsi="Times New Roman" w:cs="Times New Roman"/>
          <w:b/>
          <w:bCs/>
          <w:color w:val="000000" w:themeColor="text1"/>
          <w:sz w:val="20"/>
          <w:szCs w:val="20"/>
        </w:rPr>
        <w:t xml:space="preserve"> </w:t>
      </w:r>
      <w:r w:rsidRPr="004828D2">
        <w:rPr>
          <w:rFonts w:ascii="Times New Roman" w:hAnsi="Times New Roman" w:cs="Times New Roman"/>
          <w:b/>
          <w:bCs/>
          <w:color w:val="000000" w:themeColor="text1"/>
          <w:sz w:val="20"/>
          <w:szCs w:val="20"/>
        </w:rPr>
        <w:t>Udział długotrwale bezrobotnych w liczbie bezrobotnych</w:t>
      </w:r>
      <w:r w:rsidRPr="00687058">
        <w:rPr>
          <w:rFonts w:ascii="Times New Roman" w:hAnsi="Times New Roman" w:cs="Times New Roman"/>
          <w:b/>
          <w:bCs/>
          <w:color w:val="000000" w:themeColor="text1"/>
          <w:sz w:val="20"/>
          <w:szCs w:val="20"/>
        </w:rPr>
        <w:t xml:space="preserve"> ogółem</w:t>
      </w:r>
      <w:r w:rsidRPr="00991C8F">
        <w:rPr>
          <w:rFonts w:ascii="Times New Roman" w:hAnsi="Times New Roman" w:cs="Times New Roman"/>
          <w:b/>
          <w:bCs/>
          <w:color w:val="000000" w:themeColor="text1"/>
          <w:sz w:val="20"/>
          <w:szCs w:val="20"/>
        </w:rPr>
        <w:t xml:space="preserve"> na obszarze LGD, w województwie </w:t>
      </w:r>
      <w:r w:rsidR="00ED359B">
        <w:rPr>
          <w:rFonts w:ascii="Times New Roman" w:hAnsi="Times New Roman" w:cs="Times New Roman"/>
          <w:b/>
          <w:bCs/>
          <w:color w:val="000000" w:themeColor="text1"/>
          <w:sz w:val="20"/>
          <w:szCs w:val="20"/>
        </w:rPr>
        <w:br/>
      </w:r>
      <w:r w:rsidRPr="00991C8F">
        <w:rPr>
          <w:rFonts w:ascii="Times New Roman" w:hAnsi="Times New Roman" w:cs="Times New Roman"/>
          <w:b/>
          <w:bCs/>
          <w:color w:val="000000" w:themeColor="text1"/>
          <w:sz w:val="20"/>
          <w:szCs w:val="20"/>
        </w:rPr>
        <w:t>i kraju w latach 2016–202</w:t>
      </w:r>
      <w:bookmarkEnd w:id="59"/>
      <w:r>
        <w:rPr>
          <w:rFonts w:ascii="Times New Roman" w:hAnsi="Times New Roman" w:cs="Times New Roman"/>
          <w:b/>
          <w:bCs/>
          <w:color w:val="000000" w:themeColor="text1"/>
          <w:sz w:val="20"/>
          <w:szCs w:val="20"/>
        </w:rPr>
        <w:t>1</w:t>
      </w:r>
      <w:bookmarkEnd w:id="60"/>
    </w:p>
    <w:tbl>
      <w:tblPr>
        <w:tblW w:w="5000" w:type="pct"/>
        <w:tblCellMar>
          <w:left w:w="70" w:type="dxa"/>
          <w:right w:w="70" w:type="dxa"/>
        </w:tblCellMar>
        <w:tblLook w:val="04A0" w:firstRow="1" w:lastRow="0" w:firstColumn="1" w:lastColumn="0" w:noHBand="0" w:noVBand="1"/>
      </w:tblPr>
      <w:tblGrid>
        <w:gridCol w:w="2574"/>
        <w:gridCol w:w="1230"/>
        <w:gridCol w:w="1229"/>
        <w:gridCol w:w="1229"/>
        <w:gridCol w:w="1229"/>
        <w:gridCol w:w="1229"/>
        <w:gridCol w:w="1229"/>
        <w:gridCol w:w="245"/>
      </w:tblGrid>
      <w:tr w:rsidR="00A17173" w:rsidRPr="00FD0E5D" w14:paraId="545F8035" w14:textId="77777777" w:rsidTr="00911300">
        <w:trPr>
          <w:gridAfter w:val="1"/>
          <w:wAfter w:w="121" w:type="pct"/>
          <w:trHeight w:val="450"/>
        </w:trPr>
        <w:tc>
          <w:tcPr>
            <w:tcW w:w="1262"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BD99254" w14:textId="77777777" w:rsidR="00A17173" w:rsidRPr="00FD0E5D"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D0E5D">
              <w:rPr>
                <w:rFonts w:ascii="Times New Roman" w:eastAsia="Times New Roman" w:hAnsi="Times New Roman" w:cs="Times New Roman"/>
                <w:b/>
                <w:bCs/>
                <w:color w:val="000000"/>
                <w:sz w:val="20"/>
                <w:szCs w:val="20"/>
                <w:lang w:eastAsia="pl-PL"/>
              </w:rPr>
              <w:t>Jednostka terytorialna</w:t>
            </w:r>
          </w:p>
        </w:tc>
        <w:tc>
          <w:tcPr>
            <w:tcW w:w="3617" w:type="pct"/>
            <w:gridSpan w:val="6"/>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4CF6B97" w14:textId="77777777" w:rsidR="00A17173" w:rsidRPr="00FD0E5D"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D0E5D">
              <w:rPr>
                <w:rFonts w:ascii="Times New Roman" w:eastAsia="Times New Roman" w:hAnsi="Times New Roman" w:cs="Times New Roman"/>
                <w:b/>
                <w:bCs/>
                <w:color w:val="000000"/>
                <w:sz w:val="20"/>
                <w:szCs w:val="20"/>
                <w:lang w:eastAsia="pl-PL"/>
              </w:rPr>
              <w:t>Udział długotrwale bezrobotnych w liczbie bezrobotnych ogółem</w:t>
            </w:r>
            <w:r>
              <w:rPr>
                <w:rFonts w:ascii="Times New Roman" w:eastAsia="Times New Roman" w:hAnsi="Times New Roman" w:cs="Times New Roman"/>
                <w:b/>
                <w:bCs/>
                <w:color w:val="000000"/>
                <w:sz w:val="20"/>
                <w:szCs w:val="20"/>
                <w:lang w:eastAsia="pl-PL"/>
              </w:rPr>
              <w:t xml:space="preserve"> (%)</w:t>
            </w:r>
          </w:p>
        </w:tc>
      </w:tr>
      <w:tr w:rsidR="00A17173" w:rsidRPr="00FD0E5D" w14:paraId="70BFE2E2" w14:textId="77777777" w:rsidTr="00911300">
        <w:trPr>
          <w:trHeight w:val="340"/>
        </w:trPr>
        <w:tc>
          <w:tcPr>
            <w:tcW w:w="1262" w:type="pct"/>
            <w:vMerge/>
            <w:tcBorders>
              <w:top w:val="single" w:sz="4" w:space="0" w:color="auto"/>
              <w:left w:val="single" w:sz="4" w:space="0" w:color="auto"/>
              <w:bottom w:val="single" w:sz="4" w:space="0" w:color="auto"/>
              <w:right w:val="single" w:sz="4" w:space="0" w:color="auto"/>
            </w:tcBorders>
            <w:vAlign w:val="center"/>
            <w:hideMark/>
          </w:tcPr>
          <w:p w14:paraId="6EC650EF" w14:textId="77777777" w:rsidR="00A17173" w:rsidRPr="00FD0E5D"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3617" w:type="pct"/>
            <w:gridSpan w:val="6"/>
            <w:vMerge/>
            <w:tcBorders>
              <w:top w:val="single" w:sz="4" w:space="0" w:color="auto"/>
              <w:left w:val="single" w:sz="4" w:space="0" w:color="auto"/>
              <w:bottom w:val="single" w:sz="4" w:space="0" w:color="auto"/>
              <w:right w:val="single" w:sz="4" w:space="0" w:color="auto"/>
            </w:tcBorders>
            <w:vAlign w:val="center"/>
            <w:hideMark/>
          </w:tcPr>
          <w:p w14:paraId="491BDF4E" w14:textId="77777777" w:rsidR="00A17173" w:rsidRPr="00FD0E5D"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121" w:type="pct"/>
            <w:tcBorders>
              <w:top w:val="nil"/>
              <w:left w:val="nil"/>
              <w:bottom w:val="nil"/>
              <w:right w:val="nil"/>
            </w:tcBorders>
            <w:shd w:val="clear" w:color="auto" w:fill="auto"/>
            <w:noWrap/>
            <w:vAlign w:val="bottom"/>
            <w:hideMark/>
          </w:tcPr>
          <w:p w14:paraId="4D527E30" w14:textId="77777777" w:rsidR="00A17173" w:rsidRPr="00FD0E5D"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p>
        </w:tc>
      </w:tr>
      <w:tr w:rsidR="00A17173" w:rsidRPr="00FD0E5D" w14:paraId="182B0D11" w14:textId="77777777" w:rsidTr="00911300">
        <w:trPr>
          <w:trHeight w:val="340"/>
        </w:trPr>
        <w:tc>
          <w:tcPr>
            <w:tcW w:w="1262" w:type="pct"/>
            <w:vMerge/>
            <w:tcBorders>
              <w:top w:val="single" w:sz="4" w:space="0" w:color="auto"/>
              <w:left w:val="single" w:sz="4" w:space="0" w:color="auto"/>
              <w:bottom w:val="single" w:sz="4" w:space="0" w:color="auto"/>
              <w:right w:val="single" w:sz="4" w:space="0" w:color="auto"/>
            </w:tcBorders>
            <w:vAlign w:val="center"/>
            <w:hideMark/>
          </w:tcPr>
          <w:p w14:paraId="0C6FE414" w14:textId="77777777" w:rsidR="00A17173" w:rsidRPr="00FD0E5D"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603" w:type="pct"/>
            <w:tcBorders>
              <w:top w:val="nil"/>
              <w:left w:val="nil"/>
              <w:bottom w:val="single" w:sz="4" w:space="0" w:color="auto"/>
              <w:right w:val="single" w:sz="4" w:space="0" w:color="auto"/>
            </w:tcBorders>
            <w:shd w:val="clear" w:color="000000" w:fill="F2F2F2"/>
            <w:vAlign w:val="center"/>
            <w:hideMark/>
          </w:tcPr>
          <w:p w14:paraId="3B8D7D00" w14:textId="77777777" w:rsidR="00A17173" w:rsidRPr="00FD0E5D"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D0E5D">
              <w:rPr>
                <w:rFonts w:ascii="Times New Roman" w:eastAsia="Times New Roman" w:hAnsi="Times New Roman" w:cs="Times New Roman"/>
                <w:b/>
                <w:bCs/>
                <w:color w:val="000000"/>
                <w:sz w:val="20"/>
                <w:szCs w:val="20"/>
                <w:lang w:eastAsia="pl-PL"/>
              </w:rPr>
              <w:t>2016</w:t>
            </w:r>
          </w:p>
        </w:tc>
        <w:tc>
          <w:tcPr>
            <w:tcW w:w="603" w:type="pct"/>
            <w:tcBorders>
              <w:top w:val="nil"/>
              <w:left w:val="nil"/>
              <w:bottom w:val="single" w:sz="4" w:space="0" w:color="auto"/>
              <w:right w:val="single" w:sz="4" w:space="0" w:color="auto"/>
            </w:tcBorders>
            <w:shd w:val="clear" w:color="000000" w:fill="F2F2F2"/>
            <w:vAlign w:val="center"/>
            <w:hideMark/>
          </w:tcPr>
          <w:p w14:paraId="3E014982" w14:textId="77777777" w:rsidR="00A17173" w:rsidRPr="00FD0E5D"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D0E5D">
              <w:rPr>
                <w:rFonts w:ascii="Times New Roman" w:eastAsia="Times New Roman" w:hAnsi="Times New Roman" w:cs="Times New Roman"/>
                <w:b/>
                <w:bCs/>
                <w:color w:val="000000"/>
                <w:sz w:val="20"/>
                <w:szCs w:val="20"/>
                <w:lang w:eastAsia="pl-PL"/>
              </w:rPr>
              <w:t>2017</w:t>
            </w:r>
          </w:p>
        </w:tc>
        <w:tc>
          <w:tcPr>
            <w:tcW w:w="603" w:type="pct"/>
            <w:tcBorders>
              <w:top w:val="nil"/>
              <w:left w:val="nil"/>
              <w:bottom w:val="single" w:sz="4" w:space="0" w:color="auto"/>
              <w:right w:val="single" w:sz="4" w:space="0" w:color="auto"/>
            </w:tcBorders>
            <w:shd w:val="clear" w:color="000000" w:fill="F2F2F2"/>
            <w:vAlign w:val="center"/>
            <w:hideMark/>
          </w:tcPr>
          <w:p w14:paraId="526DD844" w14:textId="77777777" w:rsidR="00A17173" w:rsidRPr="00FD0E5D"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D0E5D">
              <w:rPr>
                <w:rFonts w:ascii="Times New Roman" w:eastAsia="Times New Roman" w:hAnsi="Times New Roman" w:cs="Times New Roman"/>
                <w:b/>
                <w:bCs/>
                <w:color w:val="000000"/>
                <w:sz w:val="20"/>
                <w:szCs w:val="20"/>
                <w:lang w:eastAsia="pl-PL"/>
              </w:rPr>
              <w:t>2018</w:t>
            </w:r>
          </w:p>
        </w:tc>
        <w:tc>
          <w:tcPr>
            <w:tcW w:w="603" w:type="pct"/>
            <w:tcBorders>
              <w:top w:val="nil"/>
              <w:left w:val="nil"/>
              <w:bottom w:val="single" w:sz="4" w:space="0" w:color="auto"/>
              <w:right w:val="single" w:sz="4" w:space="0" w:color="auto"/>
            </w:tcBorders>
            <w:shd w:val="clear" w:color="000000" w:fill="F2F2F2"/>
            <w:vAlign w:val="center"/>
            <w:hideMark/>
          </w:tcPr>
          <w:p w14:paraId="5B0E92F3" w14:textId="77777777" w:rsidR="00A17173" w:rsidRPr="00FD0E5D"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D0E5D">
              <w:rPr>
                <w:rFonts w:ascii="Times New Roman" w:eastAsia="Times New Roman" w:hAnsi="Times New Roman" w:cs="Times New Roman"/>
                <w:b/>
                <w:bCs/>
                <w:color w:val="000000"/>
                <w:sz w:val="20"/>
                <w:szCs w:val="20"/>
                <w:lang w:eastAsia="pl-PL"/>
              </w:rPr>
              <w:t>2019</w:t>
            </w:r>
          </w:p>
        </w:tc>
        <w:tc>
          <w:tcPr>
            <w:tcW w:w="603" w:type="pct"/>
            <w:tcBorders>
              <w:top w:val="nil"/>
              <w:left w:val="nil"/>
              <w:bottom w:val="single" w:sz="4" w:space="0" w:color="auto"/>
              <w:right w:val="single" w:sz="4" w:space="0" w:color="auto"/>
            </w:tcBorders>
            <w:shd w:val="clear" w:color="000000" w:fill="F2F2F2"/>
            <w:vAlign w:val="center"/>
            <w:hideMark/>
          </w:tcPr>
          <w:p w14:paraId="592863D8" w14:textId="77777777" w:rsidR="00A17173" w:rsidRPr="00FD0E5D"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D0E5D">
              <w:rPr>
                <w:rFonts w:ascii="Times New Roman" w:eastAsia="Times New Roman" w:hAnsi="Times New Roman" w:cs="Times New Roman"/>
                <w:b/>
                <w:bCs/>
                <w:color w:val="000000"/>
                <w:sz w:val="20"/>
                <w:szCs w:val="20"/>
                <w:lang w:eastAsia="pl-PL"/>
              </w:rPr>
              <w:t>2020</w:t>
            </w:r>
          </w:p>
        </w:tc>
        <w:tc>
          <w:tcPr>
            <w:tcW w:w="603" w:type="pct"/>
            <w:tcBorders>
              <w:top w:val="nil"/>
              <w:left w:val="nil"/>
              <w:bottom w:val="single" w:sz="4" w:space="0" w:color="auto"/>
              <w:right w:val="single" w:sz="4" w:space="0" w:color="auto"/>
            </w:tcBorders>
            <w:shd w:val="clear" w:color="000000" w:fill="F2F2F2"/>
            <w:vAlign w:val="center"/>
            <w:hideMark/>
          </w:tcPr>
          <w:p w14:paraId="7D8B4110" w14:textId="77777777" w:rsidR="00A17173" w:rsidRPr="00FD0E5D"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D0E5D">
              <w:rPr>
                <w:rFonts w:ascii="Times New Roman" w:eastAsia="Times New Roman" w:hAnsi="Times New Roman" w:cs="Times New Roman"/>
                <w:b/>
                <w:bCs/>
                <w:color w:val="000000"/>
                <w:sz w:val="20"/>
                <w:szCs w:val="20"/>
                <w:lang w:eastAsia="pl-PL"/>
              </w:rPr>
              <w:t>2021</w:t>
            </w:r>
          </w:p>
        </w:tc>
        <w:tc>
          <w:tcPr>
            <w:tcW w:w="121" w:type="pct"/>
            <w:vAlign w:val="center"/>
            <w:hideMark/>
          </w:tcPr>
          <w:p w14:paraId="624BFCB8" w14:textId="77777777" w:rsidR="00A17173" w:rsidRPr="00FD0E5D" w:rsidRDefault="00A17173" w:rsidP="00E15165">
            <w:pPr>
              <w:spacing w:after="0" w:line="240" w:lineRule="auto"/>
              <w:rPr>
                <w:rFonts w:ascii="Times New Roman" w:eastAsia="Times New Roman" w:hAnsi="Times New Roman" w:cs="Times New Roman"/>
                <w:sz w:val="20"/>
                <w:szCs w:val="20"/>
                <w:lang w:eastAsia="pl-PL"/>
              </w:rPr>
            </w:pPr>
          </w:p>
        </w:tc>
      </w:tr>
      <w:tr w:rsidR="00911300" w:rsidRPr="00FD0E5D" w14:paraId="420FEB70" w14:textId="77777777" w:rsidTr="00911300">
        <w:trPr>
          <w:trHeight w:val="340"/>
        </w:trPr>
        <w:tc>
          <w:tcPr>
            <w:tcW w:w="1262" w:type="pct"/>
            <w:tcBorders>
              <w:top w:val="nil"/>
              <w:left w:val="single" w:sz="4" w:space="0" w:color="auto"/>
              <w:bottom w:val="single" w:sz="4" w:space="0" w:color="auto"/>
              <w:right w:val="single" w:sz="4" w:space="0" w:color="auto"/>
            </w:tcBorders>
            <w:shd w:val="clear" w:color="auto" w:fill="auto"/>
            <w:vAlign w:val="center"/>
            <w:hideMark/>
          </w:tcPr>
          <w:p w14:paraId="46A10012" w14:textId="5E88ECA9" w:rsidR="00911300" w:rsidRPr="00FD0E5D" w:rsidRDefault="00911300" w:rsidP="00911300">
            <w:pPr>
              <w:spacing w:after="0" w:line="240" w:lineRule="auto"/>
              <w:rPr>
                <w:rFonts w:ascii="Times New Roman" w:eastAsia="Times New Roman" w:hAnsi="Times New Roman" w:cs="Times New Roman"/>
                <w:b/>
                <w:bCs/>
                <w:color w:val="000000"/>
                <w:sz w:val="20"/>
                <w:szCs w:val="20"/>
                <w:lang w:eastAsia="pl-PL"/>
              </w:rPr>
            </w:pPr>
            <w:r w:rsidRPr="005B2D32">
              <w:rPr>
                <w:rFonts w:ascii="Times New Roman" w:eastAsia="Times New Roman" w:hAnsi="Times New Roman" w:cs="Times New Roman"/>
                <w:b/>
                <w:bCs/>
                <w:color w:val="000000"/>
                <w:sz w:val="20"/>
                <w:szCs w:val="20"/>
                <w:lang w:eastAsia="pl-PL"/>
              </w:rPr>
              <w:t>Bialskopodlaska LGD</w:t>
            </w:r>
          </w:p>
        </w:tc>
        <w:tc>
          <w:tcPr>
            <w:tcW w:w="603" w:type="pct"/>
            <w:tcBorders>
              <w:top w:val="nil"/>
              <w:left w:val="nil"/>
              <w:bottom w:val="single" w:sz="4" w:space="0" w:color="auto"/>
              <w:right w:val="single" w:sz="4" w:space="0" w:color="auto"/>
            </w:tcBorders>
            <w:shd w:val="clear" w:color="auto" w:fill="auto"/>
            <w:vAlign w:val="center"/>
            <w:hideMark/>
          </w:tcPr>
          <w:p w14:paraId="298C838A" w14:textId="4A800B02" w:rsidR="00911300" w:rsidRPr="00FD0E5D" w:rsidRDefault="00911300" w:rsidP="00911300">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62,7</w:t>
            </w:r>
          </w:p>
        </w:tc>
        <w:tc>
          <w:tcPr>
            <w:tcW w:w="603" w:type="pct"/>
            <w:tcBorders>
              <w:top w:val="nil"/>
              <w:left w:val="nil"/>
              <w:bottom w:val="single" w:sz="4" w:space="0" w:color="auto"/>
              <w:right w:val="single" w:sz="4" w:space="0" w:color="auto"/>
            </w:tcBorders>
            <w:shd w:val="clear" w:color="auto" w:fill="auto"/>
            <w:vAlign w:val="center"/>
            <w:hideMark/>
          </w:tcPr>
          <w:p w14:paraId="0E9F062D" w14:textId="1F76EEDE" w:rsidR="00911300" w:rsidRPr="00FD0E5D" w:rsidRDefault="00911300" w:rsidP="00911300">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62,2</w:t>
            </w:r>
          </w:p>
        </w:tc>
        <w:tc>
          <w:tcPr>
            <w:tcW w:w="603" w:type="pct"/>
            <w:tcBorders>
              <w:top w:val="nil"/>
              <w:left w:val="nil"/>
              <w:bottom w:val="single" w:sz="4" w:space="0" w:color="auto"/>
              <w:right w:val="single" w:sz="4" w:space="0" w:color="auto"/>
            </w:tcBorders>
            <w:shd w:val="clear" w:color="auto" w:fill="auto"/>
            <w:vAlign w:val="center"/>
            <w:hideMark/>
          </w:tcPr>
          <w:p w14:paraId="05BC92F1" w14:textId="616C5624" w:rsidR="00911300" w:rsidRPr="00FD0E5D" w:rsidRDefault="00911300" w:rsidP="00911300">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60,1</w:t>
            </w:r>
          </w:p>
        </w:tc>
        <w:tc>
          <w:tcPr>
            <w:tcW w:w="603" w:type="pct"/>
            <w:tcBorders>
              <w:top w:val="nil"/>
              <w:left w:val="nil"/>
              <w:bottom w:val="single" w:sz="4" w:space="0" w:color="auto"/>
              <w:right w:val="single" w:sz="4" w:space="0" w:color="auto"/>
            </w:tcBorders>
            <w:shd w:val="clear" w:color="auto" w:fill="auto"/>
            <w:vAlign w:val="center"/>
            <w:hideMark/>
          </w:tcPr>
          <w:p w14:paraId="2E5DC992" w14:textId="4B977DC4" w:rsidR="00911300" w:rsidRPr="00FD0E5D" w:rsidRDefault="00911300" w:rsidP="00911300">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59,2</w:t>
            </w:r>
          </w:p>
        </w:tc>
        <w:tc>
          <w:tcPr>
            <w:tcW w:w="603" w:type="pct"/>
            <w:tcBorders>
              <w:top w:val="nil"/>
              <w:left w:val="nil"/>
              <w:bottom w:val="single" w:sz="4" w:space="0" w:color="auto"/>
              <w:right w:val="single" w:sz="4" w:space="0" w:color="auto"/>
            </w:tcBorders>
            <w:shd w:val="clear" w:color="auto" w:fill="auto"/>
            <w:vAlign w:val="center"/>
            <w:hideMark/>
          </w:tcPr>
          <w:p w14:paraId="5F0AAB59" w14:textId="3015A8B0" w:rsidR="00911300" w:rsidRPr="00FD0E5D" w:rsidRDefault="00911300" w:rsidP="00911300">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59,1</w:t>
            </w:r>
          </w:p>
        </w:tc>
        <w:tc>
          <w:tcPr>
            <w:tcW w:w="603" w:type="pct"/>
            <w:tcBorders>
              <w:top w:val="nil"/>
              <w:left w:val="nil"/>
              <w:bottom w:val="single" w:sz="4" w:space="0" w:color="auto"/>
              <w:right w:val="single" w:sz="4" w:space="0" w:color="auto"/>
            </w:tcBorders>
            <w:shd w:val="clear" w:color="auto" w:fill="auto"/>
            <w:vAlign w:val="center"/>
            <w:hideMark/>
          </w:tcPr>
          <w:p w14:paraId="375C4FD9" w14:textId="618A39B9" w:rsidR="00911300" w:rsidRPr="00FD0E5D" w:rsidRDefault="00911300" w:rsidP="00911300">
            <w:pPr>
              <w:spacing w:after="0" w:line="240" w:lineRule="auto"/>
              <w:jc w:val="center"/>
              <w:rPr>
                <w:rFonts w:ascii="Times New Roman" w:eastAsia="Times New Roman" w:hAnsi="Times New Roman" w:cs="Times New Roman"/>
                <w:b/>
                <w:bCs/>
                <w:color w:val="000000"/>
                <w:sz w:val="20"/>
                <w:szCs w:val="20"/>
                <w:lang w:eastAsia="pl-PL"/>
              </w:rPr>
            </w:pPr>
            <w:r w:rsidRPr="000E6BF6">
              <w:rPr>
                <w:rFonts w:ascii="Times New Roman" w:eastAsia="Times New Roman" w:hAnsi="Times New Roman" w:cs="Times New Roman"/>
                <w:b/>
                <w:bCs/>
                <w:color w:val="000000"/>
                <w:sz w:val="20"/>
                <w:szCs w:val="20"/>
                <w:lang w:eastAsia="pl-PL"/>
              </w:rPr>
              <w:t>65,5</w:t>
            </w:r>
          </w:p>
        </w:tc>
        <w:tc>
          <w:tcPr>
            <w:tcW w:w="121" w:type="pct"/>
            <w:vAlign w:val="center"/>
            <w:hideMark/>
          </w:tcPr>
          <w:p w14:paraId="6B6FFB7D" w14:textId="77777777" w:rsidR="00911300" w:rsidRPr="00FD0E5D" w:rsidRDefault="00911300" w:rsidP="00911300">
            <w:pPr>
              <w:spacing w:after="0" w:line="240" w:lineRule="auto"/>
              <w:rPr>
                <w:rFonts w:ascii="Times New Roman" w:eastAsia="Times New Roman" w:hAnsi="Times New Roman" w:cs="Times New Roman"/>
                <w:sz w:val="20"/>
                <w:szCs w:val="20"/>
                <w:lang w:eastAsia="pl-PL"/>
              </w:rPr>
            </w:pPr>
          </w:p>
        </w:tc>
      </w:tr>
      <w:tr w:rsidR="00911300" w:rsidRPr="00FD0E5D" w14:paraId="14081058" w14:textId="77777777" w:rsidTr="00911300">
        <w:trPr>
          <w:trHeight w:val="340"/>
        </w:trPr>
        <w:tc>
          <w:tcPr>
            <w:tcW w:w="1262" w:type="pct"/>
            <w:tcBorders>
              <w:top w:val="nil"/>
              <w:left w:val="single" w:sz="4" w:space="0" w:color="auto"/>
              <w:bottom w:val="single" w:sz="4" w:space="0" w:color="auto"/>
              <w:right w:val="single" w:sz="4" w:space="0" w:color="auto"/>
            </w:tcBorders>
            <w:shd w:val="clear" w:color="auto" w:fill="auto"/>
            <w:vAlign w:val="center"/>
            <w:hideMark/>
          </w:tcPr>
          <w:p w14:paraId="77C7F96E" w14:textId="05E999C6" w:rsidR="00911300" w:rsidRPr="00FD0E5D" w:rsidRDefault="00911300" w:rsidP="00911300">
            <w:pPr>
              <w:spacing w:after="0" w:line="240" w:lineRule="auto"/>
              <w:rPr>
                <w:rFonts w:ascii="Times New Roman" w:eastAsia="Times New Roman" w:hAnsi="Times New Roman" w:cs="Times New Roman"/>
                <w:color w:val="000000"/>
                <w:sz w:val="20"/>
                <w:szCs w:val="20"/>
                <w:lang w:eastAsia="pl-PL"/>
              </w:rPr>
            </w:pPr>
            <w:r w:rsidRPr="005B2D32">
              <w:rPr>
                <w:rFonts w:ascii="Times New Roman" w:eastAsia="Times New Roman" w:hAnsi="Times New Roman" w:cs="Times New Roman"/>
                <w:color w:val="000000"/>
                <w:sz w:val="20"/>
                <w:szCs w:val="20"/>
                <w:lang w:eastAsia="pl-PL"/>
              </w:rPr>
              <w:t>województwo lubelskie</w:t>
            </w:r>
          </w:p>
        </w:tc>
        <w:tc>
          <w:tcPr>
            <w:tcW w:w="603" w:type="pct"/>
            <w:tcBorders>
              <w:top w:val="nil"/>
              <w:left w:val="nil"/>
              <w:bottom w:val="single" w:sz="4" w:space="0" w:color="auto"/>
              <w:right w:val="single" w:sz="4" w:space="0" w:color="auto"/>
            </w:tcBorders>
            <w:shd w:val="clear" w:color="auto" w:fill="auto"/>
            <w:vAlign w:val="center"/>
            <w:hideMark/>
          </w:tcPr>
          <w:p w14:paraId="4DB8F7AE" w14:textId="271187D8" w:rsidR="00911300" w:rsidRPr="00FD0E5D" w:rsidRDefault="00911300" w:rsidP="00911300">
            <w:pPr>
              <w:spacing w:after="0" w:line="240" w:lineRule="auto"/>
              <w:jc w:val="center"/>
              <w:rPr>
                <w:rFonts w:ascii="Times New Roman" w:eastAsia="Times New Roman" w:hAnsi="Times New Roman" w:cs="Times New Roman"/>
                <w:color w:val="000000"/>
                <w:sz w:val="20"/>
                <w:szCs w:val="20"/>
                <w:lang w:eastAsia="pl-PL"/>
              </w:rPr>
            </w:pPr>
            <w:r w:rsidRPr="005B2D32">
              <w:rPr>
                <w:rFonts w:ascii="Times New Roman" w:eastAsia="Times New Roman" w:hAnsi="Times New Roman" w:cs="Times New Roman"/>
                <w:color w:val="000000"/>
                <w:sz w:val="20"/>
                <w:szCs w:val="20"/>
                <w:lang w:eastAsia="pl-PL"/>
              </w:rPr>
              <w:t>61,1</w:t>
            </w:r>
          </w:p>
        </w:tc>
        <w:tc>
          <w:tcPr>
            <w:tcW w:w="603" w:type="pct"/>
            <w:tcBorders>
              <w:top w:val="nil"/>
              <w:left w:val="nil"/>
              <w:bottom w:val="single" w:sz="4" w:space="0" w:color="auto"/>
              <w:right w:val="single" w:sz="4" w:space="0" w:color="auto"/>
            </w:tcBorders>
            <w:shd w:val="clear" w:color="auto" w:fill="auto"/>
            <w:vAlign w:val="center"/>
            <w:hideMark/>
          </w:tcPr>
          <w:p w14:paraId="4C02BED4" w14:textId="0458A100" w:rsidR="00911300" w:rsidRPr="00FD0E5D" w:rsidRDefault="00911300" w:rsidP="00911300">
            <w:pPr>
              <w:spacing w:after="0" w:line="240" w:lineRule="auto"/>
              <w:jc w:val="center"/>
              <w:rPr>
                <w:rFonts w:ascii="Times New Roman" w:eastAsia="Times New Roman" w:hAnsi="Times New Roman" w:cs="Times New Roman"/>
                <w:color w:val="000000"/>
                <w:sz w:val="20"/>
                <w:szCs w:val="20"/>
                <w:lang w:eastAsia="pl-PL"/>
              </w:rPr>
            </w:pPr>
            <w:r w:rsidRPr="005B2D32">
              <w:rPr>
                <w:rFonts w:ascii="Times New Roman" w:eastAsia="Times New Roman" w:hAnsi="Times New Roman" w:cs="Times New Roman"/>
                <w:color w:val="000000"/>
                <w:sz w:val="20"/>
                <w:szCs w:val="20"/>
                <w:lang w:eastAsia="pl-PL"/>
              </w:rPr>
              <w:t>59,4</w:t>
            </w:r>
          </w:p>
        </w:tc>
        <w:tc>
          <w:tcPr>
            <w:tcW w:w="603" w:type="pct"/>
            <w:tcBorders>
              <w:top w:val="nil"/>
              <w:left w:val="nil"/>
              <w:bottom w:val="single" w:sz="4" w:space="0" w:color="auto"/>
              <w:right w:val="single" w:sz="4" w:space="0" w:color="auto"/>
            </w:tcBorders>
            <w:shd w:val="clear" w:color="auto" w:fill="auto"/>
            <w:vAlign w:val="center"/>
            <w:hideMark/>
          </w:tcPr>
          <w:p w14:paraId="205FA515" w14:textId="4848CF6C" w:rsidR="00911300" w:rsidRPr="00FD0E5D" w:rsidRDefault="00911300" w:rsidP="00911300">
            <w:pPr>
              <w:spacing w:after="0" w:line="240" w:lineRule="auto"/>
              <w:jc w:val="center"/>
              <w:rPr>
                <w:rFonts w:ascii="Times New Roman" w:eastAsia="Times New Roman" w:hAnsi="Times New Roman" w:cs="Times New Roman"/>
                <w:color w:val="000000"/>
                <w:sz w:val="20"/>
                <w:szCs w:val="20"/>
                <w:lang w:eastAsia="pl-PL"/>
              </w:rPr>
            </w:pPr>
            <w:r w:rsidRPr="005B2D32">
              <w:rPr>
                <w:rFonts w:ascii="Times New Roman" w:eastAsia="Times New Roman" w:hAnsi="Times New Roman" w:cs="Times New Roman"/>
                <w:color w:val="000000"/>
                <w:sz w:val="20"/>
                <w:szCs w:val="20"/>
                <w:lang w:eastAsia="pl-PL"/>
              </w:rPr>
              <w:t>57,7</w:t>
            </w:r>
          </w:p>
        </w:tc>
        <w:tc>
          <w:tcPr>
            <w:tcW w:w="603" w:type="pct"/>
            <w:tcBorders>
              <w:top w:val="nil"/>
              <w:left w:val="nil"/>
              <w:bottom w:val="single" w:sz="4" w:space="0" w:color="auto"/>
              <w:right w:val="single" w:sz="4" w:space="0" w:color="auto"/>
            </w:tcBorders>
            <w:shd w:val="clear" w:color="auto" w:fill="auto"/>
            <w:vAlign w:val="center"/>
            <w:hideMark/>
          </w:tcPr>
          <w:p w14:paraId="104CD6D8" w14:textId="39CF5578" w:rsidR="00911300" w:rsidRPr="00FD0E5D" w:rsidRDefault="00911300" w:rsidP="00911300">
            <w:pPr>
              <w:spacing w:after="0" w:line="240" w:lineRule="auto"/>
              <w:jc w:val="center"/>
              <w:rPr>
                <w:rFonts w:ascii="Times New Roman" w:eastAsia="Times New Roman" w:hAnsi="Times New Roman" w:cs="Times New Roman"/>
                <w:color w:val="000000"/>
                <w:sz w:val="20"/>
                <w:szCs w:val="20"/>
                <w:lang w:eastAsia="pl-PL"/>
              </w:rPr>
            </w:pPr>
            <w:r w:rsidRPr="005B2D32">
              <w:rPr>
                <w:rFonts w:ascii="Times New Roman" w:eastAsia="Times New Roman" w:hAnsi="Times New Roman" w:cs="Times New Roman"/>
                <w:color w:val="000000"/>
                <w:sz w:val="20"/>
                <w:szCs w:val="20"/>
                <w:lang w:eastAsia="pl-PL"/>
              </w:rPr>
              <w:t>55,5</w:t>
            </w:r>
          </w:p>
        </w:tc>
        <w:tc>
          <w:tcPr>
            <w:tcW w:w="603" w:type="pct"/>
            <w:tcBorders>
              <w:top w:val="nil"/>
              <w:left w:val="nil"/>
              <w:bottom w:val="single" w:sz="4" w:space="0" w:color="auto"/>
              <w:right w:val="single" w:sz="4" w:space="0" w:color="auto"/>
            </w:tcBorders>
            <w:shd w:val="clear" w:color="auto" w:fill="auto"/>
            <w:vAlign w:val="center"/>
            <w:hideMark/>
          </w:tcPr>
          <w:p w14:paraId="6EDAE97E" w14:textId="668873E1" w:rsidR="00911300" w:rsidRPr="00FD0E5D" w:rsidRDefault="00911300" w:rsidP="00911300">
            <w:pPr>
              <w:spacing w:after="0" w:line="240" w:lineRule="auto"/>
              <w:jc w:val="center"/>
              <w:rPr>
                <w:rFonts w:ascii="Times New Roman" w:eastAsia="Times New Roman" w:hAnsi="Times New Roman" w:cs="Times New Roman"/>
                <w:color w:val="000000"/>
                <w:sz w:val="20"/>
                <w:szCs w:val="20"/>
                <w:lang w:eastAsia="pl-PL"/>
              </w:rPr>
            </w:pPr>
            <w:r w:rsidRPr="005B2D32">
              <w:rPr>
                <w:rFonts w:ascii="Times New Roman" w:eastAsia="Times New Roman" w:hAnsi="Times New Roman" w:cs="Times New Roman"/>
                <w:color w:val="000000"/>
                <w:sz w:val="20"/>
                <w:szCs w:val="20"/>
                <w:lang w:eastAsia="pl-PL"/>
              </w:rPr>
              <w:t>57,0</w:t>
            </w:r>
          </w:p>
        </w:tc>
        <w:tc>
          <w:tcPr>
            <w:tcW w:w="603" w:type="pct"/>
            <w:tcBorders>
              <w:top w:val="nil"/>
              <w:left w:val="nil"/>
              <w:bottom w:val="single" w:sz="4" w:space="0" w:color="auto"/>
              <w:right w:val="single" w:sz="4" w:space="0" w:color="auto"/>
            </w:tcBorders>
            <w:shd w:val="clear" w:color="auto" w:fill="auto"/>
            <w:vAlign w:val="center"/>
            <w:hideMark/>
          </w:tcPr>
          <w:p w14:paraId="5F3C7C7C" w14:textId="70606EA4" w:rsidR="00911300" w:rsidRPr="00FD0E5D" w:rsidRDefault="00911300" w:rsidP="00911300">
            <w:pPr>
              <w:spacing w:after="0" w:line="240" w:lineRule="auto"/>
              <w:jc w:val="center"/>
              <w:rPr>
                <w:rFonts w:ascii="Times New Roman" w:eastAsia="Times New Roman" w:hAnsi="Times New Roman" w:cs="Times New Roman"/>
                <w:color w:val="000000"/>
                <w:sz w:val="20"/>
                <w:szCs w:val="20"/>
                <w:lang w:eastAsia="pl-PL"/>
              </w:rPr>
            </w:pPr>
            <w:r w:rsidRPr="005B2D32">
              <w:rPr>
                <w:rFonts w:ascii="Times New Roman" w:eastAsia="Times New Roman" w:hAnsi="Times New Roman" w:cs="Times New Roman"/>
                <w:color w:val="000000"/>
                <w:sz w:val="20"/>
                <w:szCs w:val="20"/>
                <w:lang w:eastAsia="pl-PL"/>
              </w:rPr>
              <w:t>61,7</w:t>
            </w:r>
          </w:p>
        </w:tc>
        <w:tc>
          <w:tcPr>
            <w:tcW w:w="121" w:type="pct"/>
            <w:vAlign w:val="center"/>
            <w:hideMark/>
          </w:tcPr>
          <w:p w14:paraId="2E8088AD" w14:textId="77777777" w:rsidR="00911300" w:rsidRPr="00FD0E5D" w:rsidRDefault="00911300" w:rsidP="00911300">
            <w:pPr>
              <w:spacing w:after="0" w:line="240" w:lineRule="auto"/>
              <w:rPr>
                <w:rFonts w:ascii="Times New Roman" w:eastAsia="Times New Roman" w:hAnsi="Times New Roman" w:cs="Times New Roman"/>
                <w:sz w:val="20"/>
                <w:szCs w:val="20"/>
                <w:lang w:eastAsia="pl-PL"/>
              </w:rPr>
            </w:pPr>
          </w:p>
        </w:tc>
      </w:tr>
      <w:tr w:rsidR="00A17173" w:rsidRPr="00FD0E5D" w14:paraId="4FF77446" w14:textId="77777777" w:rsidTr="00911300">
        <w:trPr>
          <w:trHeight w:val="340"/>
        </w:trPr>
        <w:tc>
          <w:tcPr>
            <w:tcW w:w="1262" w:type="pct"/>
            <w:tcBorders>
              <w:top w:val="nil"/>
              <w:left w:val="single" w:sz="4" w:space="0" w:color="auto"/>
              <w:bottom w:val="single" w:sz="4" w:space="0" w:color="auto"/>
              <w:right w:val="single" w:sz="4" w:space="0" w:color="auto"/>
            </w:tcBorders>
            <w:shd w:val="clear" w:color="auto" w:fill="auto"/>
            <w:vAlign w:val="center"/>
            <w:hideMark/>
          </w:tcPr>
          <w:p w14:paraId="1467BBFD" w14:textId="77777777" w:rsidR="00A17173" w:rsidRPr="00FD0E5D" w:rsidRDefault="00A17173" w:rsidP="00E15165">
            <w:pPr>
              <w:spacing w:after="0" w:line="240" w:lineRule="auto"/>
              <w:rPr>
                <w:rFonts w:ascii="Times New Roman" w:eastAsia="Times New Roman" w:hAnsi="Times New Roman" w:cs="Times New Roman"/>
                <w:color w:val="000000"/>
                <w:sz w:val="20"/>
                <w:szCs w:val="20"/>
                <w:lang w:eastAsia="pl-PL"/>
              </w:rPr>
            </w:pPr>
            <w:r w:rsidRPr="00FD0E5D">
              <w:rPr>
                <w:rFonts w:ascii="Times New Roman" w:eastAsia="Times New Roman" w:hAnsi="Times New Roman" w:cs="Times New Roman"/>
                <w:color w:val="000000"/>
                <w:sz w:val="20"/>
                <w:szCs w:val="20"/>
                <w:lang w:eastAsia="pl-PL"/>
              </w:rPr>
              <w:t>Polska</w:t>
            </w:r>
          </w:p>
        </w:tc>
        <w:tc>
          <w:tcPr>
            <w:tcW w:w="603" w:type="pct"/>
            <w:tcBorders>
              <w:top w:val="nil"/>
              <w:left w:val="nil"/>
              <w:bottom w:val="single" w:sz="4" w:space="0" w:color="auto"/>
              <w:right w:val="single" w:sz="4" w:space="0" w:color="auto"/>
            </w:tcBorders>
            <w:shd w:val="clear" w:color="auto" w:fill="auto"/>
            <w:vAlign w:val="center"/>
            <w:hideMark/>
          </w:tcPr>
          <w:p w14:paraId="6AA39F57" w14:textId="77777777" w:rsidR="00A17173" w:rsidRPr="00FD0E5D"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FD0E5D">
              <w:rPr>
                <w:rFonts w:ascii="Times New Roman" w:eastAsia="Times New Roman" w:hAnsi="Times New Roman" w:cs="Times New Roman"/>
                <w:color w:val="000000"/>
                <w:sz w:val="20"/>
                <w:szCs w:val="20"/>
                <w:lang w:eastAsia="pl-PL"/>
              </w:rPr>
              <w:t>56,0</w:t>
            </w:r>
          </w:p>
        </w:tc>
        <w:tc>
          <w:tcPr>
            <w:tcW w:w="603" w:type="pct"/>
            <w:tcBorders>
              <w:top w:val="nil"/>
              <w:left w:val="nil"/>
              <w:bottom w:val="single" w:sz="4" w:space="0" w:color="auto"/>
              <w:right w:val="single" w:sz="4" w:space="0" w:color="auto"/>
            </w:tcBorders>
            <w:shd w:val="clear" w:color="auto" w:fill="auto"/>
            <w:vAlign w:val="center"/>
            <w:hideMark/>
          </w:tcPr>
          <w:p w14:paraId="2224C2EB" w14:textId="77777777" w:rsidR="00A17173" w:rsidRPr="00FD0E5D"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FD0E5D">
              <w:rPr>
                <w:rFonts w:ascii="Times New Roman" w:eastAsia="Times New Roman" w:hAnsi="Times New Roman" w:cs="Times New Roman"/>
                <w:color w:val="000000"/>
                <w:sz w:val="20"/>
                <w:szCs w:val="20"/>
                <w:lang w:eastAsia="pl-PL"/>
              </w:rPr>
              <w:t>55,0</w:t>
            </w:r>
          </w:p>
        </w:tc>
        <w:tc>
          <w:tcPr>
            <w:tcW w:w="603" w:type="pct"/>
            <w:tcBorders>
              <w:top w:val="nil"/>
              <w:left w:val="nil"/>
              <w:bottom w:val="single" w:sz="4" w:space="0" w:color="auto"/>
              <w:right w:val="single" w:sz="4" w:space="0" w:color="auto"/>
            </w:tcBorders>
            <w:shd w:val="clear" w:color="auto" w:fill="auto"/>
            <w:vAlign w:val="center"/>
            <w:hideMark/>
          </w:tcPr>
          <w:p w14:paraId="775683F0" w14:textId="77777777" w:rsidR="00A17173" w:rsidRPr="00FD0E5D"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FD0E5D">
              <w:rPr>
                <w:rFonts w:ascii="Times New Roman" w:eastAsia="Times New Roman" w:hAnsi="Times New Roman" w:cs="Times New Roman"/>
                <w:color w:val="000000"/>
                <w:sz w:val="20"/>
                <w:szCs w:val="20"/>
                <w:lang w:eastAsia="pl-PL"/>
              </w:rPr>
              <w:t>52,4</w:t>
            </w:r>
          </w:p>
        </w:tc>
        <w:tc>
          <w:tcPr>
            <w:tcW w:w="603" w:type="pct"/>
            <w:tcBorders>
              <w:top w:val="nil"/>
              <w:left w:val="nil"/>
              <w:bottom w:val="single" w:sz="4" w:space="0" w:color="auto"/>
              <w:right w:val="single" w:sz="4" w:space="0" w:color="auto"/>
            </w:tcBorders>
            <w:shd w:val="clear" w:color="auto" w:fill="auto"/>
            <w:vAlign w:val="center"/>
            <w:hideMark/>
          </w:tcPr>
          <w:p w14:paraId="4D1094D5" w14:textId="77777777" w:rsidR="00A17173" w:rsidRPr="00FD0E5D"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FD0E5D">
              <w:rPr>
                <w:rFonts w:ascii="Times New Roman" w:eastAsia="Times New Roman" w:hAnsi="Times New Roman" w:cs="Times New Roman"/>
                <w:color w:val="000000"/>
                <w:sz w:val="20"/>
                <w:szCs w:val="20"/>
                <w:lang w:eastAsia="pl-PL"/>
              </w:rPr>
              <w:t>49,9</w:t>
            </w:r>
          </w:p>
        </w:tc>
        <w:tc>
          <w:tcPr>
            <w:tcW w:w="603" w:type="pct"/>
            <w:tcBorders>
              <w:top w:val="nil"/>
              <w:left w:val="nil"/>
              <w:bottom w:val="single" w:sz="4" w:space="0" w:color="auto"/>
              <w:right w:val="single" w:sz="4" w:space="0" w:color="auto"/>
            </w:tcBorders>
            <w:shd w:val="clear" w:color="auto" w:fill="auto"/>
            <w:vAlign w:val="center"/>
            <w:hideMark/>
          </w:tcPr>
          <w:p w14:paraId="102A98F5" w14:textId="77777777" w:rsidR="00A17173" w:rsidRPr="00FD0E5D"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FD0E5D">
              <w:rPr>
                <w:rFonts w:ascii="Times New Roman" w:eastAsia="Times New Roman" w:hAnsi="Times New Roman" w:cs="Times New Roman"/>
                <w:color w:val="000000"/>
                <w:sz w:val="20"/>
                <w:szCs w:val="20"/>
                <w:lang w:eastAsia="pl-PL"/>
              </w:rPr>
              <w:t>49,3</w:t>
            </w:r>
          </w:p>
        </w:tc>
        <w:tc>
          <w:tcPr>
            <w:tcW w:w="603" w:type="pct"/>
            <w:tcBorders>
              <w:top w:val="nil"/>
              <w:left w:val="nil"/>
              <w:bottom w:val="single" w:sz="4" w:space="0" w:color="auto"/>
              <w:right w:val="single" w:sz="4" w:space="0" w:color="auto"/>
            </w:tcBorders>
            <w:shd w:val="clear" w:color="auto" w:fill="auto"/>
            <w:vAlign w:val="center"/>
            <w:hideMark/>
          </w:tcPr>
          <w:p w14:paraId="4D3A9FDB" w14:textId="77777777" w:rsidR="00A17173" w:rsidRPr="00FD0E5D"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FD0E5D">
              <w:rPr>
                <w:rFonts w:ascii="Times New Roman" w:eastAsia="Times New Roman" w:hAnsi="Times New Roman" w:cs="Times New Roman"/>
                <w:color w:val="000000"/>
                <w:sz w:val="20"/>
                <w:szCs w:val="20"/>
                <w:lang w:eastAsia="pl-PL"/>
              </w:rPr>
              <w:t>56,6</w:t>
            </w:r>
          </w:p>
        </w:tc>
        <w:tc>
          <w:tcPr>
            <w:tcW w:w="121" w:type="pct"/>
            <w:vAlign w:val="center"/>
            <w:hideMark/>
          </w:tcPr>
          <w:p w14:paraId="5D137EE1" w14:textId="77777777" w:rsidR="00A17173" w:rsidRPr="00FD0E5D" w:rsidRDefault="00A17173" w:rsidP="00E15165">
            <w:pPr>
              <w:spacing w:after="0" w:line="240" w:lineRule="auto"/>
              <w:rPr>
                <w:rFonts w:ascii="Times New Roman" w:eastAsia="Times New Roman" w:hAnsi="Times New Roman" w:cs="Times New Roman"/>
                <w:sz w:val="20"/>
                <w:szCs w:val="20"/>
                <w:lang w:eastAsia="pl-PL"/>
              </w:rPr>
            </w:pPr>
          </w:p>
        </w:tc>
      </w:tr>
    </w:tbl>
    <w:p w14:paraId="633488E7" w14:textId="77777777" w:rsidR="00A17173" w:rsidRPr="00FD0E5D" w:rsidRDefault="00A17173" w:rsidP="00A17173">
      <w:pPr>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71750033" w14:textId="5222A99E" w:rsidR="00A17173" w:rsidRDefault="00911300" w:rsidP="00EE5304">
      <w:pPr>
        <w:spacing w:after="0" w:line="276" w:lineRule="auto"/>
        <w:ind w:firstLine="709"/>
        <w:jc w:val="both"/>
        <w:rPr>
          <w:rFonts w:ascii="Times New Roman" w:hAnsi="Times New Roman" w:cs="Times New Roman"/>
          <w:color w:val="000000" w:themeColor="text1"/>
        </w:rPr>
      </w:pPr>
      <w:r w:rsidRPr="001C1B89">
        <w:rPr>
          <w:rFonts w:ascii="Times New Roman" w:hAnsi="Times New Roman" w:cs="Times New Roman"/>
          <w:color w:val="000000" w:themeColor="text1"/>
        </w:rPr>
        <w:t xml:space="preserve">Wskaźnikiem, który również obrazuje sytuację ekonomiczną na obszarze LGD jest przeciętne miesięczne wynagrodzenie brutto w relacji do średniej krajowej. Dane dotyczące wynagrodzeń określone są na poziomie powiatu. Sytuacja jaka ma miejsce w powiecie </w:t>
      </w:r>
      <w:r>
        <w:rPr>
          <w:rFonts w:ascii="Times New Roman" w:hAnsi="Times New Roman" w:cs="Times New Roman"/>
          <w:color w:val="000000" w:themeColor="text1"/>
        </w:rPr>
        <w:t>bialskim</w:t>
      </w:r>
      <w:r w:rsidRPr="001C1B89">
        <w:rPr>
          <w:rFonts w:ascii="Times New Roman" w:hAnsi="Times New Roman" w:cs="Times New Roman"/>
          <w:color w:val="000000" w:themeColor="text1"/>
        </w:rPr>
        <w:t xml:space="preserve"> obrazuje także sytuację na obszarze LGD, który w</w:t>
      </w:r>
      <w:r>
        <w:rPr>
          <w:rFonts w:ascii="Times New Roman" w:hAnsi="Times New Roman" w:cs="Times New Roman"/>
          <w:color w:val="000000" w:themeColor="text1"/>
        </w:rPr>
        <w:t> </w:t>
      </w:r>
      <w:r w:rsidRPr="001C1B89">
        <w:rPr>
          <w:rFonts w:ascii="Times New Roman" w:hAnsi="Times New Roman" w:cs="Times New Roman"/>
          <w:color w:val="000000" w:themeColor="text1"/>
        </w:rPr>
        <w:t>całości jest położony w tej jednostce administracyjnej. W 20</w:t>
      </w:r>
      <w:r>
        <w:rPr>
          <w:rFonts w:ascii="Times New Roman" w:hAnsi="Times New Roman" w:cs="Times New Roman"/>
          <w:color w:val="000000" w:themeColor="text1"/>
        </w:rPr>
        <w:t>20</w:t>
      </w:r>
      <w:r w:rsidRPr="001C1B89">
        <w:rPr>
          <w:rFonts w:ascii="Times New Roman" w:hAnsi="Times New Roman" w:cs="Times New Roman"/>
          <w:color w:val="000000" w:themeColor="text1"/>
        </w:rPr>
        <w:t xml:space="preserve"> roku wskaźnik </w:t>
      </w:r>
      <w:r w:rsidRPr="001C1B89">
        <w:rPr>
          <w:rFonts w:ascii="Times New Roman" w:hAnsi="Times New Roman" w:cs="Times New Roman"/>
          <w:i/>
          <w:iCs/>
          <w:color w:val="000000" w:themeColor="text1"/>
        </w:rPr>
        <w:t>przeciętne miesięczne wynagrodzenie brutto</w:t>
      </w:r>
      <w:r w:rsidRPr="001C1B89">
        <w:rPr>
          <w:rFonts w:ascii="Times New Roman" w:hAnsi="Times New Roman" w:cs="Times New Roman"/>
          <w:color w:val="000000" w:themeColor="text1"/>
        </w:rPr>
        <w:t xml:space="preserve"> w powiecie osiągnął </w:t>
      </w:r>
      <w:r>
        <w:rPr>
          <w:rFonts w:ascii="Times New Roman" w:hAnsi="Times New Roman" w:cs="Times New Roman"/>
          <w:color w:val="000000" w:themeColor="text1"/>
        </w:rPr>
        <w:t>wartość 77,1% średniej krajowej i prezentował się gorzej od wyniku województwa lubelskiego (89,0% średniej krajowej). Wskaźnik ten zarówno w powiecie bialskim, województwie lubelskim oraz w Polsce corocznie wzrastał (dane GUS).</w:t>
      </w:r>
    </w:p>
    <w:p w14:paraId="303B9725" w14:textId="77777777" w:rsidR="00AC4AC7" w:rsidRDefault="00B332D6" w:rsidP="00AC4AC7">
      <w:pPr>
        <w:tabs>
          <w:tab w:val="left" w:pos="3684"/>
        </w:tabs>
        <w:spacing w:after="120"/>
        <w:ind w:firstLine="709"/>
        <w:jc w:val="both"/>
        <w:rPr>
          <w:rFonts w:ascii="Times New Roman" w:hAnsi="Times New Roman" w:cs="Times New Roman"/>
          <w:color w:val="000000" w:themeColor="text1"/>
        </w:rPr>
      </w:pPr>
      <w:r w:rsidRPr="00B50597">
        <w:rPr>
          <w:rFonts w:ascii="Times New Roman" w:hAnsi="Times New Roman" w:cs="Times New Roman"/>
          <w:color w:val="000000" w:themeColor="text1"/>
        </w:rPr>
        <w:t xml:space="preserve">Dane statystyczne odzwierciedlają opinię mieszkańców. Podczas </w:t>
      </w:r>
      <w:r>
        <w:rPr>
          <w:rFonts w:ascii="Times New Roman" w:hAnsi="Times New Roman" w:cs="Times New Roman"/>
          <w:color w:val="000000" w:themeColor="text1"/>
        </w:rPr>
        <w:t xml:space="preserve">spotkań </w:t>
      </w:r>
      <w:r w:rsidRPr="00B50597">
        <w:rPr>
          <w:rFonts w:ascii="Times New Roman" w:hAnsi="Times New Roman" w:cs="Times New Roman"/>
          <w:color w:val="000000" w:themeColor="text1"/>
        </w:rPr>
        <w:t xml:space="preserve">mieszkańcy </w:t>
      </w:r>
      <w:r>
        <w:rPr>
          <w:rFonts w:ascii="Times New Roman" w:hAnsi="Times New Roman" w:cs="Times New Roman"/>
          <w:color w:val="000000" w:themeColor="text1"/>
        </w:rPr>
        <w:t>wskazywali jako jeden z</w:t>
      </w:r>
      <w:r w:rsidRPr="00B50597">
        <w:rPr>
          <w:rFonts w:ascii="Times New Roman" w:hAnsi="Times New Roman" w:cs="Times New Roman"/>
          <w:color w:val="000000" w:themeColor="text1"/>
        </w:rPr>
        <w:t xml:space="preserve"> problem</w:t>
      </w:r>
      <w:r>
        <w:rPr>
          <w:rFonts w:ascii="Times New Roman" w:hAnsi="Times New Roman" w:cs="Times New Roman"/>
          <w:color w:val="000000" w:themeColor="text1"/>
        </w:rPr>
        <w:t>ów</w:t>
      </w:r>
      <w:r w:rsidRPr="00B50597">
        <w:rPr>
          <w:rFonts w:ascii="Times New Roman" w:hAnsi="Times New Roman" w:cs="Times New Roman"/>
          <w:color w:val="000000" w:themeColor="text1"/>
        </w:rPr>
        <w:t xml:space="preserve"> obszaru sytuację na rynku pracy</w:t>
      </w:r>
      <w:r>
        <w:rPr>
          <w:rFonts w:ascii="Times New Roman" w:hAnsi="Times New Roman" w:cs="Times New Roman"/>
          <w:color w:val="000000" w:themeColor="text1"/>
        </w:rPr>
        <w:t>, która powoduje odpływ mieszkańców obszaru. Dlatego stwierdzono, iż należy podjąć działania ukierunkowane na niwelację tego zjawiska. Mieszkańcy zauważyli, że przedsięwzięcia związane z rozwojem działalności mogą wpłynąć na zwiększenie atrakcyjnych miejsc pracy na obszarze oraz zachęcą również do podejmowania swoich działalności</w:t>
      </w:r>
      <w:r w:rsidR="002E6A41">
        <w:rPr>
          <w:rFonts w:ascii="Times New Roman" w:hAnsi="Times New Roman" w:cs="Times New Roman"/>
          <w:color w:val="000000" w:themeColor="text1"/>
        </w:rPr>
        <w:t>.</w:t>
      </w:r>
    </w:p>
    <w:p w14:paraId="74A190EC" w14:textId="77777777" w:rsidR="00A17173" w:rsidRPr="001B22A6" w:rsidRDefault="00A17173" w:rsidP="008F34ED">
      <w:pPr>
        <w:pStyle w:val="podnagowek"/>
        <w:numPr>
          <w:ilvl w:val="1"/>
          <w:numId w:val="16"/>
        </w:numPr>
        <w:spacing w:after="80" w:line="276" w:lineRule="auto"/>
        <w:ind w:left="924" w:hanging="357"/>
        <w:outlineLvl w:val="9"/>
        <w:rPr>
          <w:sz w:val="22"/>
          <w:szCs w:val="22"/>
        </w:rPr>
      </w:pPr>
      <w:r w:rsidRPr="00BC16A4">
        <w:rPr>
          <w:sz w:val="22"/>
          <w:szCs w:val="22"/>
        </w:rPr>
        <w:t>Charakterystyka rolnictwa</w:t>
      </w:r>
      <w:r>
        <w:rPr>
          <w:sz w:val="22"/>
          <w:szCs w:val="22"/>
        </w:rPr>
        <w:t>,</w:t>
      </w:r>
      <w:r w:rsidRPr="0068757F">
        <w:rPr>
          <w:sz w:val="22"/>
          <w:szCs w:val="22"/>
        </w:rPr>
        <w:t xml:space="preserve"> </w:t>
      </w:r>
      <w:r>
        <w:rPr>
          <w:sz w:val="22"/>
          <w:szCs w:val="22"/>
        </w:rPr>
        <w:t>rynku rolnego, obszary po PGR</w:t>
      </w:r>
    </w:p>
    <w:p w14:paraId="6FEA43D5" w14:textId="1C738CF1" w:rsidR="00CE7AD6" w:rsidRDefault="006D21FB" w:rsidP="00025FC3">
      <w:pPr>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O s</w:t>
      </w:r>
      <w:r w:rsidR="00CE7AD6" w:rsidRPr="00A86947">
        <w:rPr>
          <w:rFonts w:ascii="Times New Roman" w:hAnsi="Times New Roman" w:cs="Times New Roman"/>
          <w:color w:val="000000" w:themeColor="text1"/>
        </w:rPr>
        <w:t>pójnoś</w:t>
      </w:r>
      <w:r>
        <w:rPr>
          <w:rFonts w:ascii="Times New Roman" w:hAnsi="Times New Roman" w:cs="Times New Roman"/>
          <w:color w:val="000000" w:themeColor="text1"/>
        </w:rPr>
        <w:t>ci</w:t>
      </w:r>
      <w:r w:rsidR="00CE7AD6" w:rsidRPr="00A86947">
        <w:rPr>
          <w:rFonts w:ascii="Times New Roman" w:hAnsi="Times New Roman" w:cs="Times New Roman"/>
          <w:color w:val="000000" w:themeColor="text1"/>
        </w:rPr>
        <w:t xml:space="preserve"> obszaru</w:t>
      </w:r>
      <w:r w:rsidR="00CE7AD6">
        <w:rPr>
          <w:rFonts w:ascii="Times New Roman" w:hAnsi="Times New Roman" w:cs="Times New Roman"/>
          <w:color w:val="000000" w:themeColor="text1"/>
        </w:rPr>
        <w:t xml:space="preserve"> Bialskopodlask</w:t>
      </w:r>
      <w:r>
        <w:rPr>
          <w:rFonts w:ascii="Times New Roman" w:hAnsi="Times New Roman" w:cs="Times New Roman"/>
          <w:color w:val="000000" w:themeColor="text1"/>
        </w:rPr>
        <w:t>iej</w:t>
      </w:r>
      <w:r w:rsidR="00CE7AD6">
        <w:rPr>
          <w:rFonts w:ascii="Times New Roman" w:hAnsi="Times New Roman" w:cs="Times New Roman"/>
          <w:color w:val="000000" w:themeColor="text1"/>
        </w:rPr>
        <w:t xml:space="preserve"> LGD </w:t>
      </w:r>
      <w:r w:rsidR="00CE7AD6" w:rsidRPr="00A86947">
        <w:rPr>
          <w:rFonts w:ascii="Times New Roman" w:hAnsi="Times New Roman" w:cs="Times New Roman"/>
          <w:color w:val="000000" w:themeColor="text1"/>
        </w:rPr>
        <w:t xml:space="preserve">pod względem ekonomicznym </w:t>
      </w:r>
      <w:r>
        <w:rPr>
          <w:rFonts w:ascii="Times New Roman" w:hAnsi="Times New Roman" w:cs="Times New Roman"/>
          <w:color w:val="000000" w:themeColor="text1"/>
        </w:rPr>
        <w:t>świadczy</w:t>
      </w:r>
      <w:r w:rsidR="00CE7AD6" w:rsidRPr="00A86947">
        <w:rPr>
          <w:rFonts w:ascii="Times New Roman" w:hAnsi="Times New Roman" w:cs="Times New Roman"/>
          <w:color w:val="000000" w:themeColor="text1"/>
        </w:rPr>
        <w:t xml:space="preserve"> ilość gospodarstw rolnych o podobnej strukturze. </w:t>
      </w:r>
      <w:r w:rsidR="00CE7AD6" w:rsidRPr="002408C8">
        <w:rPr>
          <w:rFonts w:ascii="Times New Roman" w:hAnsi="Times New Roman" w:cs="Times New Roman"/>
          <w:color w:val="000000" w:themeColor="text1"/>
        </w:rPr>
        <w:t>Obszar gmin LGD jest nastawiony na rozwój rolnictwa</w:t>
      </w:r>
      <w:r w:rsidR="00CE7AD6">
        <w:rPr>
          <w:rFonts w:ascii="Times New Roman" w:hAnsi="Times New Roman" w:cs="Times New Roman"/>
          <w:color w:val="000000" w:themeColor="text1"/>
        </w:rPr>
        <w:t xml:space="preserve">, dlatego też </w:t>
      </w:r>
      <w:r w:rsidR="00CE7AD6" w:rsidRPr="002408C8">
        <w:rPr>
          <w:rFonts w:ascii="Times New Roman" w:hAnsi="Times New Roman" w:cs="Times New Roman"/>
          <w:color w:val="000000" w:themeColor="text1"/>
        </w:rPr>
        <w:t>powierzchnia gospodarstw rolnych w powierzchni ogółem jest znacznie wyższa niż średnia dla kraju</w:t>
      </w:r>
      <w:r w:rsidR="00CE7AD6">
        <w:rPr>
          <w:rFonts w:ascii="Times New Roman" w:hAnsi="Times New Roman" w:cs="Times New Roman"/>
          <w:color w:val="000000" w:themeColor="text1"/>
        </w:rPr>
        <w:t xml:space="preserve"> oraz nieznacznie niższa niż średnia dla województwa</w:t>
      </w:r>
      <w:r w:rsidR="00A17173" w:rsidRPr="00D053F5">
        <w:rPr>
          <w:rFonts w:ascii="Times New Roman" w:hAnsi="Times New Roman" w:cs="Times New Roman"/>
          <w:color w:val="000000" w:themeColor="text1"/>
        </w:rPr>
        <w:t xml:space="preserve">. </w:t>
      </w:r>
      <w:r w:rsidR="00A17173">
        <w:rPr>
          <w:rFonts w:ascii="Times New Roman" w:hAnsi="Times New Roman" w:cs="Times New Roman"/>
          <w:color w:val="000000" w:themeColor="text1"/>
        </w:rPr>
        <w:t xml:space="preserve">Gospodarstwa takie są przeważnie niskotowarowe i przeznaczają produkcję na potrzeby własne. </w:t>
      </w:r>
      <w:r w:rsidR="00CE7AD6">
        <w:rPr>
          <w:rFonts w:ascii="Times New Roman" w:hAnsi="Times New Roman" w:cs="Times New Roman"/>
          <w:color w:val="000000" w:themeColor="text1"/>
        </w:rPr>
        <w:t xml:space="preserve">W tabeli </w:t>
      </w:r>
      <w:r w:rsidR="006023CD">
        <w:rPr>
          <w:rFonts w:ascii="Times New Roman" w:hAnsi="Times New Roman" w:cs="Times New Roman"/>
          <w:color w:val="000000" w:themeColor="text1"/>
        </w:rPr>
        <w:t>7</w:t>
      </w:r>
      <w:r w:rsidR="00CE7AD6">
        <w:rPr>
          <w:rFonts w:ascii="Times New Roman" w:hAnsi="Times New Roman" w:cs="Times New Roman"/>
          <w:color w:val="000000" w:themeColor="text1"/>
        </w:rPr>
        <w:t xml:space="preserve"> przedstawiono dane z 2020 r. dotyczące udziału gospodarstw rolnych w powierzchni ogółem oraz udziału gospodarstw rolnych ogółem ze względu na wielkość. Na terenie obszaru, podobnie jak w przypadku </w:t>
      </w:r>
      <w:r w:rsidR="00CE7AD6">
        <w:rPr>
          <w:rFonts w:ascii="Times New Roman" w:hAnsi="Times New Roman" w:cs="Times New Roman"/>
          <w:color w:val="000000" w:themeColor="text1"/>
        </w:rPr>
        <w:lastRenderedPageBreak/>
        <w:t>województwa lubelskiego i Polski, przeważają gospodarstwa wielkopowierzchniowe – w 2020 r. stanowiły 56,5% wszystkich gospodarstw rolnych. Ze względu na to, że ziemie powiatu bialskiego są wymagające i trudne – głównie III i IV klasa bonitacyjna, uprawia się tutaj zboża i ziemniaki, ale znacząca jest również produkcja warzyw i owoców</w:t>
      </w:r>
      <w:r w:rsidR="00CE7AD6">
        <w:rPr>
          <w:rStyle w:val="Odwoanieprzypisudolnego"/>
          <w:color w:val="000000" w:themeColor="text1"/>
        </w:rPr>
        <w:footnoteReference w:id="10"/>
      </w:r>
      <w:r w:rsidR="00CE7AD6">
        <w:rPr>
          <w:rFonts w:ascii="Times New Roman" w:hAnsi="Times New Roman" w:cs="Times New Roman"/>
          <w:color w:val="000000" w:themeColor="text1"/>
        </w:rPr>
        <w:t xml:space="preserve">. </w:t>
      </w:r>
    </w:p>
    <w:p w14:paraId="7458BAE5" w14:textId="67F97606" w:rsidR="00A17173" w:rsidRPr="00D053F5" w:rsidRDefault="00A17173" w:rsidP="00A17173">
      <w:pPr>
        <w:pStyle w:val="Legenda"/>
        <w:spacing w:after="0"/>
        <w:jc w:val="center"/>
        <w:rPr>
          <w:rFonts w:ascii="Times New Roman" w:hAnsi="Times New Roman" w:cs="Times New Roman"/>
          <w:color w:val="000000" w:themeColor="text1"/>
        </w:rPr>
      </w:pPr>
      <w:bookmarkStart w:id="61" w:name="_Toc115335600"/>
      <w:bookmarkStart w:id="62" w:name="_Toc135896549"/>
      <w:r w:rsidRPr="00D053F5">
        <w:rPr>
          <w:rFonts w:ascii="Times New Roman" w:hAnsi="Times New Roman" w:cs="Times New Roman"/>
          <w:b/>
          <w:bCs/>
          <w:i w:val="0"/>
          <w:iCs w:val="0"/>
          <w:color w:val="000000" w:themeColor="text1"/>
          <w:sz w:val="20"/>
          <w:szCs w:val="20"/>
        </w:rPr>
        <w:t xml:space="preserve">Tabela </w:t>
      </w:r>
      <w:r w:rsidRPr="00D053F5">
        <w:rPr>
          <w:rFonts w:ascii="Times New Roman" w:hAnsi="Times New Roman" w:cs="Times New Roman"/>
          <w:b/>
          <w:bCs/>
          <w:i w:val="0"/>
          <w:iCs w:val="0"/>
          <w:color w:val="000000" w:themeColor="text1"/>
          <w:sz w:val="20"/>
          <w:szCs w:val="20"/>
        </w:rPr>
        <w:fldChar w:fldCharType="begin"/>
      </w:r>
      <w:r w:rsidRPr="00D053F5">
        <w:rPr>
          <w:rFonts w:ascii="Times New Roman" w:hAnsi="Times New Roman" w:cs="Times New Roman"/>
          <w:b/>
          <w:bCs/>
          <w:i w:val="0"/>
          <w:iCs w:val="0"/>
          <w:color w:val="000000" w:themeColor="text1"/>
          <w:sz w:val="20"/>
          <w:szCs w:val="20"/>
        </w:rPr>
        <w:instrText xml:space="preserve"> SEQ Tabela \* ARABIC </w:instrText>
      </w:r>
      <w:r w:rsidRPr="00D053F5">
        <w:rPr>
          <w:rFonts w:ascii="Times New Roman" w:hAnsi="Times New Roman" w:cs="Times New Roman"/>
          <w:b/>
          <w:bCs/>
          <w:i w:val="0"/>
          <w:iCs w:val="0"/>
          <w:color w:val="000000" w:themeColor="text1"/>
          <w:sz w:val="20"/>
          <w:szCs w:val="20"/>
        </w:rPr>
        <w:fldChar w:fldCharType="separate"/>
      </w:r>
      <w:r w:rsidR="00467831">
        <w:rPr>
          <w:rFonts w:ascii="Times New Roman" w:hAnsi="Times New Roman" w:cs="Times New Roman"/>
          <w:b/>
          <w:bCs/>
          <w:i w:val="0"/>
          <w:iCs w:val="0"/>
          <w:noProof/>
          <w:color w:val="000000" w:themeColor="text1"/>
          <w:sz w:val="20"/>
          <w:szCs w:val="20"/>
        </w:rPr>
        <w:t>7</w:t>
      </w:r>
      <w:r w:rsidRPr="00D053F5">
        <w:rPr>
          <w:rFonts w:ascii="Times New Roman" w:hAnsi="Times New Roman" w:cs="Times New Roman"/>
          <w:b/>
          <w:bCs/>
          <w:i w:val="0"/>
          <w:iCs w:val="0"/>
          <w:color w:val="000000" w:themeColor="text1"/>
          <w:sz w:val="20"/>
          <w:szCs w:val="20"/>
        </w:rPr>
        <w:fldChar w:fldCharType="end"/>
      </w:r>
      <w:r>
        <w:t xml:space="preserve"> </w:t>
      </w:r>
      <w:r>
        <w:rPr>
          <w:rFonts w:ascii="Times New Roman" w:hAnsi="Times New Roman" w:cs="Times New Roman"/>
          <w:b/>
          <w:bCs/>
          <w:i w:val="0"/>
          <w:iCs w:val="0"/>
          <w:color w:val="000000" w:themeColor="text1"/>
          <w:sz w:val="20"/>
          <w:szCs w:val="20"/>
        </w:rPr>
        <w:t xml:space="preserve">Struktura gospodarstw rolnych na obszarze </w:t>
      </w:r>
      <w:r w:rsidRPr="00394BEE">
        <w:rPr>
          <w:rFonts w:ascii="Times New Roman" w:hAnsi="Times New Roman" w:cs="Times New Roman"/>
          <w:b/>
          <w:bCs/>
          <w:i w:val="0"/>
          <w:iCs w:val="0"/>
          <w:color w:val="000000" w:themeColor="text1"/>
          <w:sz w:val="20"/>
          <w:szCs w:val="20"/>
        </w:rPr>
        <w:t xml:space="preserve">LGD </w:t>
      </w:r>
      <w:r>
        <w:rPr>
          <w:rFonts w:ascii="Times New Roman" w:hAnsi="Times New Roman" w:cs="Times New Roman"/>
          <w:b/>
          <w:bCs/>
          <w:i w:val="0"/>
          <w:iCs w:val="0"/>
          <w:color w:val="000000" w:themeColor="text1"/>
          <w:sz w:val="20"/>
          <w:szCs w:val="20"/>
        </w:rPr>
        <w:t xml:space="preserve">w porównaniu </w:t>
      </w:r>
      <w:r w:rsidRPr="00394BEE">
        <w:rPr>
          <w:rFonts w:ascii="Times New Roman" w:hAnsi="Times New Roman" w:cs="Times New Roman"/>
          <w:b/>
          <w:bCs/>
          <w:i w:val="0"/>
          <w:iCs w:val="0"/>
          <w:color w:val="000000" w:themeColor="text1"/>
          <w:sz w:val="20"/>
          <w:szCs w:val="20"/>
        </w:rPr>
        <w:t>do województwa i</w:t>
      </w:r>
      <w:r>
        <w:rPr>
          <w:rFonts w:ascii="Times New Roman" w:hAnsi="Times New Roman" w:cs="Times New Roman"/>
          <w:b/>
          <w:bCs/>
          <w:i w:val="0"/>
          <w:iCs w:val="0"/>
          <w:color w:val="000000" w:themeColor="text1"/>
          <w:sz w:val="20"/>
          <w:szCs w:val="20"/>
        </w:rPr>
        <w:t> </w:t>
      </w:r>
      <w:r w:rsidRPr="00394BEE">
        <w:rPr>
          <w:rFonts w:ascii="Times New Roman" w:hAnsi="Times New Roman" w:cs="Times New Roman"/>
          <w:b/>
          <w:bCs/>
          <w:i w:val="0"/>
          <w:iCs w:val="0"/>
          <w:color w:val="000000" w:themeColor="text1"/>
          <w:sz w:val="20"/>
          <w:szCs w:val="20"/>
        </w:rPr>
        <w:t xml:space="preserve">kraju w </w:t>
      </w:r>
      <w:r>
        <w:rPr>
          <w:rFonts w:ascii="Times New Roman" w:hAnsi="Times New Roman" w:cs="Times New Roman"/>
          <w:b/>
          <w:bCs/>
          <w:i w:val="0"/>
          <w:iCs w:val="0"/>
          <w:color w:val="000000" w:themeColor="text1"/>
          <w:sz w:val="20"/>
          <w:szCs w:val="20"/>
        </w:rPr>
        <w:t>2020 r.</w:t>
      </w:r>
      <w:bookmarkEnd w:id="61"/>
      <w:bookmarkEnd w:id="62"/>
    </w:p>
    <w:tbl>
      <w:tblPr>
        <w:tblW w:w="5000" w:type="pct"/>
        <w:tblCellMar>
          <w:left w:w="70" w:type="dxa"/>
          <w:right w:w="70" w:type="dxa"/>
        </w:tblCellMar>
        <w:tblLook w:val="04A0" w:firstRow="1" w:lastRow="0" w:firstColumn="1" w:lastColumn="0" w:noHBand="0" w:noVBand="1"/>
      </w:tblPr>
      <w:tblGrid>
        <w:gridCol w:w="3623"/>
        <w:gridCol w:w="1892"/>
        <w:gridCol w:w="1156"/>
        <w:gridCol w:w="1156"/>
        <w:gridCol w:w="1156"/>
        <w:gridCol w:w="1211"/>
      </w:tblGrid>
      <w:tr w:rsidR="00A17173" w:rsidRPr="00D053F5" w14:paraId="5CD304E0" w14:textId="77777777" w:rsidTr="00E15165">
        <w:trPr>
          <w:trHeight w:val="340"/>
        </w:trPr>
        <w:tc>
          <w:tcPr>
            <w:tcW w:w="177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B06CE1E" w14:textId="77777777" w:rsidR="00A17173" w:rsidRPr="00D053F5" w:rsidRDefault="00A17173" w:rsidP="00E15165">
            <w:pPr>
              <w:spacing w:after="0" w:line="240" w:lineRule="auto"/>
              <w:jc w:val="both"/>
              <w:rPr>
                <w:rFonts w:ascii="Times New Roman" w:eastAsia="Times New Roman" w:hAnsi="Times New Roman" w:cs="Times New Roman"/>
                <w:b/>
                <w:bCs/>
                <w:color w:val="000000"/>
                <w:sz w:val="20"/>
                <w:szCs w:val="20"/>
                <w:lang w:eastAsia="pl-PL"/>
              </w:rPr>
            </w:pPr>
            <w:r w:rsidRPr="00D053F5">
              <w:rPr>
                <w:rFonts w:ascii="Times New Roman" w:eastAsia="Times New Roman" w:hAnsi="Times New Roman" w:cs="Times New Roman"/>
                <w:b/>
                <w:bCs/>
                <w:color w:val="000000" w:themeColor="text1"/>
                <w:sz w:val="20"/>
                <w:szCs w:val="20"/>
                <w:lang w:eastAsia="pl-PL"/>
              </w:rPr>
              <w:t>Jednostka terytorialna</w:t>
            </w:r>
          </w:p>
        </w:tc>
        <w:tc>
          <w:tcPr>
            <w:tcW w:w="92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F1E102B" w14:textId="77777777" w:rsidR="00A17173" w:rsidRPr="00D053F5"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D053F5">
              <w:rPr>
                <w:rFonts w:ascii="Times New Roman" w:eastAsia="Times New Roman" w:hAnsi="Times New Roman" w:cs="Times New Roman"/>
                <w:b/>
                <w:bCs/>
                <w:color w:val="000000" w:themeColor="text1"/>
                <w:sz w:val="20"/>
                <w:szCs w:val="20"/>
                <w:lang w:eastAsia="pl-PL"/>
              </w:rPr>
              <w:t>Udział gospodarstw rolnych w powierzchni ogółem</w:t>
            </w:r>
          </w:p>
        </w:tc>
        <w:tc>
          <w:tcPr>
            <w:tcW w:w="2295" w:type="pct"/>
            <w:gridSpan w:val="4"/>
            <w:tcBorders>
              <w:top w:val="single" w:sz="4" w:space="0" w:color="auto"/>
              <w:left w:val="nil"/>
              <w:bottom w:val="single" w:sz="4" w:space="0" w:color="auto"/>
              <w:right w:val="single" w:sz="4" w:space="0" w:color="auto"/>
            </w:tcBorders>
            <w:shd w:val="clear" w:color="000000" w:fill="F2F2F2"/>
            <w:vAlign w:val="center"/>
            <w:hideMark/>
          </w:tcPr>
          <w:p w14:paraId="5F5F0F18" w14:textId="77777777" w:rsidR="00A17173" w:rsidRPr="00D053F5"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D053F5">
              <w:rPr>
                <w:rFonts w:ascii="Times New Roman" w:eastAsia="Times New Roman" w:hAnsi="Times New Roman" w:cs="Times New Roman"/>
                <w:b/>
                <w:bCs/>
                <w:color w:val="000000" w:themeColor="text1"/>
                <w:sz w:val="20"/>
                <w:szCs w:val="20"/>
                <w:lang w:eastAsia="pl-PL"/>
              </w:rPr>
              <w:t>Udział gospodarstw w gospodarstwach rolnych ogółem ze względu na wielkość</w:t>
            </w:r>
          </w:p>
        </w:tc>
      </w:tr>
      <w:tr w:rsidR="00A17173" w:rsidRPr="00D053F5" w14:paraId="4A2C7CFE" w14:textId="77777777" w:rsidTr="00E15165">
        <w:trPr>
          <w:trHeight w:val="340"/>
        </w:trPr>
        <w:tc>
          <w:tcPr>
            <w:tcW w:w="1777" w:type="pct"/>
            <w:vMerge/>
            <w:tcBorders>
              <w:top w:val="single" w:sz="4" w:space="0" w:color="auto"/>
              <w:left w:val="single" w:sz="4" w:space="0" w:color="auto"/>
              <w:bottom w:val="single" w:sz="4" w:space="0" w:color="auto"/>
              <w:right w:val="single" w:sz="4" w:space="0" w:color="auto"/>
            </w:tcBorders>
            <w:vAlign w:val="center"/>
            <w:hideMark/>
          </w:tcPr>
          <w:p w14:paraId="266EFA91" w14:textId="77777777" w:rsidR="00A17173" w:rsidRPr="00D053F5"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0A8F4374" w14:textId="77777777" w:rsidR="00A17173" w:rsidRPr="00D053F5"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567" w:type="pct"/>
            <w:tcBorders>
              <w:top w:val="nil"/>
              <w:left w:val="nil"/>
              <w:bottom w:val="single" w:sz="4" w:space="0" w:color="auto"/>
              <w:right w:val="single" w:sz="4" w:space="0" w:color="auto"/>
            </w:tcBorders>
            <w:shd w:val="clear" w:color="000000" w:fill="F2F2F2"/>
            <w:vAlign w:val="center"/>
            <w:hideMark/>
          </w:tcPr>
          <w:p w14:paraId="351B6427" w14:textId="77777777" w:rsidR="00A17173" w:rsidRPr="00D053F5"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D053F5">
              <w:rPr>
                <w:rFonts w:ascii="Times New Roman" w:eastAsia="Times New Roman" w:hAnsi="Times New Roman" w:cs="Times New Roman"/>
                <w:b/>
                <w:bCs/>
                <w:color w:val="000000"/>
                <w:sz w:val="20"/>
                <w:szCs w:val="20"/>
                <w:lang w:eastAsia="pl-PL"/>
              </w:rPr>
              <w:t>1–5 ha</w:t>
            </w:r>
          </w:p>
        </w:tc>
        <w:tc>
          <w:tcPr>
            <w:tcW w:w="567" w:type="pct"/>
            <w:tcBorders>
              <w:top w:val="nil"/>
              <w:left w:val="nil"/>
              <w:bottom w:val="single" w:sz="4" w:space="0" w:color="auto"/>
              <w:right w:val="single" w:sz="4" w:space="0" w:color="auto"/>
            </w:tcBorders>
            <w:shd w:val="clear" w:color="000000" w:fill="F2F2F2"/>
            <w:vAlign w:val="center"/>
            <w:hideMark/>
          </w:tcPr>
          <w:p w14:paraId="76DDE9AE" w14:textId="77777777" w:rsidR="00A17173" w:rsidRPr="00D053F5"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D053F5">
              <w:rPr>
                <w:rFonts w:ascii="Times New Roman" w:eastAsia="Times New Roman" w:hAnsi="Times New Roman" w:cs="Times New Roman"/>
                <w:b/>
                <w:bCs/>
                <w:color w:val="000000"/>
                <w:sz w:val="20"/>
                <w:szCs w:val="20"/>
                <w:lang w:eastAsia="pl-PL"/>
              </w:rPr>
              <w:t>5–10 ha</w:t>
            </w:r>
          </w:p>
        </w:tc>
        <w:tc>
          <w:tcPr>
            <w:tcW w:w="567" w:type="pct"/>
            <w:tcBorders>
              <w:top w:val="nil"/>
              <w:left w:val="nil"/>
              <w:bottom w:val="single" w:sz="4" w:space="0" w:color="auto"/>
              <w:right w:val="single" w:sz="4" w:space="0" w:color="auto"/>
            </w:tcBorders>
            <w:shd w:val="clear" w:color="000000" w:fill="F2F2F2"/>
            <w:vAlign w:val="center"/>
            <w:hideMark/>
          </w:tcPr>
          <w:p w14:paraId="3A5ABD49" w14:textId="77777777" w:rsidR="00A17173" w:rsidRPr="00D053F5"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D053F5">
              <w:rPr>
                <w:rFonts w:ascii="Times New Roman" w:eastAsia="Times New Roman" w:hAnsi="Times New Roman" w:cs="Times New Roman"/>
                <w:b/>
                <w:bCs/>
                <w:color w:val="000000"/>
                <w:sz w:val="20"/>
                <w:szCs w:val="20"/>
                <w:lang w:eastAsia="pl-PL"/>
              </w:rPr>
              <w:t>10–15 ha</w:t>
            </w:r>
          </w:p>
        </w:tc>
        <w:tc>
          <w:tcPr>
            <w:tcW w:w="594" w:type="pct"/>
            <w:tcBorders>
              <w:top w:val="nil"/>
              <w:left w:val="nil"/>
              <w:bottom w:val="single" w:sz="4" w:space="0" w:color="auto"/>
              <w:right w:val="single" w:sz="4" w:space="0" w:color="auto"/>
            </w:tcBorders>
            <w:shd w:val="clear" w:color="000000" w:fill="F2F2F2"/>
            <w:vAlign w:val="center"/>
            <w:hideMark/>
          </w:tcPr>
          <w:p w14:paraId="461C63C6" w14:textId="77777777" w:rsidR="00A17173" w:rsidRPr="00D053F5"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D053F5">
              <w:rPr>
                <w:rFonts w:ascii="Times New Roman" w:eastAsia="Times New Roman" w:hAnsi="Times New Roman" w:cs="Times New Roman"/>
                <w:b/>
                <w:bCs/>
                <w:color w:val="000000"/>
                <w:sz w:val="20"/>
                <w:szCs w:val="20"/>
                <w:lang w:eastAsia="pl-PL"/>
              </w:rPr>
              <w:t>15 ha i więcej</w:t>
            </w:r>
          </w:p>
        </w:tc>
      </w:tr>
      <w:tr w:rsidR="000529BC" w:rsidRPr="00D053F5" w14:paraId="7AC63B55" w14:textId="77777777" w:rsidTr="00E15165">
        <w:trPr>
          <w:trHeight w:val="340"/>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27C402DA" w14:textId="1A476C8E" w:rsidR="000529BC" w:rsidRPr="00D053F5" w:rsidRDefault="000529BC" w:rsidP="000529BC">
            <w:pPr>
              <w:spacing w:after="0" w:line="240" w:lineRule="auto"/>
              <w:rPr>
                <w:rFonts w:ascii="Times New Roman" w:eastAsia="Times New Roman" w:hAnsi="Times New Roman" w:cs="Times New Roman"/>
                <w:b/>
                <w:bCs/>
                <w:color w:val="000000"/>
                <w:sz w:val="20"/>
                <w:szCs w:val="20"/>
                <w:lang w:eastAsia="pl-PL"/>
              </w:rPr>
            </w:pPr>
            <w:r w:rsidRPr="00524F56">
              <w:rPr>
                <w:rFonts w:ascii="Times New Roman" w:eastAsia="Times New Roman" w:hAnsi="Times New Roman" w:cs="Times New Roman"/>
                <w:b/>
                <w:bCs/>
                <w:color w:val="000000"/>
                <w:sz w:val="20"/>
                <w:szCs w:val="20"/>
                <w:lang w:eastAsia="pl-PL"/>
              </w:rPr>
              <w:t>Bialskopodlaska LGD</w:t>
            </w:r>
          </w:p>
        </w:tc>
        <w:tc>
          <w:tcPr>
            <w:tcW w:w="928" w:type="pct"/>
            <w:tcBorders>
              <w:top w:val="nil"/>
              <w:left w:val="nil"/>
              <w:bottom w:val="single" w:sz="4" w:space="0" w:color="auto"/>
              <w:right w:val="single" w:sz="4" w:space="0" w:color="auto"/>
            </w:tcBorders>
            <w:shd w:val="clear" w:color="auto" w:fill="auto"/>
            <w:vAlign w:val="center"/>
            <w:hideMark/>
          </w:tcPr>
          <w:p w14:paraId="25AE3239" w14:textId="01B9C6B5" w:rsidR="000529BC" w:rsidRPr="00D053F5" w:rsidRDefault="000529BC" w:rsidP="000529BC">
            <w:pPr>
              <w:spacing w:after="0" w:line="240" w:lineRule="auto"/>
              <w:jc w:val="center"/>
              <w:rPr>
                <w:rFonts w:ascii="Times New Roman" w:eastAsia="Times New Roman" w:hAnsi="Times New Roman" w:cs="Times New Roman"/>
                <w:b/>
                <w:bCs/>
                <w:sz w:val="20"/>
                <w:szCs w:val="20"/>
                <w:lang w:eastAsia="pl-PL"/>
              </w:rPr>
            </w:pPr>
            <w:r w:rsidRPr="00524F56">
              <w:rPr>
                <w:rFonts w:ascii="Times New Roman" w:eastAsia="Times New Roman" w:hAnsi="Times New Roman" w:cs="Times New Roman"/>
                <w:b/>
                <w:bCs/>
                <w:color w:val="000000"/>
                <w:sz w:val="20"/>
                <w:szCs w:val="20"/>
                <w:lang w:eastAsia="pl-PL"/>
              </w:rPr>
              <w:t>55,3</w:t>
            </w:r>
          </w:p>
        </w:tc>
        <w:tc>
          <w:tcPr>
            <w:tcW w:w="567" w:type="pct"/>
            <w:tcBorders>
              <w:top w:val="nil"/>
              <w:left w:val="nil"/>
              <w:bottom w:val="single" w:sz="4" w:space="0" w:color="auto"/>
              <w:right w:val="single" w:sz="4" w:space="0" w:color="auto"/>
            </w:tcBorders>
            <w:shd w:val="clear" w:color="auto" w:fill="auto"/>
            <w:vAlign w:val="center"/>
            <w:hideMark/>
          </w:tcPr>
          <w:p w14:paraId="26C9840F" w14:textId="1D48CD5A" w:rsidR="000529BC" w:rsidRPr="00D053F5" w:rsidRDefault="000529BC" w:rsidP="000529BC">
            <w:pPr>
              <w:spacing w:after="0" w:line="240" w:lineRule="auto"/>
              <w:jc w:val="center"/>
              <w:rPr>
                <w:rFonts w:ascii="Times New Roman" w:eastAsia="Times New Roman" w:hAnsi="Times New Roman" w:cs="Times New Roman"/>
                <w:b/>
                <w:bCs/>
                <w:sz w:val="20"/>
                <w:szCs w:val="20"/>
                <w:lang w:eastAsia="pl-PL"/>
              </w:rPr>
            </w:pPr>
            <w:r w:rsidRPr="00524F56">
              <w:rPr>
                <w:rFonts w:ascii="Times New Roman" w:eastAsia="Times New Roman" w:hAnsi="Times New Roman" w:cs="Times New Roman"/>
                <w:b/>
                <w:bCs/>
                <w:color w:val="000000"/>
                <w:sz w:val="20"/>
                <w:szCs w:val="20"/>
                <w:lang w:eastAsia="pl-PL"/>
              </w:rPr>
              <w:t>9,2</w:t>
            </w:r>
          </w:p>
        </w:tc>
        <w:tc>
          <w:tcPr>
            <w:tcW w:w="567" w:type="pct"/>
            <w:tcBorders>
              <w:top w:val="nil"/>
              <w:left w:val="nil"/>
              <w:bottom w:val="single" w:sz="4" w:space="0" w:color="auto"/>
              <w:right w:val="single" w:sz="4" w:space="0" w:color="auto"/>
            </w:tcBorders>
            <w:shd w:val="clear" w:color="auto" w:fill="auto"/>
            <w:vAlign w:val="center"/>
            <w:hideMark/>
          </w:tcPr>
          <w:p w14:paraId="1BDBF4A4" w14:textId="0AB106B3" w:rsidR="000529BC" w:rsidRPr="00D053F5" w:rsidRDefault="000529BC" w:rsidP="000529BC">
            <w:pPr>
              <w:spacing w:after="0" w:line="240" w:lineRule="auto"/>
              <w:jc w:val="center"/>
              <w:rPr>
                <w:rFonts w:ascii="Times New Roman" w:eastAsia="Times New Roman" w:hAnsi="Times New Roman" w:cs="Times New Roman"/>
                <w:b/>
                <w:bCs/>
                <w:sz w:val="20"/>
                <w:szCs w:val="20"/>
                <w:lang w:eastAsia="pl-PL"/>
              </w:rPr>
            </w:pPr>
            <w:r w:rsidRPr="00524F56">
              <w:rPr>
                <w:rFonts w:ascii="Times New Roman" w:eastAsia="Times New Roman" w:hAnsi="Times New Roman" w:cs="Times New Roman"/>
                <w:b/>
                <w:bCs/>
                <w:color w:val="000000"/>
                <w:sz w:val="20"/>
                <w:szCs w:val="20"/>
                <w:lang w:eastAsia="pl-PL"/>
              </w:rPr>
              <w:t>17,5</w:t>
            </w:r>
          </w:p>
        </w:tc>
        <w:tc>
          <w:tcPr>
            <w:tcW w:w="567" w:type="pct"/>
            <w:tcBorders>
              <w:top w:val="nil"/>
              <w:left w:val="nil"/>
              <w:bottom w:val="single" w:sz="4" w:space="0" w:color="auto"/>
              <w:right w:val="single" w:sz="4" w:space="0" w:color="auto"/>
            </w:tcBorders>
            <w:shd w:val="clear" w:color="auto" w:fill="auto"/>
            <w:vAlign w:val="center"/>
            <w:hideMark/>
          </w:tcPr>
          <w:p w14:paraId="6044EC1A" w14:textId="659DB81D" w:rsidR="000529BC" w:rsidRPr="00D053F5" w:rsidRDefault="000529BC" w:rsidP="000529BC">
            <w:pPr>
              <w:spacing w:after="0" w:line="240" w:lineRule="auto"/>
              <w:jc w:val="center"/>
              <w:rPr>
                <w:rFonts w:ascii="Times New Roman" w:eastAsia="Times New Roman" w:hAnsi="Times New Roman" w:cs="Times New Roman"/>
                <w:b/>
                <w:bCs/>
                <w:sz w:val="20"/>
                <w:szCs w:val="20"/>
                <w:lang w:eastAsia="pl-PL"/>
              </w:rPr>
            </w:pPr>
            <w:r w:rsidRPr="00524F56">
              <w:rPr>
                <w:rFonts w:ascii="Times New Roman" w:eastAsia="Times New Roman" w:hAnsi="Times New Roman" w:cs="Times New Roman"/>
                <w:b/>
                <w:bCs/>
                <w:color w:val="000000"/>
                <w:sz w:val="20"/>
                <w:szCs w:val="20"/>
                <w:lang w:eastAsia="pl-PL"/>
              </w:rPr>
              <w:t>11,5</w:t>
            </w:r>
          </w:p>
        </w:tc>
        <w:tc>
          <w:tcPr>
            <w:tcW w:w="594" w:type="pct"/>
            <w:tcBorders>
              <w:top w:val="nil"/>
              <w:left w:val="nil"/>
              <w:bottom w:val="single" w:sz="4" w:space="0" w:color="auto"/>
              <w:right w:val="single" w:sz="4" w:space="0" w:color="auto"/>
            </w:tcBorders>
            <w:shd w:val="clear" w:color="auto" w:fill="auto"/>
            <w:vAlign w:val="center"/>
            <w:hideMark/>
          </w:tcPr>
          <w:p w14:paraId="4F2287F2" w14:textId="00FDA4D5" w:rsidR="000529BC" w:rsidRPr="00D053F5" w:rsidRDefault="000529BC" w:rsidP="000529BC">
            <w:pPr>
              <w:spacing w:after="0" w:line="240" w:lineRule="auto"/>
              <w:jc w:val="center"/>
              <w:rPr>
                <w:rFonts w:ascii="Times New Roman" w:eastAsia="Times New Roman" w:hAnsi="Times New Roman" w:cs="Times New Roman"/>
                <w:b/>
                <w:bCs/>
                <w:sz w:val="20"/>
                <w:szCs w:val="20"/>
                <w:lang w:eastAsia="pl-PL"/>
              </w:rPr>
            </w:pPr>
            <w:r w:rsidRPr="00524F56">
              <w:rPr>
                <w:rFonts w:ascii="Times New Roman" w:eastAsia="Times New Roman" w:hAnsi="Times New Roman" w:cs="Times New Roman"/>
                <w:b/>
                <w:bCs/>
                <w:color w:val="000000"/>
                <w:sz w:val="20"/>
                <w:szCs w:val="20"/>
                <w:lang w:eastAsia="pl-PL"/>
              </w:rPr>
              <w:t>56,5</w:t>
            </w:r>
          </w:p>
        </w:tc>
      </w:tr>
      <w:tr w:rsidR="000529BC" w:rsidRPr="00D053F5" w14:paraId="24411EFB" w14:textId="77777777" w:rsidTr="00E15165">
        <w:trPr>
          <w:trHeight w:val="340"/>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21DF25B7" w14:textId="72B2AFE5" w:rsidR="000529BC" w:rsidRPr="00D053F5" w:rsidRDefault="000529BC" w:rsidP="000529BC">
            <w:pPr>
              <w:spacing w:after="0" w:line="240" w:lineRule="auto"/>
              <w:rPr>
                <w:rFonts w:ascii="Times New Roman" w:eastAsia="Times New Roman" w:hAnsi="Times New Roman" w:cs="Times New Roman"/>
                <w:sz w:val="20"/>
                <w:szCs w:val="20"/>
                <w:lang w:eastAsia="pl-PL"/>
              </w:rPr>
            </w:pPr>
            <w:r w:rsidRPr="00524F56">
              <w:rPr>
                <w:rFonts w:ascii="Times New Roman" w:eastAsia="Times New Roman" w:hAnsi="Times New Roman" w:cs="Times New Roman"/>
                <w:color w:val="000000"/>
                <w:sz w:val="20"/>
                <w:szCs w:val="20"/>
                <w:lang w:eastAsia="pl-PL"/>
              </w:rPr>
              <w:t>województwo lubelskie</w:t>
            </w:r>
          </w:p>
        </w:tc>
        <w:tc>
          <w:tcPr>
            <w:tcW w:w="928" w:type="pct"/>
            <w:tcBorders>
              <w:top w:val="nil"/>
              <w:left w:val="nil"/>
              <w:bottom w:val="single" w:sz="4" w:space="0" w:color="auto"/>
              <w:right w:val="single" w:sz="4" w:space="0" w:color="auto"/>
            </w:tcBorders>
            <w:shd w:val="clear" w:color="auto" w:fill="auto"/>
            <w:vAlign w:val="center"/>
            <w:hideMark/>
          </w:tcPr>
          <w:p w14:paraId="08B69E72" w14:textId="00A33B21" w:rsidR="000529BC" w:rsidRPr="00D053F5" w:rsidRDefault="000529BC" w:rsidP="000529BC">
            <w:pPr>
              <w:spacing w:after="0" w:line="240" w:lineRule="auto"/>
              <w:jc w:val="center"/>
              <w:rPr>
                <w:rFonts w:ascii="Times New Roman" w:eastAsia="Times New Roman" w:hAnsi="Times New Roman" w:cs="Times New Roman"/>
                <w:color w:val="000000"/>
                <w:sz w:val="20"/>
                <w:szCs w:val="20"/>
                <w:lang w:eastAsia="pl-PL"/>
              </w:rPr>
            </w:pPr>
            <w:r w:rsidRPr="00524F56">
              <w:rPr>
                <w:rFonts w:ascii="Times New Roman" w:eastAsia="Times New Roman" w:hAnsi="Times New Roman" w:cs="Times New Roman"/>
                <w:color w:val="000000"/>
                <w:sz w:val="20"/>
                <w:szCs w:val="20"/>
                <w:lang w:eastAsia="pl-PL"/>
              </w:rPr>
              <w:t>55,5</w:t>
            </w:r>
          </w:p>
        </w:tc>
        <w:tc>
          <w:tcPr>
            <w:tcW w:w="567" w:type="pct"/>
            <w:tcBorders>
              <w:top w:val="nil"/>
              <w:left w:val="nil"/>
              <w:bottom w:val="single" w:sz="4" w:space="0" w:color="auto"/>
              <w:right w:val="single" w:sz="4" w:space="0" w:color="auto"/>
            </w:tcBorders>
            <w:shd w:val="clear" w:color="auto" w:fill="auto"/>
            <w:vAlign w:val="center"/>
            <w:hideMark/>
          </w:tcPr>
          <w:p w14:paraId="60E94165" w14:textId="182C6A6B" w:rsidR="000529BC" w:rsidRPr="00D053F5" w:rsidRDefault="000529BC" w:rsidP="000529BC">
            <w:pPr>
              <w:spacing w:after="0" w:line="240" w:lineRule="auto"/>
              <w:jc w:val="center"/>
              <w:rPr>
                <w:rFonts w:ascii="Times New Roman" w:eastAsia="Times New Roman" w:hAnsi="Times New Roman" w:cs="Times New Roman"/>
                <w:color w:val="000000"/>
                <w:sz w:val="20"/>
                <w:szCs w:val="20"/>
                <w:lang w:eastAsia="pl-PL"/>
              </w:rPr>
            </w:pPr>
            <w:r w:rsidRPr="00524F56">
              <w:rPr>
                <w:rFonts w:ascii="Times New Roman" w:eastAsia="Times New Roman" w:hAnsi="Times New Roman" w:cs="Times New Roman"/>
                <w:color w:val="000000"/>
                <w:sz w:val="20"/>
                <w:szCs w:val="20"/>
                <w:lang w:eastAsia="pl-PL"/>
              </w:rPr>
              <w:t>16,5</w:t>
            </w:r>
          </w:p>
        </w:tc>
        <w:tc>
          <w:tcPr>
            <w:tcW w:w="567" w:type="pct"/>
            <w:tcBorders>
              <w:top w:val="nil"/>
              <w:left w:val="nil"/>
              <w:bottom w:val="single" w:sz="4" w:space="0" w:color="auto"/>
              <w:right w:val="single" w:sz="4" w:space="0" w:color="auto"/>
            </w:tcBorders>
            <w:shd w:val="clear" w:color="auto" w:fill="auto"/>
            <w:vAlign w:val="center"/>
            <w:hideMark/>
          </w:tcPr>
          <w:p w14:paraId="6F7EB28E" w14:textId="141AC7EE" w:rsidR="000529BC" w:rsidRPr="00D053F5" w:rsidRDefault="000529BC" w:rsidP="000529BC">
            <w:pPr>
              <w:spacing w:after="0" w:line="240" w:lineRule="auto"/>
              <w:jc w:val="center"/>
              <w:rPr>
                <w:rFonts w:ascii="Times New Roman" w:eastAsia="Times New Roman" w:hAnsi="Times New Roman" w:cs="Times New Roman"/>
                <w:color w:val="000000"/>
                <w:sz w:val="20"/>
                <w:szCs w:val="20"/>
                <w:lang w:eastAsia="pl-PL"/>
              </w:rPr>
            </w:pPr>
            <w:r w:rsidRPr="00524F56">
              <w:rPr>
                <w:rFonts w:ascii="Times New Roman" w:eastAsia="Times New Roman" w:hAnsi="Times New Roman" w:cs="Times New Roman"/>
                <w:color w:val="000000"/>
                <w:sz w:val="20"/>
                <w:szCs w:val="20"/>
                <w:lang w:eastAsia="pl-PL"/>
              </w:rPr>
              <w:t>21,2</w:t>
            </w:r>
          </w:p>
        </w:tc>
        <w:tc>
          <w:tcPr>
            <w:tcW w:w="567" w:type="pct"/>
            <w:tcBorders>
              <w:top w:val="nil"/>
              <w:left w:val="nil"/>
              <w:bottom w:val="single" w:sz="4" w:space="0" w:color="auto"/>
              <w:right w:val="single" w:sz="4" w:space="0" w:color="auto"/>
            </w:tcBorders>
            <w:shd w:val="clear" w:color="auto" w:fill="auto"/>
            <w:vAlign w:val="center"/>
            <w:hideMark/>
          </w:tcPr>
          <w:p w14:paraId="6A94DCE2" w14:textId="302B94BE" w:rsidR="000529BC" w:rsidRPr="00D053F5" w:rsidRDefault="000529BC" w:rsidP="000529BC">
            <w:pPr>
              <w:spacing w:after="0" w:line="240" w:lineRule="auto"/>
              <w:jc w:val="center"/>
              <w:rPr>
                <w:rFonts w:ascii="Times New Roman" w:eastAsia="Times New Roman" w:hAnsi="Times New Roman" w:cs="Times New Roman"/>
                <w:color w:val="000000"/>
                <w:sz w:val="20"/>
                <w:szCs w:val="20"/>
                <w:lang w:eastAsia="pl-PL"/>
              </w:rPr>
            </w:pPr>
            <w:r w:rsidRPr="00524F56">
              <w:rPr>
                <w:rFonts w:ascii="Times New Roman" w:eastAsia="Times New Roman" w:hAnsi="Times New Roman" w:cs="Times New Roman"/>
                <w:color w:val="000000"/>
                <w:sz w:val="20"/>
                <w:szCs w:val="20"/>
                <w:lang w:eastAsia="pl-PL"/>
              </w:rPr>
              <w:t>13,9</w:t>
            </w:r>
          </w:p>
        </w:tc>
        <w:tc>
          <w:tcPr>
            <w:tcW w:w="594" w:type="pct"/>
            <w:tcBorders>
              <w:top w:val="nil"/>
              <w:left w:val="nil"/>
              <w:bottom w:val="single" w:sz="4" w:space="0" w:color="auto"/>
              <w:right w:val="single" w:sz="4" w:space="0" w:color="auto"/>
            </w:tcBorders>
            <w:shd w:val="clear" w:color="auto" w:fill="auto"/>
            <w:vAlign w:val="center"/>
            <w:hideMark/>
          </w:tcPr>
          <w:p w14:paraId="6BEAA822" w14:textId="014EA235" w:rsidR="000529BC" w:rsidRPr="00D053F5" w:rsidRDefault="000529BC" w:rsidP="000529BC">
            <w:pPr>
              <w:spacing w:after="0" w:line="240" w:lineRule="auto"/>
              <w:jc w:val="center"/>
              <w:rPr>
                <w:rFonts w:ascii="Times New Roman" w:eastAsia="Times New Roman" w:hAnsi="Times New Roman" w:cs="Times New Roman"/>
                <w:color w:val="000000"/>
                <w:sz w:val="20"/>
                <w:szCs w:val="20"/>
                <w:lang w:eastAsia="pl-PL"/>
              </w:rPr>
            </w:pPr>
            <w:r w:rsidRPr="00524F56">
              <w:rPr>
                <w:rFonts w:ascii="Times New Roman" w:eastAsia="Times New Roman" w:hAnsi="Times New Roman" w:cs="Times New Roman"/>
                <w:color w:val="000000"/>
                <w:sz w:val="20"/>
                <w:szCs w:val="20"/>
                <w:lang w:eastAsia="pl-PL"/>
              </w:rPr>
              <w:t>48,2</w:t>
            </w:r>
          </w:p>
        </w:tc>
      </w:tr>
      <w:tr w:rsidR="00A17173" w:rsidRPr="00D053F5" w14:paraId="4E2EE6D4" w14:textId="77777777" w:rsidTr="00E15165">
        <w:trPr>
          <w:trHeight w:val="340"/>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714E5C1F" w14:textId="77777777" w:rsidR="00A17173" w:rsidRPr="00D053F5" w:rsidRDefault="00A17173" w:rsidP="00E15165">
            <w:pPr>
              <w:spacing w:after="0" w:line="240" w:lineRule="auto"/>
              <w:rPr>
                <w:rFonts w:ascii="Times New Roman" w:eastAsia="Times New Roman" w:hAnsi="Times New Roman" w:cs="Times New Roman"/>
                <w:sz w:val="20"/>
                <w:szCs w:val="20"/>
                <w:lang w:eastAsia="pl-PL"/>
              </w:rPr>
            </w:pPr>
            <w:r w:rsidRPr="00D053F5">
              <w:rPr>
                <w:rFonts w:ascii="Times New Roman" w:eastAsia="Times New Roman" w:hAnsi="Times New Roman" w:cs="Times New Roman"/>
                <w:sz w:val="20"/>
                <w:szCs w:val="20"/>
                <w:lang w:eastAsia="pl-PL"/>
              </w:rPr>
              <w:t>Polska</w:t>
            </w:r>
          </w:p>
        </w:tc>
        <w:tc>
          <w:tcPr>
            <w:tcW w:w="928" w:type="pct"/>
            <w:tcBorders>
              <w:top w:val="nil"/>
              <w:left w:val="nil"/>
              <w:bottom w:val="single" w:sz="4" w:space="0" w:color="auto"/>
              <w:right w:val="single" w:sz="4" w:space="0" w:color="auto"/>
            </w:tcBorders>
            <w:shd w:val="clear" w:color="auto" w:fill="auto"/>
            <w:vAlign w:val="center"/>
            <w:hideMark/>
          </w:tcPr>
          <w:p w14:paraId="66310267" w14:textId="77777777" w:rsidR="00A17173" w:rsidRPr="00D053F5"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D053F5">
              <w:rPr>
                <w:rFonts w:ascii="Times New Roman" w:eastAsia="Times New Roman" w:hAnsi="Times New Roman" w:cs="Times New Roman"/>
                <w:color w:val="000000"/>
                <w:sz w:val="20"/>
                <w:szCs w:val="20"/>
                <w:lang w:eastAsia="pl-PL"/>
              </w:rPr>
              <w:t>47,8</w:t>
            </w:r>
          </w:p>
        </w:tc>
        <w:tc>
          <w:tcPr>
            <w:tcW w:w="567" w:type="pct"/>
            <w:tcBorders>
              <w:top w:val="nil"/>
              <w:left w:val="nil"/>
              <w:bottom w:val="single" w:sz="4" w:space="0" w:color="auto"/>
              <w:right w:val="single" w:sz="4" w:space="0" w:color="auto"/>
            </w:tcBorders>
            <w:shd w:val="clear" w:color="auto" w:fill="auto"/>
            <w:vAlign w:val="center"/>
            <w:hideMark/>
          </w:tcPr>
          <w:p w14:paraId="01360E0D" w14:textId="77777777" w:rsidR="00A17173" w:rsidRPr="00D053F5"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D053F5">
              <w:rPr>
                <w:rFonts w:ascii="Times New Roman" w:eastAsia="Times New Roman" w:hAnsi="Times New Roman" w:cs="Times New Roman"/>
                <w:color w:val="000000"/>
                <w:sz w:val="20"/>
                <w:szCs w:val="20"/>
                <w:lang w:eastAsia="pl-PL"/>
              </w:rPr>
              <w:t>11,6</w:t>
            </w:r>
          </w:p>
        </w:tc>
        <w:tc>
          <w:tcPr>
            <w:tcW w:w="567" w:type="pct"/>
            <w:tcBorders>
              <w:top w:val="nil"/>
              <w:left w:val="nil"/>
              <w:bottom w:val="single" w:sz="4" w:space="0" w:color="auto"/>
              <w:right w:val="single" w:sz="4" w:space="0" w:color="auto"/>
            </w:tcBorders>
            <w:shd w:val="clear" w:color="auto" w:fill="auto"/>
            <w:vAlign w:val="center"/>
            <w:hideMark/>
          </w:tcPr>
          <w:p w14:paraId="11C5BA07" w14:textId="77777777" w:rsidR="00A17173" w:rsidRPr="00D053F5"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D053F5">
              <w:rPr>
                <w:rFonts w:ascii="Times New Roman" w:eastAsia="Times New Roman" w:hAnsi="Times New Roman" w:cs="Times New Roman"/>
                <w:color w:val="000000"/>
                <w:sz w:val="20"/>
                <w:szCs w:val="20"/>
                <w:lang w:eastAsia="pl-PL"/>
              </w:rPr>
              <w:t>13,7</w:t>
            </w:r>
          </w:p>
        </w:tc>
        <w:tc>
          <w:tcPr>
            <w:tcW w:w="567" w:type="pct"/>
            <w:tcBorders>
              <w:top w:val="nil"/>
              <w:left w:val="nil"/>
              <w:bottom w:val="single" w:sz="4" w:space="0" w:color="auto"/>
              <w:right w:val="single" w:sz="4" w:space="0" w:color="auto"/>
            </w:tcBorders>
            <w:shd w:val="clear" w:color="auto" w:fill="auto"/>
            <w:vAlign w:val="center"/>
            <w:hideMark/>
          </w:tcPr>
          <w:p w14:paraId="697E65F3" w14:textId="77777777" w:rsidR="00A17173" w:rsidRPr="00D053F5"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D053F5">
              <w:rPr>
                <w:rFonts w:ascii="Times New Roman" w:eastAsia="Times New Roman" w:hAnsi="Times New Roman" w:cs="Times New Roman"/>
                <w:color w:val="000000"/>
                <w:sz w:val="20"/>
                <w:szCs w:val="20"/>
                <w:lang w:eastAsia="pl-PL"/>
              </w:rPr>
              <w:t>10,6</w:t>
            </w:r>
          </w:p>
        </w:tc>
        <w:tc>
          <w:tcPr>
            <w:tcW w:w="594" w:type="pct"/>
            <w:tcBorders>
              <w:top w:val="nil"/>
              <w:left w:val="nil"/>
              <w:bottom w:val="single" w:sz="4" w:space="0" w:color="auto"/>
              <w:right w:val="single" w:sz="4" w:space="0" w:color="auto"/>
            </w:tcBorders>
            <w:shd w:val="clear" w:color="auto" w:fill="auto"/>
            <w:vAlign w:val="center"/>
            <w:hideMark/>
          </w:tcPr>
          <w:p w14:paraId="311A0497" w14:textId="77777777" w:rsidR="00A17173" w:rsidRPr="00D053F5"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D053F5">
              <w:rPr>
                <w:rFonts w:ascii="Times New Roman" w:eastAsia="Times New Roman" w:hAnsi="Times New Roman" w:cs="Times New Roman"/>
                <w:color w:val="000000"/>
                <w:sz w:val="20"/>
                <w:szCs w:val="20"/>
                <w:lang w:eastAsia="pl-PL"/>
              </w:rPr>
              <w:t>64,0</w:t>
            </w:r>
          </w:p>
        </w:tc>
      </w:tr>
    </w:tbl>
    <w:p w14:paraId="785A21E9" w14:textId="77777777" w:rsidR="00A17173" w:rsidRDefault="00A17173" w:rsidP="006B7EDA">
      <w:pPr>
        <w:spacing w:after="0"/>
        <w:jc w:val="cente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34D3F21D" w14:textId="04BE7142" w:rsidR="00A17173" w:rsidRPr="0068757F" w:rsidRDefault="00A17173" w:rsidP="00A17173">
      <w:pPr>
        <w:spacing w:after="0" w:line="276" w:lineRule="auto"/>
        <w:ind w:firstLine="708"/>
        <w:jc w:val="both"/>
        <w:rPr>
          <w:rFonts w:ascii="Times New Roman" w:hAnsi="Times New Roman" w:cs="Times New Roman"/>
          <w:color w:val="000000" w:themeColor="text1"/>
        </w:rPr>
      </w:pPr>
      <w:r w:rsidRPr="0068757F">
        <w:rPr>
          <w:rFonts w:ascii="Times New Roman" w:hAnsi="Times New Roman" w:cs="Times New Roman"/>
          <w:color w:val="000000" w:themeColor="text1"/>
        </w:rPr>
        <w:t>W 2012 roku rozpoczął się wieloletni projekt badawczy pn. Monitoring Rozwoju Obszarów Wiejskich (MROW) finansowany przez Fundację Europejski Fundusz Rozwoju Wsi Polskiej</w:t>
      </w:r>
      <w:r w:rsidRPr="0068757F">
        <w:rPr>
          <w:rStyle w:val="Odwoanieprzypisudolnego"/>
          <w:rFonts w:ascii="Times New Roman" w:hAnsi="Times New Roman" w:cs="Times New Roman"/>
          <w:color w:val="000000" w:themeColor="text1"/>
        </w:rPr>
        <w:footnoteReference w:id="11"/>
      </w:r>
      <w:r w:rsidRPr="0068757F">
        <w:rPr>
          <w:rFonts w:ascii="Times New Roman" w:hAnsi="Times New Roman" w:cs="Times New Roman"/>
          <w:color w:val="000000" w:themeColor="text1"/>
        </w:rPr>
        <w:t xml:space="preserve">. Celem projektu jest stała obserwacja zmian społeczno-gospodarczych dokonujących się na obszarach wiejskich w Polsce. W wyniku zastosowania procedur statystycznych, wykorzystujących przyjęty schemat analizy, zdefiniowano typy gmin podobnych pod względem struktury rozwoju, a więc charakteryzujących się podobną kombinacją ocen dla jedenastu składowych definiujących operacyjnie rozwój obszarów wiejskich. Przyjęta metoda pozwoliła wydzielić 7 typów gmin, które w MROW stały się przedmiotem analizy. Zgodnie z przyjętą metodologią gminy </w:t>
      </w:r>
      <w:r w:rsidR="008A03E1">
        <w:rPr>
          <w:rFonts w:ascii="Times New Roman" w:hAnsi="Times New Roman" w:cs="Times New Roman"/>
          <w:color w:val="000000" w:themeColor="text1"/>
        </w:rPr>
        <w:t>B</w:t>
      </w:r>
      <w:r w:rsidRPr="0068757F">
        <w:rPr>
          <w:rFonts w:ascii="Times New Roman" w:hAnsi="Times New Roman" w:cs="Times New Roman"/>
          <w:color w:val="000000" w:themeColor="text1"/>
        </w:rPr>
        <w:t>LGD zostały zakwalifikowane jako następujące typy:</w:t>
      </w:r>
    </w:p>
    <w:p w14:paraId="6561C7DA" w14:textId="77777777" w:rsidR="00CE7AD6" w:rsidRPr="004B288D" w:rsidRDefault="00CE7AD6" w:rsidP="00CE7AD6">
      <w:pPr>
        <w:pStyle w:val="Akapitzlist"/>
        <w:numPr>
          <w:ilvl w:val="0"/>
          <w:numId w:val="1"/>
        </w:numPr>
        <w:spacing w:line="276" w:lineRule="auto"/>
        <w:ind w:left="1208" w:hanging="357"/>
        <w:jc w:val="both"/>
        <w:rPr>
          <w:rFonts w:ascii="Times New Roman" w:hAnsi="Times New Roman" w:cs="Times New Roman"/>
          <w:b/>
          <w:bCs/>
          <w:color w:val="000000" w:themeColor="text1"/>
          <w:sz w:val="24"/>
          <w:szCs w:val="24"/>
        </w:rPr>
      </w:pPr>
      <w:r w:rsidRPr="000373F1">
        <w:rPr>
          <w:rFonts w:ascii="Times New Roman" w:hAnsi="Times New Roman" w:cs="Times New Roman"/>
          <w:i/>
          <w:iCs/>
          <w:color w:val="000000" w:themeColor="text1"/>
        </w:rPr>
        <w:t>przewaga funkcji rolniczej, pośrednie</w:t>
      </w:r>
      <w:r w:rsidRPr="000373F1">
        <w:rPr>
          <w:rFonts w:ascii="Times New Roman" w:hAnsi="Times New Roman" w:cs="Times New Roman"/>
          <w:color w:val="000000" w:themeColor="text1"/>
        </w:rPr>
        <w:t xml:space="preserve"> – gminy: </w:t>
      </w:r>
      <w:r>
        <w:rPr>
          <w:rFonts w:ascii="Times New Roman" w:hAnsi="Times New Roman" w:cs="Times New Roman"/>
          <w:color w:val="000000" w:themeColor="text1"/>
        </w:rPr>
        <w:t>Konstantynów, Międzyrzec Podlaski, Biała Podlaska, Wisznice;</w:t>
      </w:r>
    </w:p>
    <w:p w14:paraId="7DF67645" w14:textId="21644D07" w:rsidR="00A17173" w:rsidRPr="00CE7AD6" w:rsidRDefault="00CE7AD6" w:rsidP="00EE5304">
      <w:pPr>
        <w:pStyle w:val="Akapitzlist"/>
        <w:numPr>
          <w:ilvl w:val="0"/>
          <w:numId w:val="1"/>
        </w:numPr>
        <w:spacing w:after="0" w:line="276" w:lineRule="auto"/>
        <w:ind w:left="1208" w:hanging="357"/>
        <w:jc w:val="both"/>
        <w:rPr>
          <w:rFonts w:ascii="Times New Roman" w:hAnsi="Times New Roman" w:cs="Times New Roman"/>
          <w:color w:val="000000" w:themeColor="text1"/>
        </w:rPr>
      </w:pPr>
      <w:r w:rsidRPr="003216D0">
        <w:rPr>
          <w:rFonts w:ascii="Times New Roman" w:hAnsi="Times New Roman" w:cs="Times New Roman"/>
          <w:i/>
          <w:iCs/>
          <w:color w:val="000000" w:themeColor="text1"/>
        </w:rPr>
        <w:t>dominacja rolnictwa tradycyjnego</w:t>
      </w:r>
      <w:r>
        <w:rPr>
          <w:rFonts w:ascii="Times New Roman" w:hAnsi="Times New Roman" w:cs="Times New Roman"/>
          <w:b/>
          <w:bCs/>
          <w:color w:val="000000" w:themeColor="text1"/>
          <w:sz w:val="24"/>
          <w:szCs w:val="24"/>
        </w:rPr>
        <w:t xml:space="preserve"> – </w:t>
      </w:r>
      <w:r w:rsidRPr="003216D0">
        <w:rPr>
          <w:rFonts w:ascii="Times New Roman" w:hAnsi="Times New Roman" w:cs="Times New Roman"/>
          <w:color w:val="000000" w:themeColor="text1"/>
        </w:rPr>
        <w:t>gminy</w:t>
      </w:r>
      <w:r>
        <w:rPr>
          <w:rFonts w:ascii="Times New Roman" w:hAnsi="Times New Roman" w:cs="Times New Roman"/>
          <w:color w:val="000000" w:themeColor="text1"/>
        </w:rPr>
        <w:t xml:space="preserve">: Drelów, Janów Podlaski, Kodeń, Leśna Podlaska, Łomazy, Piszczac, Rokitno, Rossosz, Sławatycze, Sosnówka, Terespol, Tuczna, Zalesie. </w:t>
      </w:r>
    </w:p>
    <w:p w14:paraId="11751104" w14:textId="17F2BB91" w:rsidR="006B7EDA" w:rsidRDefault="00A17173" w:rsidP="00813AD1">
      <w:pPr>
        <w:spacing w:after="0" w:line="276" w:lineRule="auto"/>
        <w:ind w:firstLine="708"/>
        <w:jc w:val="both"/>
        <w:rPr>
          <w:rFonts w:ascii="Times New Roman" w:hAnsi="Times New Roman" w:cs="Times New Roman"/>
          <w:color w:val="000000" w:themeColor="text1"/>
        </w:rPr>
      </w:pPr>
      <w:r w:rsidRPr="0068757F">
        <w:rPr>
          <w:rFonts w:ascii="Times New Roman" w:hAnsi="Times New Roman" w:cs="Times New Roman"/>
          <w:color w:val="000000" w:themeColor="text1"/>
        </w:rPr>
        <w:t>Jakość rolniczej przestrzeni produkcyjnej została zwaloryzowana przez Instytut Uprawy Nawożenia i Gleboznawstwa w Puławach w latach 70</w:t>
      </w:r>
      <w:r w:rsidR="006D21FB">
        <w:rPr>
          <w:rFonts w:ascii="Times New Roman" w:hAnsi="Times New Roman" w:cs="Times New Roman"/>
          <w:color w:val="000000" w:themeColor="text1"/>
        </w:rPr>
        <w:t>. XX w</w:t>
      </w:r>
      <w:r w:rsidRPr="0068757F">
        <w:rPr>
          <w:rFonts w:ascii="Times New Roman" w:hAnsi="Times New Roman" w:cs="Times New Roman"/>
          <w:color w:val="000000" w:themeColor="text1"/>
        </w:rPr>
        <w:t xml:space="preserve">. Wskaźnik Waloryzacji Rolniczej Przestrzeni Produkcyjnej (WWRPP) pozwala na ilościową i przestrzenną ocenę czynników naturalnych, decydujących o potencjalnej wydajności plonów na poziomie lokalnym. WWRPP jest wskaźnikiem złożonym, przyjmującym wartość maksymalną 120. </w:t>
      </w:r>
      <w:r w:rsidR="00CE7AD6">
        <w:rPr>
          <w:rFonts w:ascii="Times New Roman" w:hAnsi="Times New Roman" w:cs="Times New Roman"/>
          <w:color w:val="000000" w:themeColor="text1"/>
        </w:rPr>
        <w:t>Średnia wartość</w:t>
      </w:r>
      <w:r w:rsidR="00CE7AD6" w:rsidRPr="0020498E">
        <w:rPr>
          <w:rFonts w:ascii="Times New Roman" w:hAnsi="Times New Roman" w:cs="Times New Roman"/>
          <w:color w:val="000000" w:themeColor="text1"/>
        </w:rPr>
        <w:t xml:space="preserve"> wskaźnik</w:t>
      </w:r>
      <w:r w:rsidR="00CE7AD6">
        <w:rPr>
          <w:rFonts w:ascii="Times New Roman" w:hAnsi="Times New Roman" w:cs="Times New Roman"/>
          <w:color w:val="000000" w:themeColor="text1"/>
        </w:rPr>
        <w:t>a</w:t>
      </w:r>
      <w:r w:rsidR="00CE7AD6" w:rsidRPr="0020498E">
        <w:rPr>
          <w:rFonts w:ascii="Times New Roman" w:hAnsi="Times New Roman" w:cs="Times New Roman"/>
          <w:color w:val="000000" w:themeColor="text1"/>
        </w:rPr>
        <w:t xml:space="preserve"> dla województwa </w:t>
      </w:r>
      <w:r w:rsidR="00CE7AD6">
        <w:rPr>
          <w:rFonts w:ascii="Times New Roman" w:hAnsi="Times New Roman" w:cs="Times New Roman"/>
          <w:color w:val="000000" w:themeColor="text1"/>
        </w:rPr>
        <w:t>lubelskiego</w:t>
      </w:r>
      <w:r w:rsidR="00CE7AD6" w:rsidRPr="0020498E">
        <w:rPr>
          <w:rFonts w:ascii="Times New Roman" w:hAnsi="Times New Roman" w:cs="Times New Roman"/>
          <w:color w:val="000000" w:themeColor="text1"/>
        </w:rPr>
        <w:t xml:space="preserve"> wynosi </w:t>
      </w:r>
      <w:r w:rsidR="00CE7AD6">
        <w:rPr>
          <w:rFonts w:ascii="Times New Roman" w:hAnsi="Times New Roman" w:cs="Times New Roman"/>
          <w:color w:val="000000" w:themeColor="text1"/>
        </w:rPr>
        <w:t>74,1</w:t>
      </w:r>
      <w:r w:rsidR="00CE7AD6" w:rsidRPr="0020498E">
        <w:rPr>
          <w:rFonts w:ascii="Times New Roman" w:hAnsi="Times New Roman" w:cs="Times New Roman"/>
          <w:color w:val="000000" w:themeColor="text1"/>
        </w:rPr>
        <w:t xml:space="preserve"> </w:t>
      </w:r>
      <w:r w:rsidR="00CE7AD6">
        <w:rPr>
          <w:rFonts w:ascii="Times New Roman" w:hAnsi="Times New Roman" w:cs="Times New Roman"/>
          <w:color w:val="000000" w:themeColor="text1"/>
        </w:rPr>
        <w:t>pkt</w:t>
      </w:r>
      <w:r w:rsidR="00CE7AD6" w:rsidRPr="0020498E">
        <w:rPr>
          <w:rFonts w:ascii="Times New Roman" w:hAnsi="Times New Roman" w:cs="Times New Roman"/>
          <w:color w:val="000000" w:themeColor="text1"/>
        </w:rPr>
        <w:t xml:space="preserve">, przy średniej dla kraju 66,6 </w:t>
      </w:r>
      <w:r w:rsidR="00CE7AD6">
        <w:rPr>
          <w:rFonts w:ascii="Times New Roman" w:hAnsi="Times New Roman" w:cs="Times New Roman"/>
          <w:color w:val="000000" w:themeColor="text1"/>
        </w:rPr>
        <w:t xml:space="preserve">pkt. </w:t>
      </w:r>
      <w:r w:rsidR="00CE7AD6" w:rsidRPr="0020498E">
        <w:rPr>
          <w:rFonts w:ascii="Times New Roman" w:hAnsi="Times New Roman" w:cs="Times New Roman"/>
          <w:color w:val="000000" w:themeColor="text1"/>
        </w:rPr>
        <w:t>Jakość przestrzeni rolniczej jest jednak zróżnicowana przestrzennie.</w:t>
      </w:r>
      <w:r w:rsidR="00CE7AD6">
        <w:rPr>
          <w:rFonts w:ascii="Times New Roman" w:hAnsi="Times New Roman" w:cs="Times New Roman"/>
          <w:color w:val="000000" w:themeColor="text1"/>
        </w:rPr>
        <w:t xml:space="preserve"> </w:t>
      </w:r>
      <w:bookmarkStart w:id="63" w:name="_Toc132578926"/>
    </w:p>
    <w:p w14:paraId="3350FD36" w14:textId="7309AAA3" w:rsidR="006B7EDA" w:rsidRPr="006B7EDA" w:rsidRDefault="006B7EDA" w:rsidP="00813AD1">
      <w:pPr>
        <w:spacing w:after="0" w:line="276" w:lineRule="auto"/>
        <w:ind w:firstLine="708"/>
        <w:jc w:val="both"/>
        <w:rPr>
          <w:rFonts w:ascii="Times New Roman" w:hAnsi="Times New Roman" w:cs="Times New Roman"/>
        </w:rPr>
      </w:pPr>
      <w:r w:rsidRPr="006B7EDA">
        <w:rPr>
          <w:rFonts w:ascii="Times New Roman" w:hAnsi="Times New Roman" w:cs="Times New Roman"/>
        </w:rPr>
        <w:t>Podczas prac nad LSR zwrócono uwagę na potrzeby dywersyfikacji gospodarstw rolniczych i rozwijania ich w kierunku pozarolniczej aktywności. Biorąc pod uwagę zasoby obszaru oraz braki związane z ofertą czasu wolnego</w:t>
      </w:r>
      <w:r w:rsidR="006D21FB">
        <w:rPr>
          <w:rFonts w:ascii="Times New Roman" w:hAnsi="Times New Roman" w:cs="Times New Roman"/>
        </w:rPr>
        <w:t>,</w:t>
      </w:r>
      <w:r w:rsidRPr="006B7EDA">
        <w:rPr>
          <w:rFonts w:ascii="Times New Roman" w:hAnsi="Times New Roman" w:cs="Times New Roman"/>
        </w:rPr>
        <w:t xml:space="preserve"> uczestnicy spotkań zaproponowali, aby część działań skierować na rozwój zagród edukacyjnych, które nie tylko dadzą możliwości rozwojowe dla osób prowadzących gospodarstwa rolne, ale również wpłyną na integrację mieszkańców i przyczynią się do wzmocnienia tożsamości lokalnej. Rozwój zagród edukacyjnych spowoduje zwiększenie oferty zajęć dla dzieci i młodzieży nie tylko z obszaru LGD. Wpłynie to również na rozwój gospodarczy obszaru.</w:t>
      </w:r>
      <w:r>
        <w:rPr>
          <w:rFonts w:ascii="Times New Roman" w:hAnsi="Times New Roman" w:cs="Times New Roman"/>
        </w:rPr>
        <w:t xml:space="preserve"> Mieszkańcy uznali, że również należy wspierać gospodarstwa agroturystyczne i ich rozwój.</w:t>
      </w:r>
    </w:p>
    <w:p w14:paraId="416C1242" w14:textId="77777777" w:rsidR="00A17173" w:rsidRPr="006822F6" w:rsidRDefault="00A17173" w:rsidP="00F46D3D">
      <w:pPr>
        <w:pStyle w:val="podnagowek"/>
        <w:numPr>
          <w:ilvl w:val="1"/>
          <w:numId w:val="16"/>
        </w:numPr>
        <w:spacing w:after="80" w:line="276" w:lineRule="auto"/>
        <w:ind w:left="924" w:hanging="357"/>
        <w:outlineLvl w:val="9"/>
        <w:rPr>
          <w:sz w:val="22"/>
          <w:szCs w:val="22"/>
        </w:rPr>
      </w:pPr>
      <w:r w:rsidRPr="00F9471C">
        <w:rPr>
          <w:sz w:val="22"/>
          <w:szCs w:val="22"/>
        </w:rPr>
        <w:t>Finanse samorządowe</w:t>
      </w:r>
      <w:bookmarkEnd w:id="63"/>
    </w:p>
    <w:p w14:paraId="1EC837E6" w14:textId="50E60B14" w:rsidR="00F46D3D" w:rsidRDefault="00A17173" w:rsidP="00E860C3">
      <w:pPr>
        <w:spacing w:after="0" w:line="276" w:lineRule="auto"/>
        <w:ind w:firstLine="709"/>
        <w:jc w:val="both"/>
        <w:rPr>
          <w:rFonts w:ascii="Times New Roman" w:hAnsi="Times New Roman" w:cs="Times New Roman"/>
          <w:color w:val="000000" w:themeColor="text1"/>
        </w:rPr>
      </w:pPr>
      <w:r w:rsidRPr="0068757F">
        <w:rPr>
          <w:rFonts w:ascii="Times New Roman" w:hAnsi="Times New Roman" w:cs="Times New Roman"/>
        </w:rPr>
        <w:t xml:space="preserve">Sytuację obszaru LGD obrazują również </w:t>
      </w:r>
      <w:r>
        <w:rPr>
          <w:rFonts w:ascii="Times New Roman" w:hAnsi="Times New Roman" w:cs="Times New Roman"/>
        </w:rPr>
        <w:t xml:space="preserve">wskaźniki dotyczące finansów samorządów wchodzących w skład LGD. Wskaźnik </w:t>
      </w:r>
      <w:r w:rsidRPr="008D03D1">
        <w:rPr>
          <w:rFonts w:ascii="Times New Roman" w:hAnsi="Times New Roman" w:cs="Times New Roman"/>
          <w:i/>
          <w:iCs/>
        </w:rPr>
        <w:t>dochody ogółem w przeliczeniu na 1 mieszkańca</w:t>
      </w:r>
      <w:r>
        <w:rPr>
          <w:rFonts w:ascii="Times New Roman" w:hAnsi="Times New Roman" w:cs="Times New Roman"/>
        </w:rPr>
        <w:t xml:space="preserve"> w 2021 r. dla obszaru LGD wynosił 6 </w:t>
      </w:r>
      <w:r w:rsidR="006B275B">
        <w:rPr>
          <w:rFonts w:ascii="Times New Roman" w:hAnsi="Times New Roman" w:cs="Times New Roman"/>
        </w:rPr>
        <w:t>509</w:t>
      </w:r>
      <w:r>
        <w:rPr>
          <w:rFonts w:ascii="Times New Roman" w:hAnsi="Times New Roman" w:cs="Times New Roman"/>
        </w:rPr>
        <w:t xml:space="preserve"> zł i był niższy od średniej dla województwa (</w:t>
      </w:r>
      <w:r w:rsidR="006B275B">
        <w:rPr>
          <w:rFonts w:ascii="Times New Roman" w:hAnsi="Times New Roman" w:cs="Times New Roman"/>
        </w:rPr>
        <w:t>6 733</w:t>
      </w:r>
      <w:r>
        <w:rPr>
          <w:rFonts w:ascii="Times New Roman" w:hAnsi="Times New Roman" w:cs="Times New Roman"/>
        </w:rPr>
        <w:t xml:space="preserve"> zł) oraz dla kraju (7 2</w:t>
      </w:r>
      <w:r w:rsidR="006B275B">
        <w:rPr>
          <w:rFonts w:ascii="Times New Roman" w:hAnsi="Times New Roman" w:cs="Times New Roman"/>
        </w:rPr>
        <w:t>09</w:t>
      </w:r>
      <w:r>
        <w:rPr>
          <w:rFonts w:ascii="Times New Roman" w:hAnsi="Times New Roman" w:cs="Times New Roman"/>
        </w:rPr>
        <w:t xml:space="preserve"> zł). </w:t>
      </w:r>
      <w:r w:rsidR="00B16FF3">
        <w:rPr>
          <w:rFonts w:ascii="Times New Roman" w:hAnsi="Times New Roman" w:cs="Times New Roman"/>
        </w:rPr>
        <w:t>Również</w:t>
      </w:r>
      <w:r>
        <w:rPr>
          <w:rFonts w:ascii="Times New Roman" w:hAnsi="Times New Roman" w:cs="Times New Roman"/>
        </w:rPr>
        <w:t xml:space="preserve"> wskaźnik </w:t>
      </w:r>
      <w:r>
        <w:rPr>
          <w:rFonts w:ascii="Times New Roman" w:hAnsi="Times New Roman" w:cs="Times New Roman"/>
          <w:i/>
          <w:iCs/>
        </w:rPr>
        <w:t xml:space="preserve">dochody własne na jednego mieszkańca </w:t>
      </w:r>
      <w:r>
        <w:rPr>
          <w:rFonts w:ascii="Times New Roman" w:hAnsi="Times New Roman" w:cs="Times New Roman"/>
        </w:rPr>
        <w:t>dla obszaru LGD (</w:t>
      </w:r>
      <w:r w:rsidR="006B275B">
        <w:rPr>
          <w:rFonts w:ascii="Times New Roman" w:hAnsi="Times New Roman" w:cs="Times New Roman"/>
        </w:rPr>
        <w:t>1 907</w:t>
      </w:r>
      <w:r>
        <w:rPr>
          <w:rFonts w:ascii="Times New Roman" w:hAnsi="Times New Roman" w:cs="Times New Roman"/>
        </w:rPr>
        <w:t xml:space="preserve"> zł) był niższy od średniej dla województwa (</w:t>
      </w:r>
      <w:r w:rsidR="006B275B">
        <w:rPr>
          <w:rFonts w:ascii="Times New Roman" w:hAnsi="Times New Roman" w:cs="Times New Roman"/>
        </w:rPr>
        <w:t>2 370</w:t>
      </w:r>
      <w:r>
        <w:rPr>
          <w:rFonts w:ascii="Times New Roman" w:hAnsi="Times New Roman" w:cs="Times New Roman"/>
        </w:rPr>
        <w:t xml:space="preserve">) i kraju (3 </w:t>
      </w:r>
      <w:r w:rsidR="006B275B">
        <w:rPr>
          <w:rFonts w:ascii="Times New Roman" w:hAnsi="Times New Roman" w:cs="Times New Roman"/>
        </w:rPr>
        <w:t>471</w:t>
      </w:r>
      <w:r>
        <w:rPr>
          <w:rFonts w:ascii="Times New Roman" w:hAnsi="Times New Roman" w:cs="Times New Roman"/>
        </w:rPr>
        <w:t xml:space="preserve"> zł). Jednym z elementów dochodów własnych samorządu jest </w:t>
      </w:r>
      <w:r w:rsidRPr="00D82A1E">
        <w:rPr>
          <w:rFonts w:ascii="Times New Roman" w:hAnsi="Times New Roman" w:cs="Times New Roman"/>
          <w:color w:val="000000" w:themeColor="text1"/>
        </w:rPr>
        <w:t>udział w podatkach</w:t>
      </w:r>
      <w:r>
        <w:rPr>
          <w:rFonts w:ascii="Times New Roman" w:hAnsi="Times New Roman" w:cs="Times New Roman"/>
          <w:color w:val="000000" w:themeColor="text1"/>
        </w:rPr>
        <w:t>,</w:t>
      </w:r>
      <w:r w:rsidRPr="00D82A1E">
        <w:rPr>
          <w:rFonts w:ascii="Times New Roman" w:hAnsi="Times New Roman" w:cs="Times New Roman"/>
          <w:color w:val="000000" w:themeColor="text1"/>
        </w:rPr>
        <w:t xml:space="preserve"> stanowiących dochody budżetu państwa</w:t>
      </w:r>
      <w:r>
        <w:rPr>
          <w:rFonts w:ascii="Times New Roman" w:hAnsi="Times New Roman" w:cs="Times New Roman"/>
          <w:color w:val="000000" w:themeColor="text1"/>
        </w:rPr>
        <w:t xml:space="preserve">, </w:t>
      </w:r>
      <w:r w:rsidRPr="00D82A1E">
        <w:rPr>
          <w:rFonts w:ascii="Times New Roman" w:hAnsi="Times New Roman" w:cs="Times New Roman"/>
          <w:color w:val="000000" w:themeColor="text1"/>
        </w:rPr>
        <w:t>w postaci wpływów z podatku dochodowego od osób fizycznych zamieszkałych</w:t>
      </w:r>
      <w:r>
        <w:rPr>
          <w:rFonts w:ascii="Times New Roman" w:hAnsi="Times New Roman" w:cs="Times New Roman"/>
          <w:color w:val="000000" w:themeColor="text1"/>
        </w:rPr>
        <w:t xml:space="preserve"> na terenie danej gminy. Wpływ z podatków od osób fizycznych w przeliczeniu na 1 mieszkańca na obszarze LGD w 202</w:t>
      </w:r>
      <w:r w:rsidR="00025FC3">
        <w:rPr>
          <w:rFonts w:ascii="Times New Roman" w:hAnsi="Times New Roman" w:cs="Times New Roman"/>
          <w:color w:val="000000" w:themeColor="text1"/>
        </w:rPr>
        <w:t>1</w:t>
      </w:r>
      <w:r>
        <w:rPr>
          <w:rFonts w:ascii="Times New Roman" w:hAnsi="Times New Roman" w:cs="Times New Roman"/>
          <w:color w:val="000000" w:themeColor="text1"/>
        </w:rPr>
        <w:t xml:space="preserve"> r. wynosił </w:t>
      </w:r>
      <w:r w:rsidR="00025FC3">
        <w:rPr>
          <w:rFonts w:ascii="Times New Roman" w:hAnsi="Times New Roman" w:cs="Times New Roman"/>
          <w:color w:val="000000" w:themeColor="text1"/>
        </w:rPr>
        <w:t>624</w:t>
      </w:r>
      <w:r>
        <w:rPr>
          <w:rFonts w:ascii="Times New Roman" w:hAnsi="Times New Roman" w:cs="Times New Roman"/>
          <w:color w:val="000000" w:themeColor="text1"/>
        </w:rPr>
        <w:t xml:space="preserve"> zł </w:t>
      </w:r>
      <w:r>
        <w:rPr>
          <w:rFonts w:ascii="Times New Roman" w:hAnsi="Times New Roman" w:cs="Times New Roman"/>
          <w:color w:val="000000" w:themeColor="text1"/>
        </w:rPr>
        <w:lastRenderedPageBreak/>
        <w:t>i był znacznie mniejszy od średniej dla województwa (</w:t>
      </w:r>
      <w:r w:rsidR="00025FC3">
        <w:rPr>
          <w:rFonts w:ascii="Times New Roman" w:hAnsi="Times New Roman" w:cs="Times New Roman"/>
          <w:color w:val="000000" w:themeColor="text1"/>
        </w:rPr>
        <w:t>954</w:t>
      </w:r>
      <w:r w:rsidR="006B275B">
        <w:rPr>
          <w:rFonts w:ascii="Times New Roman" w:hAnsi="Times New Roman" w:cs="Times New Roman"/>
          <w:color w:val="000000" w:themeColor="text1"/>
        </w:rPr>
        <w:t xml:space="preserve"> </w:t>
      </w:r>
      <w:r>
        <w:rPr>
          <w:rFonts w:ascii="Times New Roman" w:hAnsi="Times New Roman" w:cs="Times New Roman"/>
          <w:color w:val="000000" w:themeColor="text1"/>
        </w:rPr>
        <w:t>zł) oraz kraju (1 </w:t>
      </w:r>
      <w:r w:rsidR="006B275B">
        <w:rPr>
          <w:rFonts w:ascii="Times New Roman" w:hAnsi="Times New Roman" w:cs="Times New Roman"/>
          <w:color w:val="000000" w:themeColor="text1"/>
        </w:rPr>
        <w:t>396</w:t>
      </w:r>
      <w:r>
        <w:rPr>
          <w:rFonts w:ascii="Times New Roman" w:hAnsi="Times New Roman" w:cs="Times New Roman"/>
          <w:color w:val="000000" w:themeColor="text1"/>
        </w:rPr>
        <w:t xml:space="preserve"> zł)</w:t>
      </w:r>
      <w:r w:rsidR="00812E5A">
        <w:rPr>
          <w:rFonts w:ascii="Times New Roman" w:hAnsi="Times New Roman" w:cs="Times New Roman"/>
          <w:color w:val="000000" w:themeColor="text1"/>
        </w:rPr>
        <w:t xml:space="preserve">, co zostało przedstawione na wykresie </w:t>
      </w:r>
      <w:r w:rsidR="001E060A">
        <w:rPr>
          <w:rFonts w:ascii="Times New Roman" w:hAnsi="Times New Roman" w:cs="Times New Roman"/>
          <w:color w:val="000000" w:themeColor="text1"/>
        </w:rPr>
        <w:t>8</w:t>
      </w:r>
      <w:r w:rsidR="00812E5A">
        <w:rPr>
          <w:rFonts w:ascii="Times New Roman" w:hAnsi="Times New Roman" w:cs="Times New Roman"/>
          <w:color w:val="000000" w:themeColor="text1"/>
        </w:rPr>
        <w:t>.</w:t>
      </w:r>
    </w:p>
    <w:p w14:paraId="22144CB2" w14:textId="7D083CC0" w:rsidR="00A17173" w:rsidRPr="009B0898" w:rsidRDefault="00A17173" w:rsidP="00A17173">
      <w:pPr>
        <w:pStyle w:val="Legenda"/>
        <w:spacing w:after="0"/>
        <w:jc w:val="center"/>
        <w:rPr>
          <w:rFonts w:ascii="Times New Roman" w:hAnsi="Times New Roman" w:cs="Times New Roman"/>
          <w:color w:val="000000" w:themeColor="text1"/>
        </w:rPr>
      </w:pPr>
      <w:bookmarkStart w:id="64" w:name="_Toc115335601"/>
      <w:bookmarkStart w:id="65" w:name="_Toc135896550"/>
      <w:r w:rsidRPr="006B4C78">
        <w:rPr>
          <w:rFonts w:ascii="Times New Roman" w:hAnsi="Times New Roman" w:cs="Times New Roman"/>
          <w:b/>
          <w:bCs/>
          <w:i w:val="0"/>
          <w:iCs w:val="0"/>
          <w:color w:val="000000" w:themeColor="text1"/>
          <w:sz w:val="20"/>
          <w:szCs w:val="20"/>
        </w:rPr>
        <w:t xml:space="preserve">Tabela </w:t>
      </w:r>
      <w:r w:rsidRPr="006B4C78">
        <w:rPr>
          <w:rFonts w:ascii="Times New Roman" w:hAnsi="Times New Roman" w:cs="Times New Roman"/>
          <w:b/>
          <w:bCs/>
          <w:i w:val="0"/>
          <w:iCs w:val="0"/>
          <w:color w:val="000000" w:themeColor="text1"/>
          <w:sz w:val="20"/>
          <w:szCs w:val="20"/>
        </w:rPr>
        <w:fldChar w:fldCharType="begin"/>
      </w:r>
      <w:r w:rsidRPr="006B4C78">
        <w:rPr>
          <w:rFonts w:ascii="Times New Roman" w:hAnsi="Times New Roman" w:cs="Times New Roman"/>
          <w:b/>
          <w:bCs/>
          <w:i w:val="0"/>
          <w:iCs w:val="0"/>
          <w:color w:val="000000" w:themeColor="text1"/>
          <w:sz w:val="20"/>
          <w:szCs w:val="20"/>
        </w:rPr>
        <w:instrText xml:space="preserve"> SEQ Tabela \* ARABIC </w:instrText>
      </w:r>
      <w:r w:rsidRPr="006B4C78">
        <w:rPr>
          <w:rFonts w:ascii="Times New Roman" w:hAnsi="Times New Roman" w:cs="Times New Roman"/>
          <w:b/>
          <w:bCs/>
          <w:i w:val="0"/>
          <w:iCs w:val="0"/>
          <w:color w:val="000000" w:themeColor="text1"/>
          <w:sz w:val="20"/>
          <w:szCs w:val="20"/>
        </w:rPr>
        <w:fldChar w:fldCharType="separate"/>
      </w:r>
      <w:r w:rsidR="00025FC3">
        <w:rPr>
          <w:rFonts w:ascii="Times New Roman" w:hAnsi="Times New Roman" w:cs="Times New Roman"/>
          <w:b/>
          <w:bCs/>
          <w:i w:val="0"/>
          <w:iCs w:val="0"/>
          <w:noProof/>
          <w:color w:val="000000" w:themeColor="text1"/>
          <w:sz w:val="20"/>
          <w:szCs w:val="20"/>
        </w:rPr>
        <w:t>8</w:t>
      </w:r>
      <w:r w:rsidRPr="006B4C78">
        <w:rPr>
          <w:rFonts w:ascii="Times New Roman" w:hAnsi="Times New Roman" w:cs="Times New Roman"/>
          <w:b/>
          <w:bCs/>
          <w:i w:val="0"/>
          <w:iCs w:val="0"/>
          <w:color w:val="000000" w:themeColor="text1"/>
          <w:sz w:val="20"/>
          <w:szCs w:val="20"/>
        </w:rPr>
        <w:fldChar w:fldCharType="end"/>
      </w:r>
      <w:r w:rsidRPr="006B4C78">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 xml:space="preserve">Średnie dochody ogółem i dochody własne na 1 mieszkańca (zł) – porównanie średniej obszaru LGD </w:t>
      </w:r>
      <w:r w:rsidRPr="00394BEE">
        <w:rPr>
          <w:rFonts w:ascii="Times New Roman" w:hAnsi="Times New Roman" w:cs="Times New Roman"/>
          <w:b/>
          <w:bCs/>
          <w:i w:val="0"/>
          <w:iCs w:val="0"/>
          <w:color w:val="000000" w:themeColor="text1"/>
          <w:sz w:val="20"/>
          <w:szCs w:val="20"/>
        </w:rPr>
        <w:t>do województwa i</w:t>
      </w:r>
      <w:r>
        <w:rPr>
          <w:rFonts w:ascii="Times New Roman" w:hAnsi="Times New Roman" w:cs="Times New Roman"/>
          <w:b/>
          <w:bCs/>
          <w:i w:val="0"/>
          <w:iCs w:val="0"/>
          <w:color w:val="000000" w:themeColor="text1"/>
          <w:sz w:val="20"/>
          <w:szCs w:val="20"/>
        </w:rPr>
        <w:t> </w:t>
      </w:r>
      <w:r w:rsidRPr="00394BEE">
        <w:rPr>
          <w:rFonts w:ascii="Times New Roman" w:hAnsi="Times New Roman" w:cs="Times New Roman"/>
          <w:b/>
          <w:bCs/>
          <w:i w:val="0"/>
          <w:iCs w:val="0"/>
          <w:color w:val="000000" w:themeColor="text1"/>
          <w:sz w:val="20"/>
          <w:szCs w:val="20"/>
        </w:rPr>
        <w:t>kraju w latach 201</w:t>
      </w:r>
      <w:r>
        <w:rPr>
          <w:rFonts w:ascii="Times New Roman" w:hAnsi="Times New Roman" w:cs="Times New Roman"/>
          <w:b/>
          <w:bCs/>
          <w:i w:val="0"/>
          <w:iCs w:val="0"/>
          <w:color w:val="000000" w:themeColor="text1"/>
          <w:sz w:val="20"/>
          <w:szCs w:val="20"/>
        </w:rPr>
        <w:t>6</w:t>
      </w:r>
      <w:r w:rsidRPr="00394BEE">
        <w:rPr>
          <w:rFonts w:ascii="Times New Roman" w:hAnsi="Times New Roman" w:cs="Times New Roman"/>
          <w:b/>
          <w:bCs/>
          <w:i w:val="0"/>
          <w:iCs w:val="0"/>
          <w:color w:val="000000" w:themeColor="text1"/>
          <w:sz w:val="20"/>
          <w:szCs w:val="20"/>
        </w:rPr>
        <w:t>–202</w:t>
      </w:r>
      <w:bookmarkEnd w:id="64"/>
      <w:r>
        <w:rPr>
          <w:rFonts w:ascii="Times New Roman" w:hAnsi="Times New Roman" w:cs="Times New Roman"/>
          <w:b/>
          <w:bCs/>
          <w:i w:val="0"/>
          <w:iCs w:val="0"/>
          <w:color w:val="000000" w:themeColor="text1"/>
          <w:sz w:val="20"/>
          <w:szCs w:val="20"/>
        </w:rPr>
        <w:t>1</w:t>
      </w:r>
      <w:bookmarkEnd w:id="65"/>
    </w:p>
    <w:tbl>
      <w:tblPr>
        <w:tblW w:w="5000" w:type="pct"/>
        <w:tblCellMar>
          <w:left w:w="70" w:type="dxa"/>
          <w:right w:w="70" w:type="dxa"/>
        </w:tblCellMar>
        <w:tblLook w:val="04A0" w:firstRow="1" w:lastRow="0" w:firstColumn="1" w:lastColumn="0" w:noHBand="0" w:noVBand="1"/>
      </w:tblPr>
      <w:tblGrid>
        <w:gridCol w:w="2888"/>
        <w:gridCol w:w="607"/>
        <w:gridCol w:w="607"/>
        <w:gridCol w:w="607"/>
        <w:gridCol w:w="607"/>
        <w:gridCol w:w="608"/>
        <w:gridCol w:w="612"/>
        <w:gridCol w:w="608"/>
        <w:gridCol w:w="608"/>
        <w:gridCol w:w="608"/>
        <w:gridCol w:w="608"/>
        <w:gridCol w:w="608"/>
        <w:gridCol w:w="618"/>
      </w:tblGrid>
      <w:tr w:rsidR="00A17173" w:rsidRPr="009B0898" w14:paraId="572104CD" w14:textId="77777777" w:rsidTr="00E15165">
        <w:trPr>
          <w:trHeight w:val="340"/>
        </w:trPr>
        <w:tc>
          <w:tcPr>
            <w:tcW w:w="1417"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FCEFAF0"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Jednostka terytorialna</w:t>
            </w:r>
          </w:p>
        </w:tc>
        <w:tc>
          <w:tcPr>
            <w:tcW w:w="1789" w:type="pct"/>
            <w:gridSpan w:val="6"/>
            <w:tcBorders>
              <w:top w:val="single" w:sz="4" w:space="0" w:color="auto"/>
              <w:left w:val="nil"/>
              <w:bottom w:val="single" w:sz="4" w:space="0" w:color="auto"/>
              <w:right w:val="single" w:sz="4" w:space="0" w:color="auto"/>
            </w:tcBorders>
            <w:shd w:val="clear" w:color="000000" w:fill="F2F2F2"/>
            <w:vAlign w:val="center"/>
            <w:hideMark/>
          </w:tcPr>
          <w:p w14:paraId="427DC4D2"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themeColor="text1"/>
                <w:sz w:val="20"/>
                <w:szCs w:val="20"/>
                <w:lang w:eastAsia="pl-PL"/>
              </w:rPr>
              <w:t>Dochody ogółem na 1 mieszkańca (zł)</w:t>
            </w:r>
          </w:p>
        </w:tc>
        <w:tc>
          <w:tcPr>
            <w:tcW w:w="1794" w:type="pct"/>
            <w:gridSpan w:val="6"/>
            <w:tcBorders>
              <w:top w:val="single" w:sz="4" w:space="0" w:color="auto"/>
              <w:left w:val="nil"/>
              <w:bottom w:val="single" w:sz="4" w:space="0" w:color="auto"/>
              <w:right w:val="single" w:sz="4" w:space="0" w:color="auto"/>
            </w:tcBorders>
            <w:shd w:val="clear" w:color="000000" w:fill="F2F2F2"/>
            <w:vAlign w:val="center"/>
            <w:hideMark/>
          </w:tcPr>
          <w:p w14:paraId="6DF47B09"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themeColor="text1"/>
                <w:sz w:val="20"/>
                <w:szCs w:val="20"/>
                <w:lang w:eastAsia="pl-PL"/>
              </w:rPr>
              <w:t>Dochody własne na 1 mieszkańca (zł)</w:t>
            </w:r>
          </w:p>
        </w:tc>
      </w:tr>
      <w:tr w:rsidR="00A17173" w:rsidRPr="009B0898" w14:paraId="69A13EDF" w14:textId="77777777" w:rsidTr="00E15165">
        <w:trPr>
          <w:trHeight w:val="340"/>
        </w:trPr>
        <w:tc>
          <w:tcPr>
            <w:tcW w:w="1417" w:type="pct"/>
            <w:vMerge/>
            <w:tcBorders>
              <w:top w:val="single" w:sz="4" w:space="0" w:color="auto"/>
              <w:left w:val="single" w:sz="4" w:space="0" w:color="auto"/>
              <w:bottom w:val="single" w:sz="4" w:space="0" w:color="000000"/>
              <w:right w:val="single" w:sz="4" w:space="0" w:color="auto"/>
            </w:tcBorders>
            <w:vAlign w:val="center"/>
            <w:hideMark/>
          </w:tcPr>
          <w:p w14:paraId="28C2021E" w14:textId="77777777" w:rsidR="00A17173" w:rsidRPr="009B0898"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298" w:type="pct"/>
            <w:tcBorders>
              <w:top w:val="nil"/>
              <w:left w:val="nil"/>
              <w:bottom w:val="single" w:sz="4" w:space="0" w:color="auto"/>
              <w:right w:val="single" w:sz="4" w:space="0" w:color="auto"/>
            </w:tcBorders>
            <w:shd w:val="clear" w:color="000000" w:fill="F2F2F2"/>
            <w:noWrap/>
            <w:vAlign w:val="center"/>
            <w:hideMark/>
          </w:tcPr>
          <w:p w14:paraId="35D803FA"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2016</w:t>
            </w:r>
          </w:p>
        </w:tc>
        <w:tc>
          <w:tcPr>
            <w:tcW w:w="298" w:type="pct"/>
            <w:tcBorders>
              <w:top w:val="nil"/>
              <w:left w:val="nil"/>
              <w:bottom w:val="single" w:sz="4" w:space="0" w:color="auto"/>
              <w:right w:val="single" w:sz="4" w:space="0" w:color="auto"/>
            </w:tcBorders>
            <w:shd w:val="clear" w:color="000000" w:fill="F2F2F2"/>
            <w:noWrap/>
            <w:vAlign w:val="center"/>
            <w:hideMark/>
          </w:tcPr>
          <w:p w14:paraId="3B1D67CF"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2017</w:t>
            </w:r>
          </w:p>
        </w:tc>
        <w:tc>
          <w:tcPr>
            <w:tcW w:w="298" w:type="pct"/>
            <w:tcBorders>
              <w:top w:val="nil"/>
              <w:left w:val="nil"/>
              <w:bottom w:val="single" w:sz="4" w:space="0" w:color="auto"/>
              <w:right w:val="single" w:sz="4" w:space="0" w:color="auto"/>
            </w:tcBorders>
            <w:shd w:val="clear" w:color="000000" w:fill="F2F2F2"/>
            <w:noWrap/>
            <w:vAlign w:val="center"/>
            <w:hideMark/>
          </w:tcPr>
          <w:p w14:paraId="72244FCE"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2018</w:t>
            </w:r>
          </w:p>
        </w:tc>
        <w:tc>
          <w:tcPr>
            <w:tcW w:w="298" w:type="pct"/>
            <w:tcBorders>
              <w:top w:val="nil"/>
              <w:left w:val="nil"/>
              <w:bottom w:val="single" w:sz="4" w:space="0" w:color="auto"/>
              <w:right w:val="single" w:sz="4" w:space="0" w:color="auto"/>
            </w:tcBorders>
            <w:shd w:val="clear" w:color="000000" w:fill="F2F2F2"/>
            <w:noWrap/>
            <w:vAlign w:val="center"/>
            <w:hideMark/>
          </w:tcPr>
          <w:p w14:paraId="76168958"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2019</w:t>
            </w:r>
          </w:p>
        </w:tc>
        <w:tc>
          <w:tcPr>
            <w:tcW w:w="298" w:type="pct"/>
            <w:tcBorders>
              <w:top w:val="nil"/>
              <w:left w:val="nil"/>
              <w:bottom w:val="single" w:sz="4" w:space="0" w:color="auto"/>
              <w:right w:val="single" w:sz="4" w:space="0" w:color="auto"/>
            </w:tcBorders>
            <w:shd w:val="clear" w:color="000000" w:fill="F2F2F2"/>
            <w:noWrap/>
            <w:vAlign w:val="center"/>
            <w:hideMark/>
          </w:tcPr>
          <w:p w14:paraId="599FEA61"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2020</w:t>
            </w:r>
          </w:p>
        </w:tc>
        <w:tc>
          <w:tcPr>
            <w:tcW w:w="300" w:type="pct"/>
            <w:tcBorders>
              <w:top w:val="nil"/>
              <w:left w:val="nil"/>
              <w:bottom w:val="single" w:sz="4" w:space="0" w:color="auto"/>
              <w:right w:val="single" w:sz="4" w:space="0" w:color="auto"/>
            </w:tcBorders>
            <w:shd w:val="clear" w:color="000000" w:fill="F2F2F2"/>
            <w:noWrap/>
            <w:vAlign w:val="center"/>
            <w:hideMark/>
          </w:tcPr>
          <w:p w14:paraId="66EF7D5A"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2021</w:t>
            </w:r>
          </w:p>
        </w:tc>
        <w:tc>
          <w:tcPr>
            <w:tcW w:w="298" w:type="pct"/>
            <w:tcBorders>
              <w:top w:val="nil"/>
              <w:left w:val="nil"/>
              <w:bottom w:val="single" w:sz="4" w:space="0" w:color="auto"/>
              <w:right w:val="single" w:sz="4" w:space="0" w:color="auto"/>
            </w:tcBorders>
            <w:shd w:val="clear" w:color="000000" w:fill="F2F2F2"/>
            <w:noWrap/>
            <w:vAlign w:val="center"/>
            <w:hideMark/>
          </w:tcPr>
          <w:p w14:paraId="0CA8D80A"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2016</w:t>
            </w:r>
          </w:p>
        </w:tc>
        <w:tc>
          <w:tcPr>
            <w:tcW w:w="298" w:type="pct"/>
            <w:tcBorders>
              <w:top w:val="nil"/>
              <w:left w:val="nil"/>
              <w:bottom w:val="single" w:sz="4" w:space="0" w:color="auto"/>
              <w:right w:val="single" w:sz="4" w:space="0" w:color="auto"/>
            </w:tcBorders>
            <w:shd w:val="clear" w:color="000000" w:fill="F2F2F2"/>
            <w:noWrap/>
            <w:vAlign w:val="center"/>
            <w:hideMark/>
          </w:tcPr>
          <w:p w14:paraId="4474B227"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2017</w:t>
            </w:r>
          </w:p>
        </w:tc>
        <w:tc>
          <w:tcPr>
            <w:tcW w:w="298" w:type="pct"/>
            <w:tcBorders>
              <w:top w:val="nil"/>
              <w:left w:val="nil"/>
              <w:bottom w:val="single" w:sz="4" w:space="0" w:color="auto"/>
              <w:right w:val="single" w:sz="4" w:space="0" w:color="auto"/>
            </w:tcBorders>
            <w:shd w:val="clear" w:color="000000" w:fill="F2F2F2"/>
            <w:noWrap/>
            <w:vAlign w:val="center"/>
            <w:hideMark/>
          </w:tcPr>
          <w:p w14:paraId="4BE356B0"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2018</w:t>
            </w:r>
          </w:p>
        </w:tc>
        <w:tc>
          <w:tcPr>
            <w:tcW w:w="298" w:type="pct"/>
            <w:tcBorders>
              <w:top w:val="nil"/>
              <w:left w:val="nil"/>
              <w:bottom w:val="single" w:sz="4" w:space="0" w:color="auto"/>
              <w:right w:val="single" w:sz="4" w:space="0" w:color="auto"/>
            </w:tcBorders>
            <w:shd w:val="clear" w:color="000000" w:fill="F2F2F2"/>
            <w:noWrap/>
            <w:vAlign w:val="center"/>
            <w:hideMark/>
          </w:tcPr>
          <w:p w14:paraId="6B817394"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2019</w:t>
            </w:r>
          </w:p>
        </w:tc>
        <w:tc>
          <w:tcPr>
            <w:tcW w:w="298" w:type="pct"/>
            <w:tcBorders>
              <w:top w:val="nil"/>
              <w:left w:val="nil"/>
              <w:bottom w:val="single" w:sz="4" w:space="0" w:color="auto"/>
              <w:right w:val="single" w:sz="4" w:space="0" w:color="auto"/>
            </w:tcBorders>
            <w:shd w:val="clear" w:color="000000" w:fill="F2F2F2"/>
            <w:noWrap/>
            <w:vAlign w:val="center"/>
            <w:hideMark/>
          </w:tcPr>
          <w:p w14:paraId="603BE635"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2020</w:t>
            </w:r>
          </w:p>
        </w:tc>
        <w:tc>
          <w:tcPr>
            <w:tcW w:w="303" w:type="pct"/>
            <w:tcBorders>
              <w:top w:val="nil"/>
              <w:left w:val="nil"/>
              <w:bottom w:val="single" w:sz="4" w:space="0" w:color="auto"/>
              <w:right w:val="single" w:sz="4" w:space="0" w:color="auto"/>
            </w:tcBorders>
            <w:shd w:val="clear" w:color="000000" w:fill="F2F2F2"/>
            <w:noWrap/>
            <w:vAlign w:val="center"/>
            <w:hideMark/>
          </w:tcPr>
          <w:p w14:paraId="74FB5964" w14:textId="77777777" w:rsidR="00A17173" w:rsidRPr="009B0898"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9B0898">
              <w:rPr>
                <w:rFonts w:ascii="Times New Roman" w:eastAsia="Times New Roman" w:hAnsi="Times New Roman" w:cs="Times New Roman"/>
                <w:b/>
                <w:bCs/>
                <w:color w:val="000000"/>
                <w:sz w:val="20"/>
                <w:szCs w:val="20"/>
                <w:lang w:eastAsia="pl-PL"/>
              </w:rPr>
              <w:t>2021</w:t>
            </w:r>
          </w:p>
        </w:tc>
      </w:tr>
      <w:tr w:rsidR="00D960CE" w:rsidRPr="009B0898" w14:paraId="04083ADD" w14:textId="77777777" w:rsidTr="00E15165">
        <w:trPr>
          <w:trHeight w:val="34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69F5E06E" w14:textId="5362F3D2" w:rsidR="00D960CE" w:rsidRPr="009B0898" w:rsidRDefault="00D960CE" w:rsidP="00D960CE">
            <w:pPr>
              <w:spacing w:after="0" w:line="240" w:lineRule="auto"/>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20"/>
                <w:szCs w:val="20"/>
                <w:lang w:eastAsia="pl-PL"/>
              </w:rPr>
              <w:t>Bialskopodlaska LGD</w:t>
            </w:r>
          </w:p>
        </w:tc>
        <w:tc>
          <w:tcPr>
            <w:tcW w:w="298" w:type="pct"/>
            <w:tcBorders>
              <w:top w:val="nil"/>
              <w:left w:val="nil"/>
              <w:bottom w:val="single" w:sz="4" w:space="0" w:color="auto"/>
              <w:right w:val="single" w:sz="4" w:space="0" w:color="auto"/>
            </w:tcBorders>
            <w:shd w:val="clear" w:color="auto" w:fill="auto"/>
            <w:noWrap/>
            <w:vAlign w:val="center"/>
            <w:hideMark/>
          </w:tcPr>
          <w:p w14:paraId="18AFB9A0" w14:textId="60F3BE38"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3 891</w:t>
            </w:r>
          </w:p>
        </w:tc>
        <w:tc>
          <w:tcPr>
            <w:tcW w:w="298" w:type="pct"/>
            <w:tcBorders>
              <w:top w:val="nil"/>
              <w:left w:val="nil"/>
              <w:bottom w:val="single" w:sz="4" w:space="0" w:color="auto"/>
              <w:right w:val="single" w:sz="4" w:space="0" w:color="auto"/>
            </w:tcBorders>
            <w:shd w:val="clear" w:color="auto" w:fill="auto"/>
            <w:noWrap/>
            <w:vAlign w:val="center"/>
            <w:hideMark/>
          </w:tcPr>
          <w:p w14:paraId="2870E48D" w14:textId="71238886"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4 310</w:t>
            </w:r>
          </w:p>
        </w:tc>
        <w:tc>
          <w:tcPr>
            <w:tcW w:w="298" w:type="pct"/>
            <w:tcBorders>
              <w:top w:val="nil"/>
              <w:left w:val="nil"/>
              <w:bottom w:val="single" w:sz="4" w:space="0" w:color="auto"/>
              <w:right w:val="single" w:sz="4" w:space="0" w:color="auto"/>
            </w:tcBorders>
            <w:shd w:val="clear" w:color="auto" w:fill="auto"/>
            <w:noWrap/>
            <w:vAlign w:val="center"/>
            <w:hideMark/>
          </w:tcPr>
          <w:p w14:paraId="0DFCBC42" w14:textId="650ECEA8"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4 913</w:t>
            </w:r>
          </w:p>
        </w:tc>
        <w:tc>
          <w:tcPr>
            <w:tcW w:w="298" w:type="pct"/>
            <w:tcBorders>
              <w:top w:val="nil"/>
              <w:left w:val="nil"/>
              <w:bottom w:val="single" w:sz="4" w:space="0" w:color="auto"/>
              <w:right w:val="single" w:sz="4" w:space="0" w:color="auto"/>
            </w:tcBorders>
            <w:shd w:val="clear" w:color="auto" w:fill="auto"/>
            <w:noWrap/>
            <w:vAlign w:val="center"/>
            <w:hideMark/>
          </w:tcPr>
          <w:p w14:paraId="33CEEAF2" w14:textId="15C6269E"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5 213</w:t>
            </w:r>
          </w:p>
        </w:tc>
        <w:tc>
          <w:tcPr>
            <w:tcW w:w="298" w:type="pct"/>
            <w:tcBorders>
              <w:top w:val="nil"/>
              <w:left w:val="nil"/>
              <w:bottom w:val="single" w:sz="4" w:space="0" w:color="auto"/>
              <w:right w:val="single" w:sz="4" w:space="0" w:color="auto"/>
            </w:tcBorders>
            <w:shd w:val="clear" w:color="auto" w:fill="auto"/>
            <w:noWrap/>
            <w:vAlign w:val="center"/>
            <w:hideMark/>
          </w:tcPr>
          <w:p w14:paraId="24181DE2" w14:textId="1BD3C734"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5 903</w:t>
            </w:r>
          </w:p>
        </w:tc>
        <w:tc>
          <w:tcPr>
            <w:tcW w:w="300" w:type="pct"/>
            <w:tcBorders>
              <w:top w:val="nil"/>
              <w:left w:val="nil"/>
              <w:bottom w:val="single" w:sz="4" w:space="0" w:color="auto"/>
              <w:right w:val="single" w:sz="4" w:space="0" w:color="auto"/>
            </w:tcBorders>
            <w:shd w:val="clear" w:color="auto" w:fill="auto"/>
            <w:noWrap/>
            <w:vAlign w:val="center"/>
            <w:hideMark/>
          </w:tcPr>
          <w:p w14:paraId="4C3F2405" w14:textId="296461F5"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6 509</w:t>
            </w:r>
          </w:p>
        </w:tc>
        <w:tc>
          <w:tcPr>
            <w:tcW w:w="298" w:type="pct"/>
            <w:tcBorders>
              <w:top w:val="nil"/>
              <w:left w:val="nil"/>
              <w:bottom w:val="single" w:sz="4" w:space="0" w:color="auto"/>
              <w:right w:val="single" w:sz="4" w:space="0" w:color="auto"/>
            </w:tcBorders>
            <w:shd w:val="clear" w:color="auto" w:fill="auto"/>
            <w:noWrap/>
            <w:vAlign w:val="center"/>
            <w:hideMark/>
          </w:tcPr>
          <w:p w14:paraId="2D55A125" w14:textId="51C7EB78"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1 186</w:t>
            </w:r>
          </w:p>
        </w:tc>
        <w:tc>
          <w:tcPr>
            <w:tcW w:w="298" w:type="pct"/>
            <w:tcBorders>
              <w:top w:val="nil"/>
              <w:left w:val="nil"/>
              <w:bottom w:val="single" w:sz="4" w:space="0" w:color="auto"/>
              <w:right w:val="single" w:sz="4" w:space="0" w:color="auto"/>
            </w:tcBorders>
            <w:shd w:val="clear" w:color="auto" w:fill="auto"/>
            <w:noWrap/>
            <w:vAlign w:val="center"/>
            <w:hideMark/>
          </w:tcPr>
          <w:p w14:paraId="4913CD4D" w14:textId="2BF25D2C"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1 201</w:t>
            </w:r>
          </w:p>
        </w:tc>
        <w:tc>
          <w:tcPr>
            <w:tcW w:w="298" w:type="pct"/>
            <w:tcBorders>
              <w:top w:val="nil"/>
              <w:left w:val="nil"/>
              <w:bottom w:val="single" w:sz="4" w:space="0" w:color="auto"/>
              <w:right w:val="single" w:sz="4" w:space="0" w:color="auto"/>
            </w:tcBorders>
            <w:shd w:val="clear" w:color="auto" w:fill="auto"/>
            <w:noWrap/>
            <w:vAlign w:val="center"/>
            <w:hideMark/>
          </w:tcPr>
          <w:p w14:paraId="17B7DA0B" w14:textId="22E03167"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1 367</w:t>
            </w:r>
          </w:p>
        </w:tc>
        <w:tc>
          <w:tcPr>
            <w:tcW w:w="298" w:type="pct"/>
            <w:tcBorders>
              <w:top w:val="nil"/>
              <w:left w:val="nil"/>
              <w:bottom w:val="single" w:sz="4" w:space="0" w:color="auto"/>
              <w:right w:val="single" w:sz="4" w:space="0" w:color="auto"/>
            </w:tcBorders>
            <w:shd w:val="clear" w:color="auto" w:fill="auto"/>
            <w:noWrap/>
            <w:vAlign w:val="center"/>
            <w:hideMark/>
          </w:tcPr>
          <w:p w14:paraId="03348E06" w14:textId="172B2FEB"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1 508</w:t>
            </w:r>
          </w:p>
        </w:tc>
        <w:tc>
          <w:tcPr>
            <w:tcW w:w="298" w:type="pct"/>
            <w:tcBorders>
              <w:top w:val="nil"/>
              <w:left w:val="nil"/>
              <w:bottom w:val="single" w:sz="4" w:space="0" w:color="auto"/>
              <w:right w:val="single" w:sz="4" w:space="0" w:color="auto"/>
            </w:tcBorders>
            <w:shd w:val="clear" w:color="auto" w:fill="auto"/>
            <w:noWrap/>
            <w:vAlign w:val="center"/>
            <w:hideMark/>
          </w:tcPr>
          <w:p w14:paraId="12392E3C" w14:textId="3C313C67"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1 747</w:t>
            </w:r>
          </w:p>
        </w:tc>
        <w:tc>
          <w:tcPr>
            <w:tcW w:w="303" w:type="pct"/>
            <w:tcBorders>
              <w:top w:val="nil"/>
              <w:left w:val="nil"/>
              <w:bottom w:val="single" w:sz="4" w:space="0" w:color="auto"/>
              <w:right w:val="single" w:sz="4" w:space="0" w:color="auto"/>
            </w:tcBorders>
            <w:shd w:val="clear" w:color="auto" w:fill="auto"/>
            <w:noWrap/>
            <w:vAlign w:val="center"/>
            <w:hideMark/>
          </w:tcPr>
          <w:p w14:paraId="36AF742A" w14:textId="03C8FD73" w:rsidR="00D960CE" w:rsidRPr="00B60544" w:rsidRDefault="00D960CE" w:rsidP="00D960CE">
            <w:pPr>
              <w:spacing w:after="0" w:line="240" w:lineRule="auto"/>
              <w:jc w:val="center"/>
              <w:rPr>
                <w:rFonts w:ascii="Times New Roman" w:eastAsia="Times New Roman" w:hAnsi="Times New Roman" w:cs="Times New Roman"/>
                <w:b/>
                <w:bCs/>
                <w:color w:val="000000"/>
                <w:sz w:val="20"/>
                <w:szCs w:val="20"/>
                <w:lang w:eastAsia="pl-PL"/>
              </w:rPr>
            </w:pPr>
            <w:r w:rsidRPr="00411A7D">
              <w:rPr>
                <w:rFonts w:ascii="Times New Roman" w:eastAsia="Times New Roman" w:hAnsi="Times New Roman" w:cs="Times New Roman"/>
                <w:b/>
                <w:bCs/>
                <w:color w:val="000000"/>
                <w:sz w:val="18"/>
                <w:szCs w:val="18"/>
                <w:lang w:eastAsia="pl-PL"/>
              </w:rPr>
              <w:t>1 907</w:t>
            </w:r>
          </w:p>
        </w:tc>
      </w:tr>
      <w:tr w:rsidR="00D960CE" w:rsidRPr="009B0898" w14:paraId="5D6BF2FD" w14:textId="77777777" w:rsidTr="00E15165">
        <w:trPr>
          <w:trHeight w:val="34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4AC6EE53" w14:textId="06443910" w:rsidR="00D960CE" w:rsidRPr="009B0898" w:rsidRDefault="00D960CE" w:rsidP="00D960CE">
            <w:pPr>
              <w:spacing w:after="0" w:line="240" w:lineRule="auto"/>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20"/>
                <w:szCs w:val="20"/>
                <w:lang w:eastAsia="pl-PL"/>
              </w:rPr>
              <w:t>województwo lubelskie</w:t>
            </w:r>
          </w:p>
        </w:tc>
        <w:tc>
          <w:tcPr>
            <w:tcW w:w="298" w:type="pct"/>
            <w:tcBorders>
              <w:top w:val="nil"/>
              <w:left w:val="nil"/>
              <w:bottom w:val="single" w:sz="4" w:space="0" w:color="auto"/>
              <w:right w:val="single" w:sz="4" w:space="0" w:color="auto"/>
            </w:tcBorders>
            <w:shd w:val="clear" w:color="auto" w:fill="auto"/>
            <w:noWrap/>
            <w:vAlign w:val="center"/>
            <w:hideMark/>
          </w:tcPr>
          <w:p w14:paraId="4CB1CF47" w14:textId="7EECB32C"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4 065</w:t>
            </w:r>
          </w:p>
        </w:tc>
        <w:tc>
          <w:tcPr>
            <w:tcW w:w="298" w:type="pct"/>
            <w:tcBorders>
              <w:top w:val="nil"/>
              <w:left w:val="nil"/>
              <w:bottom w:val="single" w:sz="4" w:space="0" w:color="auto"/>
              <w:right w:val="single" w:sz="4" w:space="0" w:color="auto"/>
            </w:tcBorders>
            <w:shd w:val="clear" w:color="auto" w:fill="auto"/>
            <w:noWrap/>
            <w:vAlign w:val="center"/>
            <w:hideMark/>
          </w:tcPr>
          <w:p w14:paraId="5C69AA90" w14:textId="4C15BBE4"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4 444</w:t>
            </w:r>
          </w:p>
        </w:tc>
        <w:tc>
          <w:tcPr>
            <w:tcW w:w="298" w:type="pct"/>
            <w:tcBorders>
              <w:top w:val="nil"/>
              <w:left w:val="nil"/>
              <w:bottom w:val="single" w:sz="4" w:space="0" w:color="auto"/>
              <w:right w:val="single" w:sz="4" w:space="0" w:color="auto"/>
            </w:tcBorders>
            <w:shd w:val="clear" w:color="auto" w:fill="auto"/>
            <w:noWrap/>
            <w:vAlign w:val="center"/>
            <w:hideMark/>
          </w:tcPr>
          <w:p w14:paraId="5CC132FF" w14:textId="44C643B6"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4 932</w:t>
            </w:r>
          </w:p>
        </w:tc>
        <w:tc>
          <w:tcPr>
            <w:tcW w:w="298" w:type="pct"/>
            <w:tcBorders>
              <w:top w:val="nil"/>
              <w:left w:val="nil"/>
              <w:bottom w:val="single" w:sz="4" w:space="0" w:color="auto"/>
              <w:right w:val="single" w:sz="4" w:space="0" w:color="auto"/>
            </w:tcBorders>
            <w:shd w:val="clear" w:color="auto" w:fill="auto"/>
            <w:noWrap/>
            <w:vAlign w:val="center"/>
            <w:hideMark/>
          </w:tcPr>
          <w:p w14:paraId="7ACE54EC" w14:textId="4C4386DC"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5 449</w:t>
            </w:r>
          </w:p>
        </w:tc>
        <w:tc>
          <w:tcPr>
            <w:tcW w:w="298" w:type="pct"/>
            <w:tcBorders>
              <w:top w:val="nil"/>
              <w:left w:val="nil"/>
              <w:bottom w:val="single" w:sz="4" w:space="0" w:color="auto"/>
              <w:right w:val="single" w:sz="4" w:space="0" w:color="auto"/>
            </w:tcBorders>
            <w:shd w:val="clear" w:color="auto" w:fill="auto"/>
            <w:noWrap/>
            <w:vAlign w:val="center"/>
            <w:hideMark/>
          </w:tcPr>
          <w:p w14:paraId="589CDE57" w14:textId="00030845"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6 129</w:t>
            </w:r>
          </w:p>
        </w:tc>
        <w:tc>
          <w:tcPr>
            <w:tcW w:w="300" w:type="pct"/>
            <w:tcBorders>
              <w:top w:val="nil"/>
              <w:left w:val="nil"/>
              <w:bottom w:val="single" w:sz="4" w:space="0" w:color="auto"/>
              <w:right w:val="single" w:sz="4" w:space="0" w:color="auto"/>
            </w:tcBorders>
            <w:shd w:val="clear" w:color="auto" w:fill="auto"/>
            <w:noWrap/>
            <w:vAlign w:val="center"/>
            <w:hideMark/>
          </w:tcPr>
          <w:p w14:paraId="150A8C25" w14:textId="15904CCF"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6 733</w:t>
            </w:r>
          </w:p>
        </w:tc>
        <w:tc>
          <w:tcPr>
            <w:tcW w:w="298" w:type="pct"/>
            <w:tcBorders>
              <w:top w:val="nil"/>
              <w:left w:val="nil"/>
              <w:bottom w:val="single" w:sz="4" w:space="0" w:color="auto"/>
              <w:right w:val="single" w:sz="4" w:space="0" w:color="auto"/>
            </w:tcBorders>
            <w:shd w:val="clear" w:color="auto" w:fill="auto"/>
            <w:noWrap/>
            <w:vAlign w:val="center"/>
            <w:hideMark/>
          </w:tcPr>
          <w:p w14:paraId="50AF276E" w14:textId="24F20DBA"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1 577</w:t>
            </w:r>
          </w:p>
        </w:tc>
        <w:tc>
          <w:tcPr>
            <w:tcW w:w="298" w:type="pct"/>
            <w:tcBorders>
              <w:top w:val="nil"/>
              <w:left w:val="nil"/>
              <w:bottom w:val="single" w:sz="4" w:space="0" w:color="auto"/>
              <w:right w:val="single" w:sz="4" w:space="0" w:color="auto"/>
            </w:tcBorders>
            <w:shd w:val="clear" w:color="auto" w:fill="auto"/>
            <w:noWrap/>
            <w:vAlign w:val="center"/>
            <w:hideMark/>
          </w:tcPr>
          <w:p w14:paraId="6A888571" w14:textId="6C989C99"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1 654</w:t>
            </w:r>
          </w:p>
        </w:tc>
        <w:tc>
          <w:tcPr>
            <w:tcW w:w="298" w:type="pct"/>
            <w:tcBorders>
              <w:top w:val="nil"/>
              <w:left w:val="nil"/>
              <w:bottom w:val="single" w:sz="4" w:space="0" w:color="auto"/>
              <w:right w:val="single" w:sz="4" w:space="0" w:color="auto"/>
            </w:tcBorders>
            <w:shd w:val="clear" w:color="auto" w:fill="auto"/>
            <w:noWrap/>
            <w:vAlign w:val="center"/>
            <w:hideMark/>
          </w:tcPr>
          <w:p w14:paraId="12744221" w14:textId="1F30C819"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1 817</w:t>
            </w:r>
          </w:p>
        </w:tc>
        <w:tc>
          <w:tcPr>
            <w:tcW w:w="298" w:type="pct"/>
            <w:tcBorders>
              <w:top w:val="nil"/>
              <w:left w:val="nil"/>
              <w:bottom w:val="single" w:sz="4" w:space="0" w:color="auto"/>
              <w:right w:val="single" w:sz="4" w:space="0" w:color="auto"/>
            </w:tcBorders>
            <w:shd w:val="clear" w:color="auto" w:fill="auto"/>
            <w:noWrap/>
            <w:vAlign w:val="center"/>
            <w:hideMark/>
          </w:tcPr>
          <w:p w14:paraId="1119AC0E" w14:textId="1A950AC5"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2 046</w:t>
            </w:r>
          </w:p>
        </w:tc>
        <w:tc>
          <w:tcPr>
            <w:tcW w:w="298" w:type="pct"/>
            <w:tcBorders>
              <w:top w:val="nil"/>
              <w:left w:val="nil"/>
              <w:bottom w:val="single" w:sz="4" w:space="0" w:color="auto"/>
              <w:right w:val="single" w:sz="4" w:space="0" w:color="auto"/>
            </w:tcBorders>
            <w:shd w:val="clear" w:color="auto" w:fill="auto"/>
            <w:noWrap/>
            <w:vAlign w:val="center"/>
            <w:hideMark/>
          </w:tcPr>
          <w:p w14:paraId="20EA542E" w14:textId="1CF41324"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2 286</w:t>
            </w:r>
          </w:p>
        </w:tc>
        <w:tc>
          <w:tcPr>
            <w:tcW w:w="303" w:type="pct"/>
            <w:tcBorders>
              <w:top w:val="nil"/>
              <w:left w:val="nil"/>
              <w:bottom w:val="single" w:sz="4" w:space="0" w:color="auto"/>
              <w:right w:val="single" w:sz="4" w:space="0" w:color="auto"/>
            </w:tcBorders>
            <w:shd w:val="clear" w:color="auto" w:fill="auto"/>
            <w:noWrap/>
            <w:vAlign w:val="center"/>
            <w:hideMark/>
          </w:tcPr>
          <w:p w14:paraId="58AC19F0" w14:textId="3F58696F"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2 370</w:t>
            </w:r>
          </w:p>
        </w:tc>
      </w:tr>
      <w:tr w:rsidR="00D960CE" w:rsidRPr="009B0898" w14:paraId="4AF73DA3" w14:textId="77777777" w:rsidTr="00E15165">
        <w:trPr>
          <w:trHeight w:val="340"/>
        </w:trPr>
        <w:tc>
          <w:tcPr>
            <w:tcW w:w="1417" w:type="pct"/>
            <w:tcBorders>
              <w:top w:val="nil"/>
              <w:left w:val="single" w:sz="4" w:space="0" w:color="auto"/>
              <w:bottom w:val="single" w:sz="4" w:space="0" w:color="auto"/>
              <w:right w:val="single" w:sz="4" w:space="0" w:color="auto"/>
            </w:tcBorders>
            <w:shd w:val="clear" w:color="auto" w:fill="auto"/>
            <w:noWrap/>
            <w:vAlign w:val="center"/>
            <w:hideMark/>
          </w:tcPr>
          <w:p w14:paraId="1155B5D8" w14:textId="2CD04910" w:rsidR="00D960CE" w:rsidRPr="009B0898" w:rsidRDefault="00D960CE" w:rsidP="00D960CE">
            <w:pPr>
              <w:spacing w:after="0" w:line="240" w:lineRule="auto"/>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20"/>
                <w:szCs w:val="20"/>
                <w:lang w:eastAsia="pl-PL"/>
              </w:rPr>
              <w:t>Polska</w:t>
            </w:r>
          </w:p>
        </w:tc>
        <w:tc>
          <w:tcPr>
            <w:tcW w:w="298" w:type="pct"/>
            <w:tcBorders>
              <w:top w:val="nil"/>
              <w:left w:val="nil"/>
              <w:bottom w:val="single" w:sz="4" w:space="0" w:color="auto"/>
              <w:right w:val="single" w:sz="4" w:space="0" w:color="auto"/>
            </w:tcBorders>
            <w:shd w:val="clear" w:color="auto" w:fill="auto"/>
            <w:noWrap/>
            <w:vAlign w:val="center"/>
            <w:hideMark/>
          </w:tcPr>
          <w:p w14:paraId="202DE275" w14:textId="1CEB89B3"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4 585</w:t>
            </w:r>
          </w:p>
        </w:tc>
        <w:tc>
          <w:tcPr>
            <w:tcW w:w="298" w:type="pct"/>
            <w:tcBorders>
              <w:top w:val="nil"/>
              <w:left w:val="nil"/>
              <w:bottom w:val="single" w:sz="4" w:space="0" w:color="auto"/>
              <w:right w:val="single" w:sz="4" w:space="0" w:color="auto"/>
            </w:tcBorders>
            <w:shd w:val="clear" w:color="auto" w:fill="auto"/>
            <w:noWrap/>
            <w:vAlign w:val="center"/>
            <w:hideMark/>
          </w:tcPr>
          <w:p w14:paraId="1B5564D1" w14:textId="28986CD6"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4 936</w:t>
            </w:r>
          </w:p>
        </w:tc>
        <w:tc>
          <w:tcPr>
            <w:tcW w:w="298" w:type="pct"/>
            <w:tcBorders>
              <w:top w:val="nil"/>
              <w:left w:val="nil"/>
              <w:bottom w:val="single" w:sz="4" w:space="0" w:color="auto"/>
              <w:right w:val="single" w:sz="4" w:space="0" w:color="auto"/>
            </w:tcBorders>
            <w:shd w:val="clear" w:color="auto" w:fill="auto"/>
            <w:noWrap/>
            <w:vAlign w:val="center"/>
            <w:hideMark/>
          </w:tcPr>
          <w:p w14:paraId="36097640" w14:textId="1DB453DA"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5 387</w:t>
            </w:r>
          </w:p>
        </w:tc>
        <w:tc>
          <w:tcPr>
            <w:tcW w:w="298" w:type="pct"/>
            <w:tcBorders>
              <w:top w:val="nil"/>
              <w:left w:val="nil"/>
              <w:bottom w:val="single" w:sz="4" w:space="0" w:color="auto"/>
              <w:right w:val="single" w:sz="4" w:space="0" w:color="auto"/>
            </w:tcBorders>
            <w:shd w:val="clear" w:color="auto" w:fill="auto"/>
            <w:noWrap/>
            <w:vAlign w:val="center"/>
            <w:hideMark/>
          </w:tcPr>
          <w:p w14:paraId="240A444D" w14:textId="1807626F"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5 968</w:t>
            </w:r>
          </w:p>
        </w:tc>
        <w:tc>
          <w:tcPr>
            <w:tcW w:w="298" w:type="pct"/>
            <w:tcBorders>
              <w:top w:val="nil"/>
              <w:left w:val="nil"/>
              <w:bottom w:val="single" w:sz="4" w:space="0" w:color="auto"/>
              <w:right w:val="single" w:sz="4" w:space="0" w:color="auto"/>
            </w:tcBorders>
            <w:shd w:val="clear" w:color="auto" w:fill="auto"/>
            <w:noWrap/>
            <w:vAlign w:val="center"/>
            <w:hideMark/>
          </w:tcPr>
          <w:p w14:paraId="38EB09A7" w14:textId="40E78281"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6 518</w:t>
            </w:r>
          </w:p>
        </w:tc>
        <w:tc>
          <w:tcPr>
            <w:tcW w:w="300" w:type="pct"/>
            <w:tcBorders>
              <w:top w:val="nil"/>
              <w:left w:val="nil"/>
              <w:bottom w:val="single" w:sz="4" w:space="0" w:color="auto"/>
              <w:right w:val="single" w:sz="4" w:space="0" w:color="auto"/>
            </w:tcBorders>
            <w:shd w:val="clear" w:color="auto" w:fill="auto"/>
            <w:noWrap/>
            <w:vAlign w:val="center"/>
            <w:hideMark/>
          </w:tcPr>
          <w:p w14:paraId="2BDE10AE" w14:textId="1A9C9C60"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7 209</w:t>
            </w:r>
          </w:p>
        </w:tc>
        <w:tc>
          <w:tcPr>
            <w:tcW w:w="298" w:type="pct"/>
            <w:tcBorders>
              <w:top w:val="nil"/>
              <w:left w:val="nil"/>
              <w:bottom w:val="single" w:sz="4" w:space="0" w:color="auto"/>
              <w:right w:val="single" w:sz="4" w:space="0" w:color="auto"/>
            </w:tcBorders>
            <w:shd w:val="clear" w:color="auto" w:fill="auto"/>
            <w:noWrap/>
            <w:vAlign w:val="center"/>
            <w:hideMark/>
          </w:tcPr>
          <w:p w14:paraId="0132A1DB" w14:textId="657F5884"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2 368</w:t>
            </w:r>
          </w:p>
        </w:tc>
        <w:tc>
          <w:tcPr>
            <w:tcW w:w="298" w:type="pct"/>
            <w:tcBorders>
              <w:top w:val="nil"/>
              <w:left w:val="nil"/>
              <w:bottom w:val="single" w:sz="4" w:space="0" w:color="auto"/>
              <w:right w:val="single" w:sz="4" w:space="0" w:color="auto"/>
            </w:tcBorders>
            <w:shd w:val="clear" w:color="auto" w:fill="auto"/>
            <w:noWrap/>
            <w:vAlign w:val="center"/>
            <w:hideMark/>
          </w:tcPr>
          <w:p w14:paraId="0E77FC58" w14:textId="2C444262"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2 508</w:t>
            </w:r>
          </w:p>
        </w:tc>
        <w:tc>
          <w:tcPr>
            <w:tcW w:w="298" w:type="pct"/>
            <w:tcBorders>
              <w:top w:val="nil"/>
              <w:left w:val="nil"/>
              <w:bottom w:val="single" w:sz="4" w:space="0" w:color="auto"/>
              <w:right w:val="single" w:sz="4" w:space="0" w:color="auto"/>
            </w:tcBorders>
            <w:shd w:val="clear" w:color="auto" w:fill="auto"/>
            <w:noWrap/>
            <w:vAlign w:val="center"/>
            <w:hideMark/>
          </w:tcPr>
          <w:p w14:paraId="2C186EC6" w14:textId="6CDDADB5"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2 732</w:t>
            </w:r>
          </w:p>
        </w:tc>
        <w:tc>
          <w:tcPr>
            <w:tcW w:w="298" w:type="pct"/>
            <w:tcBorders>
              <w:top w:val="nil"/>
              <w:left w:val="nil"/>
              <w:bottom w:val="single" w:sz="4" w:space="0" w:color="auto"/>
              <w:right w:val="single" w:sz="4" w:space="0" w:color="auto"/>
            </w:tcBorders>
            <w:shd w:val="clear" w:color="auto" w:fill="auto"/>
            <w:noWrap/>
            <w:vAlign w:val="center"/>
            <w:hideMark/>
          </w:tcPr>
          <w:p w14:paraId="405E66C0" w14:textId="1ED4D26A"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2 958</w:t>
            </w:r>
          </w:p>
        </w:tc>
        <w:tc>
          <w:tcPr>
            <w:tcW w:w="298" w:type="pct"/>
            <w:tcBorders>
              <w:top w:val="nil"/>
              <w:left w:val="nil"/>
              <w:bottom w:val="single" w:sz="4" w:space="0" w:color="auto"/>
              <w:right w:val="single" w:sz="4" w:space="0" w:color="auto"/>
            </w:tcBorders>
            <w:shd w:val="clear" w:color="auto" w:fill="auto"/>
            <w:noWrap/>
            <w:vAlign w:val="center"/>
            <w:hideMark/>
          </w:tcPr>
          <w:p w14:paraId="0098BA85" w14:textId="373F9C6A"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3 180</w:t>
            </w:r>
          </w:p>
        </w:tc>
        <w:tc>
          <w:tcPr>
            <w:tcW w:w="303" w:type="pct"/>
            <w:tcBorders>
              <w:top w:val="nil"/>
              <w:left w:val="nil"/>
              <w:bottom w:val="single" w:sz="4" w:space="0" w:color="auto"/>
              <w:right w:val="single" w:sz="4" w:space="0" w:color="auto"/>
            </w:tcBorders>
            <w:shd w:val="clear" w:color="auto" w:fill="auto"/>
            <w:noWrap/>
            <w:vAlign w:val="center"/>
            <w:hideMark/>
          </w:tcPr>
          <w:p w14:paraId="7E38252D" w14:textId="72F1D71D" w:rsidR="00D960CE" w:rsidRPr="00B60544" w:rsidRDefault="00D960CE" w:rsidP="00D960CE">
            <w:pPr>
              <w:spacing w:after="0" w:line="240" w:lineRule="auto"/>
              <w:jc w:val="center"/>
              <w:rPr>
                <w:rFonts w:ascii="Times New Roman" w:eastAsia="Times New Roman" w:hAnsi="Times New Roman" w:cs="Times New Roman"/>
                <w:color w:val="000000"/>
                <w:sz w:val="20"/>
                <w:szCs w:val="20"/>
                <w:lang w:eastAsia="pl-PL"/>
              </w:rPr>
            </w:pPr>
            <w:r w:rsidRPr="00411A7D">
              <w:rPr>
                <w:rFonts w:ascii="Times New Roman" w:eastAsia="Times New Roman" w:hAnsi="Times New Roman" w:cs="Times New Roman"/>
                <w:color w:val="000000"/>
                <w:sz w:val="18"/>
                <w:szCs w:val="18"/>
                <w:lang w:eastAsia="pl-PL"/>
              </w:rPr>
              <w:t>3 471</w:t>
            </w:r>
          </w:p>
        </w:tc>
      </w:tr>
    </w:tbl>
    <w:p w14:paraId="0A047933" w14:textId="77777777" w:rsidR="00A17173" w:rsidRPr="009B0898" w:rsidRDefault="00A17173" w:rsidP="00A17173">
      <w:pPr>
        <w:spacing w:line="276" w:lineRule="auto"/>
        <w:jc w:val="center"/>
        <w:rPr>
          <w:rFonts w:ascii="Times New Roman" w:hAnsi="Times New Roman" w:cs="Times New Roman"/>
          <w:color w:val="000000" w:themeColor="text1"/>
        </w:rPr>
      </w:pPr>
      <w:r>
        <w:rPr>
          <w:rFonts w:ascii="Times New Roman" w:hAnsi="Times New Roman" w:cs="Times New Roman"/>
          <w:i/>
          <w:iCs/>
          <w:sz w:val="20"/>
          <w:szCs w:val="20"/>
        </w:rPr>
        <w:t>Ź</w:t>
      </w:r>
      <w:r w:rsidRPr="001F75C9">
        <w:rPr>
          <w:rFonts w:ascii="Times New Roman" w:hAnsi="Times New Roman" w:cs="Times New Roman"/>
          <w:i/>
          <w:iCs/>
          <w:sz w:val="20"/>
          <w:szCs w:val="20"/>
        </w:rPr>
        <w:t xml:space="preserve">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68AA4AFA" w14:textId="53BC4457" w:rsidR="00A17173" w:rsidRPr="00AD7E32" w:rsidRDefault="00A17173" w:rsidP="00A17173">
      <w:pPr>
        <w:pStyle w:val="Legenda"/>
        <w:spacing w:after="0"/>
        <w:jc w:val="center"/>
        <w:rPr>
          <w:rFonts w:ascii="Times New Roman" w:hAnsi="Times New Roman" w:cs="Times New Roman"/>
          <w:b/>
          <w:bCs/>
          <w:i w:val="0"/>
          <w:iCs w:val="0"/>
          <w:color w:val="000000" w:themeColor="text1"/>
          <w:sz w:val="20"/>
          <w:szCs w:val="20"/>
        </w:rPr>
      </w:pPr>
      <w:bookmarkStart w:id="66" w:name="_Toc133240126"/>
      <w:bookmarkStart w:id="67" w:name="_Toc135896523"/>
      <w:r w:rsidRPr="00AD7E32">
        <w:rPr>
          <w:rFonts w:ascii="Times New Roman" w:hAnsi="Times New Roman" w:cs="Times New Roman"/>
          <w:b/>
          <w:bCs/>
          <w:i w:val="0"/>
          <w:iCs w:val="0"/>
          <w:color w:val="000000" w:themeColor="text1"/>
          <w:sz w:val="20"/>
          <w:szCs w:val="20"/>
        </w:rPr>
        <w:t xml:space="preserve">Wykres </w:t>
      </w:r>
      <w:r w:rsidRPr="00AD7E32">
        <w:rPr>
          <w:rFonts w:ascii="Times New Roman" w:hAnsi="Times New Roman" w:cs="Times New Roman"/>
          <w:b/>
          <w:bCs/>
          <w:i w:val="0"/>
          <w:iCs w:val="0"/>
          <w:color w:val="000000" w:themeColor="text1"/>
          <w:sz w:val="20"/>
          <w:szCs w:val="20"/>
        </w:rPr>
        <w:fldChar w:fldCharType="begin"/>
      </w:r>
      <w:r w:rsidRPr="00AD7E32">
        <w:rPr>
          <w:rFonts w:ascii="Times New Roman" w:hAnsi="Times New Roman" w:cs="Times New Roman"/>
          <w:b/>
          <w:bCs/>
          <w:i w:val="0"/>
          <w:iCs w:val="0"/>
          <w:color w:val="000000" w:themeColor="text1"/>
          <w:sz w:val="20"/>
          <w:szCs w:val="20"/>
        </w:rPr>
        <w:instrText xml:space="preserve"> SEQ Wykres \* ARABIC </w:instrText>
      </w:r>
      <w:r w:rsidRPr="00AD7E32">
        <w:rPr>
          <w:rFonts w:ascii="Times New Roman" w:hAnsi="Times New Roman" w:cs="Times New Roman"/>
          <w:b/>
          <w:bCs/>
          <w:i w:val="0"/>
          <w:iCs w:val="0"/>
          <w:color w:val="000000" w:themeColor="text1"/>
          <w:sz w:val="20"/>
          <w:szCs w:val="20"/>
        </w:rPr>
        <w:fldChar w:fldCharType="separate"/>
      </w:r>
      <w:r w:rsidR="00025FC3">
        <w:rPr>
          <w:rFonts w:ascii="Times New Roman" w:hAnsi="Times New Roman" w:cs="Times New Roman"/>
          <w:b/>
          <w:bCs/>
          <w:i w:val="0"/>
          <w:iCs w:val="0"/>
          <w:noProof/>
          <w:color w:val="000000" w:themeColor="text1"/>
          <w:sz w:val="20"/>
          <w:szCs w:val="20"/>
        </w:rPr>
        <w:t>8</w:t>
      </w:r>
      <w:r w:rsidRPr="00AD7E32">
        <w:rPr>
          <w:rFonts w:ascii="Times New Roman" w:hAnsi="Times New Roman" w:cs="Times New Roman"/>
          <w:b/>
          <w:bCs/>
          <w:i w:val="0"/>
          <w:iCs w:val="0"/>
          <w:color w:val="000000" w:themeColor="text1"/>
          <w:sz w:val="20"/>
          <w:szCs w:val="20"/>
        </w:rPr>
        <w:fldChar w:fldCharType="end"/>
      </w:r>
      <w:r w:rsidRPr="00AD7E32">
        <w:rPr>
          <w:rFonts w:ascii="Times New Roman" w:hAnsi="Times New Roman" w:cs="Times New Roman"/>
          <w:b/>
          <w:bCs/>
          <w:i w:val="0"/>
          <w:iCs w:val="0"/>
          <w:color w:val="000000" w:themeColor="text1"/>
          <w:sz w:val="20"/>
          <w:szCs w:val="20"/>
        </w:rPr>
        <w:t xml:space="preserve"> Udział w podatkach stanowiących dochody budżetu państwa – podatek dochodowy od osób fizycznych </w:t>
      </w:r>
      <w:r w:rsidRPr="00AD7E32">
        <w:rPr>
          <w:rFonts w:ascii="Times New Roman" w:hAnsi="Times New Roman" w:cs="Times New Roman"/>
          <w:b/>
          <w:bCs/>
          <w:i w:val="0"/>
          <w:iCs w:val="0"/>
          <w:color w:val="000000" w:themeColor="text1"/>
          <w:sz w:val="20"/>
          <w:szCs w:val="20"/>
        </w:rPr>
        <w:br/>
        <w:t>w przeliczeniu na 1 mieszkańca (zł) na obszarze LGD w porównaniu do województwa i kraju w 202</w:t>
      </w:r>
      <w:r>
        <w:rPr>
          <w:rFonts w:ascii="Times New Roman" w:hAnsi="Times New Roman" w:cs="Times New Roman"/>
          <w:b/>
          <w:bCs/>
          <w:i w:val="0"/>
          <w:iCs w:val="0"/>
          <w:color w:val="000000" w:themeColor="text1"/>
          <w:sz w:val="20"/>
          <w:szCs w:val="20"/>
        </w:rPr>
        <w:t>1</w:t>
      </w:r>
      <w:r w:rsidRPr="00AD7E32">
        <w:rPr>
          <w:rFonts w:ascii="Times New Roman" w:hAnsi="Times New Roman" w:cs="Times New Roman"/>
          <w:b/>
          <w:bCs/>
          <w:i w:val="0"/>
          <w:iCs w:val="0"/>
          <w:color w:val="000000" w:themeColor="text1"/>
          <w:sz w:val="20"/>
          <w:szCs w:val="20"/>
        </w:rPr>
        <w:t xml:space="preserve"> r.</w:t>
      </w:r>
      <w:bookmarkEnd w:id="66"/>
      <w:bookmarkEnd w:id="67"/>
    </w:p>
    <w:p w14:paraId="680B5486" w14:textId="7D2B2030" w:rsidR="00A17173" w:rsidRDefault="00025FC3" w:rsidP="00A17173">
      <w:pPr>
        <w:spacing w:after="0"/>
        <w:jc w:val="center"/>
        <w:rPr>
          <w:noProof/>
        </w:rPr>
      </w:pPr>
      <w:r>
        <w:rPr>
          <w:noProof/>
          <w14:ligatures w14:val="standardContextual"/>
        </w:rPr>
        <w:drawing>
          <wp:inline distT="0" distB="0" distL="0" distR="0" wp14:anchorId="7A7EC247" wp14:editId="481826A6">
            <wp:extent cx="4610100" cy="1752600"/>
            <wp:effectExtent l="0" t="0" r="0" b="0"/>
            <wp:docPr id="947681398" name="Wykres 1">
              <a:extLst xmlns:a="http://schemas.openxmlformats.org/drawingml/2006/main">
                <a:ext uri="{FF2B5EF4-FFF2-40B4-BE49-F238E27FC236}">
                  <a16:creationId xmlns:a16="http://schemas.microsoft.com/office/drawing/2014/main" id="{B1B5DB83-B88F-4D5A-8BA8-60468D64A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B6949D" w14:textId="77777777" w:rsidR="00A17173" w:rsidRPr="00AD7E32" w:rsidRDefault="00A17173" w:rsidP="00A17173">
      <w:pPr>
        <w:jc w:val="center"/>
        <w:rPr>
          <w:rFonts w:ascii="Times New Roman" w:hAnsi="Times New Roman" w:cs="Times New Roman"/>
          <w:i/>
          <w:iCs/>
          <w:sz w:val="20"/>
          <w:szCs w:val="20"/>
        </w:rPr>
      </w:pPr>
      <w:r w:rsidRPr="00AD7E32">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AD7E32">
        <w:rPr>
          <w:rFonts w:ascii="Times New Roman" w:hAnsi="Times New Roman" w:cs="Times New Roman"/>
          <w:i/>
          <w:iCs/>
          <w:sz w:val="20"/>
          <w:szCs w:val="20"/>
        </w:rPr>
        <w:t xml:space="preserve"> własne na podstawie danych GUS</w:t>
      </w:r>
    </w:p>
    <w:p w14:paraId="22AD9FEA" w14:textId="7EEF1C5E" w:rsidR="00E860C3" w:rsidRDefault="00A17173" w:rsidP="00A17173">
      <w:pPr>
        <w:spacing w:after="120" w:line="276" w:lineRule="auto"/>
        <w:ind w:firstLine="709"/>
        <w:jc w:val="both"/>
        <w:rPr>
          <w:rFonts w:ascii="Times New Roman" w:hAnsi="Times New Roman" w:cs="Times New Roman"/>
        </w:rPr>
      </w:pPr>
      <w:r>
        <w:rPr>
          <w:rFonts w:ascii="Times New Roman" w:hAnsi="Times New Roman" w:cs="Times New Roman"/>
        </w:rPr>
        <w:t xml:space="preserve">Równie istotne są dane dotyczące wydatków majątkowych i bieżących w przeliczeniu na 1 mieszkańca. Średnia wartość wydatków majątkowych dla obszaru LGD w 2021 r. wynosiła </w:t>
      </w:r>
      <w:r w:rsidR="00812E5A">
        <w:rPr>
          <w:rFonts w:ascii="Times New Roman" w:hAnsi="Times New Roman" w:cs="Times New Roman"/>
        </w:rPr>
        <w:t>1 047</w:t>
      </w:r>
      <w:r>
        <w:rPr>
          <w:rFonts w:ascii="Times New Roman" w:hAnsi="Times New Roman" w:cs="Times New Roman"/>
        </w:rPr>
        <w:t xml:space="preserve"> zł i była </w:t>
      </w:r>
      <w:r w:rsidR="00812E5A">
        <w:rPr>
          <w:rFonts w:ascii="Times New Roman" w:hAnsi="Times New Roman" w:cs="Times New Roman"/>
        </w:rPr>
        <w:t>wyższa</w:t>
      </w:r>
      <w:r>
        <w:rPr>
          <w:rFonts w:ascii="Times New Roman" w:hAnsi="Times New Roman" w:cs="Times New Roman"/>
        </w:rPr>
        <w:t xml:space="preserve"> od średniej dla województwa (1 0</w:t>
      </w:r>
      <w:r w:rsidR="00812E5A">
        <w:rPr>
          <w:rFonts w:ascii="Times New Roman" w:hAnsi="Times New Roman" w:cs="Times New Roman"/>
        </w:rPr>
        <w:t>38</w:t>
      </w:r>
      <w:r>
        <w:rPr>
          <w:rFonts w:ascii="Times New Roman" w:hAnsi="Times New Roman" w:cs="Times New Roman"/>
        </w:rPr>
        <w:t xml:space="preserve"> zł) i dla kraju (1 026 zł). Natomiast średnia wartość wydatków bieżących dla obszaru LGD </w:t>
      </w:r>
      <w:r w:rsidR="00A32E9A">
        <w:rPr>
          <w:rFonts w:ascii="Times New Roman" w:hAnsi="Times New Roman" w:cs="Times New Roman"/>
        </w:rPr>
        <w:br/>
      </w:r>
      <w:r>
        <w:rPr>
          <w:rFonts w:ascii="Times New Roman" w:hAnsi="Times New Roman" w:cs="Times New Roman"/>
        </w:rPr>
        <w:t xml:space="preserve">w 2021 r. wynosiła </w:t>
      </w:r>
      <w:r w:rsidR="00812E5A">
        <w:rPr>
          <w:rFonts w:ascii="Times New Roman" w:hAnsi="Times New Roman" w:cs="Times New Roman"/>
        </w:rPr>
        <w:t>4 892</w:t>
      </w:r>
      <w:r>
        <w:rPr>
          <w:rFonts w:ascii="Times New Roman" w:hAnsi="Times New Roman" w:cs="Times New Roman"/>
        </w:rPr>
        <w:t xml:space="preserve"> zł i była niższa od średniej dla województwa (5 </w:t>
      </w:r>
      <w:r w:rsidR="006F2054">
        <w:rPr>
          <w:rFonts w:ascii="Times New Roman" w:hAnsi="Times New Roman" w:cs="Times New Roman"/>
        </w:rPr>
        <w:t>307</w:t>
      </w:r>
      <w:r>
        <w:rPr>
          <w:rFonts w:ascii="Times New Roman" w:hAnsi="Times New Roman" w:cs="Times New Roman"/>
        </w:rPr>
        <w:t xml:space="preserve"> zł) i kraju (5 859 zł).</w:t>
      </w:r>
      <w:r w:rsidRPr="000A3E51">
        <w:rPr>
          <w:rFonts w:ascii="Times New Roman" w:hAnsi="Times New Roman" w:cs="Times New Roman"/>
        </w:rPr>
        <w:t xml:space="preserve"> </w:t>
      </w:r>
      <w:r w:rsidRPr="0070639D">
        <w:rPr>
          <w:rFonts w:ascii="Times New Roman" w:hAnsi="Times New Roman" w:cs="Times New Roman"/>
        </w:rPr>
        <w:t xml:space="preserve">Pozytywnym zjawiskiem jest systematyczny wzrost </w:t>
      </w:r>
      <w:r>
        <w:rPr>
          <w:rFonts w:ascii="Times New Roman" w:hAnsi="Times New Roman" w:cs="Times New Roman"/>
        </w:rPr>
        <w:t xml:space="preserve">wydatków bieżących od 2016 r., co przedstawiono w tabeli </w:t>
      </w:r>
      <w:r w:rsidR="006023CD">
        <w:rPr>
          <w:rFonts w:ascii="Times New Roman" w:hAnsi="Times New Roman" w:cs="Times New Roman"/>
        </w:rPr>
        <w:t>9</w:t>
      </w:r>
    </w:p>
    <w:p w14:paraId="1E01DC8E" w14:textId="04F242AD" w:rsidR="00A17173" w:rsidRDefault="00A17173" w:rsidP="00A17173">
      <w:pPr>
        <w:pStyle w:val="Legenda"/>
        <w:spacing w:after="0"/>
        <w:jc w:val="center"/>
        <w:rPr>
          <w:rFonts w:ascii="Times New Roman" w:hAnsi="Times New Roman" w:cs="Times New Roman"/>
          <w:b/>
          <w:bCs/>
          <w:i w:val="0"/>
          <w:iCs w:val="0"/>
          <w:color w:val="000000" w:themeColor="text1"/>
          <w:sz w:val="20"/>
          <w:szCs w:val="20"/>
        </w:rPr>
      </w:pPr>
      <w:bookmarkStart w:id="68" w:name="_Toc135896551"/>
      <w:r w:rsidRPr="008F5BD8">
        <w:rPr>
          <w:rFonts w:ascii="Times New Roman" w:hAnsi="Times New Roman" w:cs="Times New Roman"/>
          <w:b/>
          <w:bCs/>
          <w:i w:val="0"/>
          <w:iCs w:val="0"/>
          <w:color w:val="000000" w:themeColor="text1"/>
          <w:sz w:val="20"/>
          <w:szCs w:val="20"/>
        </w:rPr>
        <w:t xml:space="preserve">Tabela </w:t>
      </w:r>
      <w:r w:rsidRPr="008F5BD8">
        <w:rPr>
          <w:rFonts w:ascii="Times New Roman" w:hAnsi="Times New Roman" w:cs="Times New Roman"/>
          <w:b/>
          <w:bCs/>
          <w:i w:val="0"/>
          <w:iCs w:val="0"/>
          <w:color w:val="000000" w:themeColor="text1"/>
          <w:sz w:val="20"/>
          <w:szCs w:val="20"/>
        </w:rPr>
        <w:fldChar w:fldCharType="begin"/>
      </w:r>
      <w:r w:rsidRPr="008F5BD8">
        <w:rPr>
          <w:rFonts w:ascii="Times New Roman" w:hAnsi="Times New Roman" w:cs="Times New Roman"/>
          <w:b/>
          <w:bCs/>
          <w:i w:val="0"/>
          <w:iCs w:val="0"/>
          <w:color w:val="000000" w:themeColor="text1"/>
          <w:sz w:val="20"/>
          <w:szCs w:val="20"/>
        </w:rPr>
        <w:instrText xml:space="preserve"> SEQ Tabela \* ARABIC </w:instrText>
      </w:r>
      <w:r w:rsidRPr="008F5BD8">
        <w:rPr>
          <w:rFonts w:ascii="Times New Roman" w:hAnsi="Times New Roman" w:cs="Times New Roman"/>
          <w:b/>
          <w:bCs/>
          <w:i w:val="0"/>
          <w:iCs w:val="0"/>
          <w:color w:val="000000" w:themeColor="text1"/>
          <w:sz w:val="20"/>
          <w:szCs w:val="20"/>
        </w:rPr>
        <w:fldChar w:fldCharType="separate"/>
      </w:r>
      <w:r w:rsidR="006023CD">
        <w:rPr>
          <w:rFonts w:ascii="Times New Roman" w:hAnsi="Times New Roman" w:cs="Times New Roman"/>
          <w:b/>
          <w:bCs/>
          <w:i w:val="0"/>
          <w:iCs w:val="0"/>
          <w:noProof/>
          <w:color w:val="000000" w:themeColor="text1"/>
          <w:sz w:val="20"/>
          <w:szCs w:val="20"/>
        </w:rPr>
        <w:t>9</w:t>
      </w:r>
      <w:r w:rsidRPr="008F5BD8">
        <w:rPr>
          <w:rFonts w:ascii="Times New Roman" w:hAnsi="Times New Roman" w:cs="Times New Roman"/>
          <w:b/>
          <w:bCs/>
          <w:i w:val="0"/>
          <w:iCs w:val="0"/>
          <w:color w:val="000000" w:themeColor="text1"/>
          <w:sz w:val="20"/>
          <w:szCs w:val="20"/>
        </w:rPr>
        <w:fldChar w:fldCharType="end"/>
      </w:r>
      <w:r w:rsidRPr="008F5BD8">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 xml:space="preserve">Wydatki majątkowe i wydatki bieżące na 1 mieszkańca (zł) – </w:t>
      </w:r>
      <w:r w:rsidRPr="00394BEE">
        <w:rPr>
          <w:rFonts w:ascii="Times New Roman" w:hAnsi="Times New Roman" w:cs="Times New Roman"/>
          <w:b/>
          <w:bCs/>
          <w:i w:val="0"/>
          <w:iCs w:val="0"/>
          <w:color w:val="000000" w:themeColor="text1"/>
          <w:sz w:val="20"/>
          <w:szCs w:val="20"/>
        </w:rPr>
        <w:t>porównanie średniej</w:t>
      </w:r>
      <w:r>
        <w:rPr>
          <w:rFonts w:ascii="Times New Roman" w:hAnsi="Times New Roman" w:cs="Times New Roman"/>
          <w:b/>
          <w:bCs/>
          <w:i w:val="0"/>
          <w:iCs w:val="0"/>
          <w:color w:val="000000" w:themeColor="text1"/>
          <w:sz w:val="20"/>
          <w:szCs w:val="20"/>
        </w:rPr>
        <w:t xml:space="preserve"> obszaru </w:t>
      </w:r>
      <w:r w:rsidRPr="00394BEE">
        <w:rPr>
          <w:rFonts w:ascii="Times New Roman" w:hAnsi="Times New Roman" w:cs="Times New Roman"/>
          <w:b/>
          <w:bCs/>
          <w:i w:val="0"/>
          <w:iCs w:val="0"/>
          <w:color w:val="000000" w:themeColor="text1"/>
          <w:sz w:val="20"/>
          <w:szCs w:val="20"/>
        </w:rPr>
        <w:t>LGD do województwa i</w:t>
      </w:r>
      <w:r>
        <w:rPr>
          <w:rFonts w:ascii="Times New Roman" w:hAnsi="Times New Roman" w:cs="Times New Roman"/>
          <w:b/>
          <w:bCs/>
          <w:i w:val="0"/>
          <w:iCs w:val="0"/>
          <w:color w:val="000000" w:themeColor="text1"/>
          <w:sz w:val="20"/>
          <w:szCs w:val="20"/>
        </w:rPr>
        <w:t> </w:t>
      </w:r>
      <w:r w:rsidRPr="00394BEE">
        <w:rPr>
          <w:rFonts w:ascii="Times New Roman" w:hAnsi="Times New Roman" w:cs="Times New Roman"/>
          <w:b/>
          <w:bCs/>
          <w:i w:val="0"/>
          <w:iCs w:val="0"/>
          <w:color w:val="000000" w:themeColor="text1"/>
          <w:sz w:val="20"/>
          <w:szCs w:val="20"/>
        </w:rPr>
        <w:t>kraju w latach 201</w:t>
      </w:r>
      <w:r>
        <w:rPr>
          <w:rFonts w:ascii="Times New Roman" w:hAnsi="Times New Roman" w:cs="Times New Roman"/>
          <w:b/>
          <w:bCs/>
          <w:i w:val="0"/>
          <w:iCs w:val="0"/>
          <w:color w:val="000000" w:themeColor="text1"/>
          <w:sz w:val="20"/>
          <w:szCs w:val="20"/>
        </w:rPr>
        <w:t>6</w:t>
      </w:r>
      <w:r w:rsidRPr="00394BEE">
        <w:rPr>
          <w:rFonts w:ascii="Times New Roman" w:hAnsi="Times New Roman" w:cs="Times New Roman"/>
          <w:b/>
          <w:bCs/>
          <w:i w:val="0"/>
          <w:iCs w:val="0"/>
          <w:color w:val="000000" w:themeColor="text1"/>
          <w:sz w:val="20"/>
          <w:szCs w:val="20"/>
        </w:rPr>
        <w:t>–202</w:t>
      </w:r>
      <w:r>
        <w:rPr>
          <w:rFonts w:ascii="Times New Roman" w:hAnsi="Times New Roman" w:cs="Times New Roman"/>
          <w:b/>
          <w:bCs/>
          <w:i w:val="0"/>
          <w:iCs w:val="0"/>
          <w:color w:val="000000" w:themeColor="text1"/>
          <w:sz w:val="20"/>
          <w:szCs w:val="20"/>
        </w:rPr>
        <w:t>1</w:t>
      </w:r>
      <w:bookmarkEnd w:id="68"/>
    </w:p>
    <w:tbl>
      <w:tblPr>
        <w:tblW w:w="5000" w:type="pct"/>
        <w:tblCellMar>
          <w:left w:w="70" w:type="dxa"/>
          <w:right w:w="70" w:type="dxa"/>
        </w:tblCellMar>
        <w:tblLook w:val="04A0" w:firstRow="1" w:lastRow="0" w:firstColumn="1" w:lastColumn="0" w:noHBand="0" w:noVBand="1"/>
      </w:tblPr>
      <w:tblGrid>
        <w:gridCol w:w="2866"/>
        <w:gridCol w:w="540"/>
        <w:gridCol w:w="621"/>
        <w:gridCol w:w="622"/>
        <w:gridCol w:w="624"/>
        <w:gridCol w:w="624"/>
        <w:gridCol w:w="634"/>
        <w:gridCol w:w="612"/>
        <w:gridCol w:w="612"/>
        <w:gridCol w:w="612"/>
        <w:gridCol w:w="612"/>
        <w:gridCol w:w="612"/>
        <w:gridCol w:w="603"/>
      </w:tblGrid>
      <w:tr w:rsidR="00A17173" w:rsidRPr="001A3DF1" w14:paraId="44AACD83" w14:textId="77777777" w:rsidTr="00E15165">
        <w:trPr>
          <w:trHeight w:val="340"/>
        </w:trPr>
        <w:tc>
          <w:tcPr>
            <w:tcW w:w="1406"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76EC75"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Jednostka terytorialna</w:t>
            </w:r>
          </w:p>
        </w:tc>
        <w:tc>
          <w:tcPr>
            <w:tcW w:w="1798"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155A192D"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Wydatki majątkowe na 1 mieszkańca</w:t>
            </w:r>
          </w:p>
        </w:tc>
        <w:tc>
          <w:tcPr>
            <w:tcW w:w="1797"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3C849091"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Wydatki bieżące na 1 mieszkańca</w:t>
            </w:r>
          </w:p>
        </w:tc>
      </w:tr>
      <w:tr w:rsidR="00A17173" w:rsidRPr="001A3DF1" w14:paraId="61C286C1" w14:textId="77777777" w:rsidTr="00812E5A">
        <w:trPr>
          <w:trHeight w:val="340"/>
        </w:trPr>
        <w:tc>
          <w:tcPr>
            <w:tcW w:w="1406" w:type="pct"/>
            <w:vMerge/>
            <w:tcBorders>
              <w:top w:val="single" w:sz="4" w:space="0" w:color="auto"/>
              <w:left w:val="single" w:sz="4" w:space="0" w:color="auto"/>
              <w:bottom w:val="single" w:sz="4" w:space="0" w:color="auto"/>
              <w:right w:val="single" w:sz="4" w:space="0" w:color="auto"/>
            </w:tcBorders>
            <w:vAlign w:val="center"/>
            <w:hideMark/>
          </w:tcPr>
          <w:p w14:paraId="679AF553" w14:textId="77777777" w:rsidR="00A17173" w:rsidRPr="001A3DF1"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265" w:type="pct"/>
            <w:tcBorders>
              <w:top w:val="nil"/>
              <w:left w:val="nil"/>
              <w:bottom w:val="single" w:sz="4" w:space="0" w:color="auto"/>
              <w:right w:val="single" w:sz="4" w:space="0" w:color="auto"/>
            </w:tcBorders>
            <w:shd w:val="clear" w:color="000000" w:fill="F2F2F2"/>
            <w:noWrap/>
            <w:vAlign w:val="center"/>
            <w:hideMark/>
          </w:tcPr>
          <w:p w14:paraId="3EC27015"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2016</w:t>
            </w:r>
          </w:p>
        </w:tc>
        <w:tc>
          <w:tcPr>
            <w:tcW w:w="305" w:type="pct"/>
            <w:tcBorders>
              <w:top w:val="nil"/>
              <w:left w:val="nil"/>
              <w:bottom w:val="single" w:sz="4" w:space="0" w:color="auto"/>
              <w:right w:val="single" w:sz="4" w:space="0" w:color="auto"/>
            </w:tcBorders>
            <w:shd w:val="clear" w:color="000000" w:fill="F2F2F2"/>
            <w:noWrap/>
            <w:vAlign w:val="center"/>
            <w:hideMark/>
          </w:tcPr>
          <w:p w14:paraId="4452A3EE"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2017</w:t>
            </w:r>
          </w:p>
        </w:tc>
        <w:tc>
          <w:tcPr>
            <w:tcW w:w="305" w:type="pct"/>
            <w:tcBorders>
              <w:top w:val="nil"/>
              <w:left w:val="nil"/>
              <w:bottom w:val="single" w:sz="4" w:space="0" w:color="auto"/>
              <w:right w:val="single" w:sz="4" w:space="0" w:color="auto"/>
            </w:tcBorders>
            <w:shd w:val="clear" w:color="000000" w:fill="F2F2F2"/>
            <w:noWrap/>
            <w:vAlign w:val="center"/>
            <w:hideMark/>
          </w:tcPr>
          <w:p w14:paraId="3167B42F"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2018</w:t>
            </w:r>
          </w:p>
        </w:tc>
        <w:tc>
          <w:tcPr>
            <w:tcW w:w="306" w:type="pct"/>
            <w:tcBorders>
              <w:top w:val="nil"/>
              <w:left w:val="nil"/>
              <w:bottom w:val="single" w:sz="4" w:space="0" w:color="auto"/>
              <w:right w:val="single" w:sz="4" w:space="0" w:color="auto"/>
            </w:tcBorders>
            <w:shd w:val="clear" w:color="000000" w:fill="F2F2F2"/>
            <w:noWrap/>
            <w:vAlign w:val="center"/>
            <w:hideMark/>
          </w:tcPr>
          <w:p w14:paraId="727836ED"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2019</w:t>
            </w:r>
          </w:p>
        </w:tc>
        <w:tc>
          <w:tcPr>
            <w:tcW w:w="306" w:type="pct"/>
            <w:tcBorders>
              <w:top w:val="nil"/>
              <w:left w:val="nil"/>
              <w:bottom w:val="single" w:sz="4" w:space="0" w:color="auto"/>
              <w:right w:val="single" w:sz="4" w:space="0" w:color="auto"/>
            </w:tcBorders>
            <w:shd w:val="clear" w:color="000000" w:fill="F2F2F2"/>
            <w:noWrap/>
            <w:vAlign w:val="center"/>
            <w:hideMark/>
          </w:tcPr>
          <w:p w14:paraId="08E029B9"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2020</w:t>
            </w:r>
          </w:p>
        </w:tc>
        <w:tc>
          <w:tcPr>
            <w:tcW w:w="311" w:type="pct"/>
            <w:tcBorders>
              <w:top w:val="nil"/>
              <w:left w:val="nil"/>
              <w:bottom w:val="single" w:sz="4" w:space="0" w:color="auto"/>
              <w:right w:val="single" w:sz="4" w:space="0" w:color="auto"/>
            </w:tcBorders>
            <w:shd w:val="clear" w:color="000000" w:fill="F2F2F2"/>
            <w:noWrap/>
            <w:vAlign w:val="center"/>
            <w:hideMark/>
          </w:tcPr>
          <w:p w14:paraId="1AAD48FE"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2021</w:t>
            </w:r>
          </w:p>
        </w:tc>
        <w:tc>
          <w:tcPr>
            <w:tcW w:w="300" w:type="pct"/>
            <w:tcBorders>
              <w:top w:val="nil"/>
              <w:left w:val="nil"/>
              <w:bottom w:val="single" w:sz="4" w:space="0" w:color="auto"/>
              <w:right w:val="single" w:sz="4" w:space="0" w:color="auto"/>
            </w:tcBorders>
            <w:shd w:val="clear" w:color="000000" w:fill="F2F2F2"/>
            <w:noWrap/>
            <w:vAlign w:val="center"/>
            <w:hideMark/>
          </w:tcPr>
          <w:p w14:paraId="04D60740"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2016</w:t>
            </w:r>
          </w:p>
        </w:tc>
        <w:tc>
          <w:tcPr>
            <w:tcW w:w="300" w:type="pct"/>
            <w:tcBorders>
              <w:top w:val="nil"/>
              <w:left w:val="nil"/>
              <w:bottom w:val="single" w:sz="4" w:space="0" w:color="auto"/>
              <w:right w:val="single" w:sz="4" w:space="0" w:color="auto"/>
            </w:tcBorders>
            <w:shd w:val="clear" w:color="000000" w:fill="F2F2F2"/>
            <w:noWrap/>
            <w:vAlign w:val="center"/>
            <w:hideMark/>
          </w:tcPr>
          <w:p w14:paraId="21E0E6F6"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2017</w:t>
            </w:r>
          </w:p>
        </w:tc>
        <w:tc>
          <w:tcPr>
            <w:tcW w:w="300" w:type="pct"/>
            <w:tcBorders>
              <w:top w:val="nil"/>
              <w:left w:val="nil"/>
              <w:bottom w:val="single" w:sz="4" w:space="0" w:color="auto"/>
              <w:right w:val="single" w:sz="4" w:space="0" w:color="auto"/>
            </w:tcBorders>
            <w:shd w:val="clear" w:color="000000" w:fill="F2F2F2"/>
            <w:noWrap/>
            <w:vAlign w:val="center"/>
            <w:hideMark/>
          </w:tcPr>
          <w:p w14:paraId="4C09347F"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2018</w:t>
            </w:r>
          </w:p>
        </w:tc>
        <w:tc>
          <w:tcPr>
            <w:tcW w:w="300" w:type="pct"/>
            <w:tcBorders>
              <w:top w:val="nil"/>
              <w:left w:val="nil"/>
              <w:bottom w:val="single" w:sz="4" w:space="0" w:color="auto"/>
              <w:right w:val="single" w:sz="4" w:space="0" w:color="auto"/>
            </w:tcBorders>
            <w:shd w:val="clear" w:color="000000" w:fill="F2F2F2"/>
            <w:noWrap/>
            <w:vAlign w:val="center"/>
            <w:hideMark/>
          </w:tcPr>
          <w:p w14:paraId="182FD0C5"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2019</w:t>
            </w:r>
          </w:p>
        </w:tc>
        <w:tc>
          <w:tcPr>
            <w:tcW w:w="300" w:type="pct"/>
            <w:tcBorders>
              <w:top w:val="nil"/>
              <w:left w:val="nil"/>
              <w:bottom w:val="single" w:sz="4" w:space="0" w:color="auto"/>
              <w:right w:val="single" w:sz="4" w:space="0" w:color="auto"/>
            </w:tcBorders>
            <w:shd w:val="clear" w:color="000000" w:fill="F2F2F2"/>
            <w:noWrap/>
            <w:vAlign w:val="center"/>
            <w:hideMark/>
          </w:tcPr>
          <w:p w14:paraId="7D68C6DE"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2020</w:t>
            </w:r>
          </w:p>
        </w:tc>
        <w:tc>
          <w:tcPr>
            <w:tcW w:w="296" w:type="pct"/>
            <w:tcBorders>
              <w:top w:val="nil"/>
              <w:left w:val="nil"/>
              <w:bottom w:val="single" w:sz="4" w:space="0" w:color="auto"/>
              <w:right w:val="single" w:sz="4" w:space="0" w:color="auto"/>
            </w:tcBorders>
            <w:shd w:val="clear" w:color="000000" w:fill="F2F2F2"/>
            <w:noWrap/>
            <w:vAlign w:val="center"/>
            <w:hideMark/>
          </w:tcPr>
          <w:p w14:paraId="37A2206B" w14:textId="77777777" w:rsidR="00A17173" w:rsidRPr="001A3DF1"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1A3DF1">
              <w:rPr>
                <w:rFonts w:ascii="Times New Roman" w:eastAsia="Times New Roman" w:hAnsi="Times New Roman" w:cs="Times New Roman"/>
                <w:b/>
                <w:bCs/>
                <w:color w:val="000000"/>
                <w:sz w:val="20"/>
                <w:szCs w:val="20"/>
                <w:lang w:eastAsia="pl-PL"/>
              </w:rPr>
              <w:t>2021</w:t>
            </w:r>
          </w:p>
        </w:tc>
      </w:tr>
      <w:tr w:rsidR="00812E5A" w:rsidRPr="001A3DF1" w14:paraId="5C5A9375" w14:textId="77777777" w:rsidTr="00812E5A">
        <w:trPr>
          <w:trHeight w:val="340"/>
        </w:trPr>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EB88ACD" w14:textId="0C89941C" w:rsidR="00812E5A" w:rsidRPr="001A3DF1" w:rsidRDefault="00812E5A" w:rsidP="00812E5A">
            <w:pPr>
              <w:spacing w:after="0" w:line="240" w:lineRule="auto"/>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Bialskopodlaska LGD</w:t>
            </w:r>
          </w:p>
        </w:tc>
        <w:tc>
          <w:tcPr>
            <w:tcW w:w="265" w:type="pct"/>
            <w:tcBorders>
              <w:top w:val="nil"/>
              <w:left w:val="nil"/>
              <w:bottom w:val="single" w:sz="4" w:space="0" w:color="auto"/>
              <w:right w:val="single" w:sz="4" w:space="0" w:color="auto"/>
            </w:tcBorders>
            <w:shd w:val="clear" w:color="auto" w:fill="auto"/>
            <w:noWrap/>
            <w:vAlign w:val="center"/>
            <w:hideMark/>
          </w:tcPr>
          <w:p w14:paraId="08B1E1DF" w14:textId="4A61C207" w:rsidR="00812E5A" w:rsidRPr="001A3DF1"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330</w:t>
            </w:r>
          </w:p>
        </w:tc>
        <w:tc>
          <w:tcPr>
            <w:tcW w:w="305" w:type="pct"/>
            <w:tcBorders>
              <w:top w:val="nil"/>
              <w:left w:val="nil"/>
              <w:bottom w:val="single" w:sz="4" w:space="0" w:color="auto"/>
              <w:right w:val="single" w:sz="4" w:space="0" w:color="auto"/>
            </w:tcBorders>
            <w:shd w:val="clear" w:color="auto" w:fill="auto"/>
            <w:noWrap/>
            <w:vAlign w:val="center"/>
            <w:hideMark/>
          </w:tcPr>
          <w:p w14:paraId="2B32E42E" w14:textId="4DE5FCB1" w:rsidR="00812E5A" w:rsidRPr="001A3DF1"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618</w:t>
            </w:r>
          </w:p>
        </w:tc>
        <w:tc>
          <w:tcPr>
            <w:tcW w:w="305" w:type="pct"/>
            <w:tcBorders>
              <w:top w:val="nil"/>
              <w:left w:val="nil"/>
              <w:bottom w:val="single" w:sz="4" w:space="0" w:color="auto"/>
              <w:right w:val="single" w:sz="4" w:space="0" w:color="auto"/>
            </w:tcBorders>
            <w:shd w:val="clear" w:color="auto" w:fill="auto"/>
            <w:noWrap/>
            <w:vAlign w:val="center"/>
            <w:hideMark/>
          </w:tcPr>
          <w:p w14:paraId="5A688D14" w14:textId="47E04287" w:rsidR="00812E5A" w:rsidRPr="001A3DF1"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1 433</w:t>
            </w:r>
          </w:p>
        </w:tc>
        <w:tc>
          <w:tcPr>
            <w:tcW w:w="306" w:type="pct"/>
            <w:tcBorders>
              <w:top w:val="nil"/>
              <w:left w:val="nil"/>
              <w:bottom w:val="single" w:sz="4" w:space="0" w:color="auto"/>
              <w:right w:val="single" w:sz="4" w:space="0" w:color="auto"/>
            </w:tcBorders>
            <w:shd w:val="clear" w:color="auto" w:fill="auto"/>
            <w:noWrap/>
            <w:vAlign w:val="center"/>
            <w:hideMark/>
          </w:tcPr>
          <w:p w14:paraId="77F92655" w14:textId="1D82BF91" w:rsidR="00812E5A" w:rsidRPr="001A3DF1"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902</w:t>
            </w:r>
          </w:p>
        </w:tc>
        <w:tc>
          <w:tcPr>
            <w:tcW w:w="306" w:type="pct"/>
            <w:tcBorders>
              <w:top w:val="nil"/>
              <w:left w:val="nil"/>
              <w:bottom w:val="single" w:sz="4" w:space="0" w:color="auto"/>
              <w:right w:val="single" w:sz="4" w:space="0" w:color="auto"/>
            </w:tcBorders>
            <w:shd w:val="clear" w:color="auto" w:fill="auto"/>
            <w:noWrap/>
            <w:vAlign w:val="center"/>
            <w:hideMark/>
          </w:tcPr>
          <w:p w14:paraId="2C408490" w14:textId="4B5C2B40" w:rsidR="00812E5A" w:rsidRPr="00466FFA"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872</w:t>
            </w:r>
          </w:p>
        </w:tc>
        <w:tc>
          <w:tcPr>
            <w:tcW w:w="311" w:type="pct"/>
            <w:tcBorders>
              <w:top w:val="nil"/>
              <w:left w:val="nil"/>
              <w:bottom w:val="single" w:sz="4" w:space="0" w:color="auto"/>
              <w:right w:val="single" w:sz="4" w:space="0" w:color="auto"/>
            </w:tcBorders>
            <w:shd w:val="clear" w:color="auto" w:fill="auto"/>
            <w:noWrap/>
            <w:vAlign w:val="center"/>
            <w:hideMark/>
          </w:tcPr>
          <w:p w14:paraId="422A618D" w14:textId="10D84E06" w:rsidR="00812E5A" w:rsidRPr="00466FFA"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1 047</w:t>
            </w:r>
          </w:p>
        </w:tc>
        <w:tc>
          <w:tcPr>
            <w:tcW w:w="300" w:type="pct"/>
            <w:tcBorders>
              <w:top w:val="nil"/>
              <w:left w:val="nil"/>
              <w:bottom w:val="single" w:sz="4" w:space="0" w:color="auto"/>
              <w:right w:val="single" w:sz="4" w:space="0" w:color="auto"/>
            </w:tcBorders>
            <w:shd w:val="clear" w:color="auto" w:fill="auto"/>
            <w:noWrap/>
            <w:vAlign w:val="center"/>
            <w:hideMark/>
          </w:tcPr>
          <w:p w14:paraId="6EED44DF" w14:textId="148D8B4C" w:rsidR="00812E5A" w:rsidRPr="001A3DF1"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3 427</w:t>
            </w:r>
          </w:p>
        </w:tc>
        <w:tc>
          <w:tcPr>
            <w:tcW w:w="300" w:type="pct"/>
            <w:tcBorders>
              <w:top w:val="nil"/>
              <w:left w:val="nil"/>
              <w:bottom w:val="single" w:sz="4" w:space="0" w:color="auto"/>
              <w:right w:val="single" w:sz="4" w:space="0" w:color="auto"/>
            </w:tcBorders>
            <w:shd w:val="clear" w:color="auto" w:fill="auto"/>
            <w:noWrap/>
            <w:vAlign w:val="center"/>
            <w:hideMark/>
          </w:tcPr>
          <w:p w14:paraId="1F78195F" w14:textId="5E77361A" w:rsidR="00812E5A" w:rsidRPr="001A3DF1"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3 732</w:t>
            </w:r>
          </w:p>
        </w:tc>
        <w:tc>
          <w:tcPr>
            <w:tcW w:w="300" w:type="pct"/>
            <w:tcBorders>
              <w:top w:val="nil"/>
              <w:left w:val="nil"/>
              <w:bottom w:val="single" w:sz="4" w:space="0" w:color="auto"/>
              <w:right w:val="single" w:sz="4" w:space="0" w:color="auto"/>
            </w:tcBorders>
            <w:shd w:val="clear" w:color="auto" w:fill="auto"/>
            <w:noWrap/>
            <w:vAlign w:val="center"/>
            <w:hideMark/>
          </w:tcPr>
          <w:p w14:paraId="5D721CD0" w14:textId="671DD2BF" w:rsidR="00812E5A" w:rsidRPr="001A3DF1"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3 891</w:t>
            </w:r>
          </w:p>
        </w:tc>
        <w:tc>
          <w:tcPr>
            <w:tcW w:w="300" w:type="pct"/>
            <w:tcBorders>
              <w:top w:val="nil"/>
              <w:left w:val="nil"/>
              <w:bottom w:val="single" w:sz="4" w:space="0" w:color="auto"/>
              <w:right w:val="single" w:sz="4" w:space="0" w:color="auto"/>
            </w:tcBorders>
            <w:shd w:val="clear" w:color="auto" w:fill="auto"/>
            <w:noWrap/>
            <w:vAlign w:val="center"/>
            <w:hideMark/>
          </w:tcPr>
          <w:p w14:paraId="7DC84674" w14:textId="4D814C59" w:rsidR="00812E5A" w:rsidRPr="001A3DF1"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4 224</w:t>
            </w:r>
          </w:p>
        </w:tc>
        <w:tc>
          <w:tcPr>
            <w:tcW w:w="300" w:type="pct"/>
            <w:tcBorders>
              <w:top w:val="nil"/>
              <w:left w:val="nil"/>
              <w:bottom w:val="single" w:sz="4" w:space="0" w:color="auto"/>
              <w:right w:val="single" w:sz="4" w:space="0" w:color="auto"/>
            </w:tcBorders>
            <w:shd w:val="clear" w:color="auto" w:fill="auto"/>
            <w:noWrap/>
            <w:vAlign w:val="center"/>
            <w:hideMark/>
          </w:tcPr>
          <w:p w14:paraId="0743C9C1" w14:textId="5BFB32C6" w:rsidR="00812E5A" w:rsidRPr="00466FFA"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4 644</w:t>
            </w:r>
          </w:p>
        </w:tc>
        <w:tc>
          <w:tcPr>
            <w:tcW w:w="296" w:type="pct"/>
            <w:tcBorders>
              <w:top w:val="nil"/>
              <w:left w:val="nil"/>
              <w:bottom w:val="single" w:sz="4" w:space="0" w:color="auto"/>
              <w:right w:val="single" w:sz="4" w:space="0" w:color="auto"/>
            </w:tcBorders>
            <w:shd w:val="clear" w:color="auto" w:fill="auto"/>
            <w:noWrap/>
            <w:vAlign w:val="center"/>
            <w:hideMark/>
          </w:tcPr>
          <w:p w14:paraId="4E9F9D18" w14:textId="453F5610" w:rsidR="00812E5A" w:rsidRPr="00466FFA" w:rsidRDefault="00812E5A" w:rsidP="00812E5A">
            <w:pPr>
              <w:spacing w:after="0" w:line="240" w:lineRule="auto"/>
              <w:jc w:val="center"/>
              <w:rPr>
                <w:rFonts w:ascii="Times New Roman" w:eastAsia="Times New Roman" w:hAnsi="Times New Roman" w:cs="Times New Roman"/>
                <w:b/>
                <w:bCs/>
                <w:color w:val="000000"/>
                <w:sz w:val="20"/>
                <w:szCs w:val="20"/>
                <w:lang w:eastAsia="pl-PL"/>
              </w:rPr>
            </w:pPr>
            <w:r w:rsidRPr="00FD4CC0">
              <w:rPr>
                <w:rFonts w:ascii="Times New Roman" w:eastAsia="Times New Roman" w:hAnsi="Times New Roman" w:cs="Times New Roman"/>
                <w:b/>
                <w:bCs/>
                <w:color w:val="000000"/>
                <w:sz w:val="20"/>
                <w:szCs w:val="20"/>
                <w:lang w:eastAsia="pl-PL"/>
              </w:rPr>
              <w:t>4 892</w:t>
            </w:r>
          </w:p>
        </w:tc>
      </w:tr>
      <w:tr w:rsidR="00812E5A" w:rsidRPr="001A3DF1" w14:paraId="0FECF137" w14:textId="77777777" w:rsidTr="00812E5A">
        <w:trPr>
          <w:trHeight w:val="340"/>
        </w:trPr>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19D7E55E" w14:textId="7F957213" w:rsidR="00812E5A" w:rsidRPr="001A3DF1" w:rsidRDefault="00812E5A" w:rsidP="00812E5A">
            <w:pPr>
              <w:spacing w:after="0" w:line="240" w:lineRule="auto"/>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województwo lubelskie</w:t>
            </w:r>
          </w:p>
        </w:tc>
        <w:tc>
          <w:tcPr>
            <w:tcW w:w="265" w:type="pct"/>
            <w:tcBorders>
              <w:top w:val="nil"/>
              <w:left w:val="nil"/>
              <w:bottom w:val="single" w:sz="4" w:space="0" w:color="auto"/>
              <w:right w:val="single" w:sz="4" w:space="0" w:color="auto"/>
            </w:tcBorders>
            <w:shd w:val="clear" w:color="auto" w:fill="auto"/>
            <w:noWrap/>
            <w:vAlign w:val="center"/>
            <w:hideMark/>
          </w:tcPr>
          <w:p w14:paraId="0A871647" w14:textId="5B551FDD" w:rsidR="00812E5A" w:rsidRPr="001A3DF1"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394</w:t>
            </w:r>
          </w:p>
        </w:tc>
        <w:tc>
          <w:tcPr>
            <w:tcW w:w="305" w:type="pct"/>
            <w:tcBorders>
              <w:top w:val="nil"/>
              <w:left w:val="nil"/>
              <w:bottom w:val="single" w:sz="4" w:space="0" w:color="auto"/>
              <w:right w:val="single" w:sz="4" w:space="0" w:color="auto"/>
            </w:tcBorders>
            <w:shd w:val="clear" w:color="auto" w:fill="auto"/>
            <w:noWrap/>
            <w:vAlign w:val="center"/>
            <w:hideMark/>
          </w:tcPr>
          <w:p w14:paraId="7B6E4E13" w14:textId="7C332D75" w:rsidR="00812E5A" w:rsidRPr="001A3DF1"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592</w:t>
            </w:r>
          </w:p>
        </w:tc>
        <w:tc>
          <w:tcPr>
            <w:tcW w:w="305" w:type="pct"/>
            <w:tcBorders>
              <w:top w:val="nil"/>
              <w:left w:val="nil"/>
              <w:bottom w:val="single" w:sz="4" w:space="0" w:color="auto"/>
              <w:right w:val="single" w:sz="4" w:space="0" w:color="auto"/>
            </w:tcBorders>
            <w:shd w:val="clear" w:color="auto" w:fill="auto"/>
            <w:noWrap/>
            <w:vAlign w:val="center"/>
            <w:hideMark/>
          </w:tcPr>
          <w:p w14:paraId="51B61627" w14:textId="5C977158" w:rsidR="00812E5A" w:rsidRPr="001A3DF1"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1 034</w:t>
            </w:r>
          </w:p>
        </w:tc>
        <w:tc>
          <w:tcPr>
            <w:tcW w:w="306" w:type="pct"/>
            <w:tcBorders>
              <w:top w:val="nil"/>
              <w:left w:val="nil"/>
              <w:bottom w:val="single" w:sz="4" w:space="0" w:color="auto"/>
              <w:right w:val="single" w:sz="4" w:space="0" w:color="auto"/>
            </w:tcBorders>
            <w:shd w:val="clear" w:color="auto" w:fill="auto"/>
            <w:noWrap/>
            <w:vAlign w:val="center"/>
            <w:hideMark/>
          </w:tcPr>
          <w:p w14:paraId="517CBBB2" w14:textId="245C9191" w:rsidR="00812E5A" w:rsidRPr="001A3DF1"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943</w:t>
            </w:r>
          </w:p>
        </w:tc>
        <w:tc>
          <w:tcPr>
            <w:tcW w:w="306" w:type="pct"/>
            <w:tcBorders>
              <w:top w:val="nil"/>
              <w:left w:val="nil"/>
              <w:bottom w:val="single" w:sz="4" w:space="0" w:color="auto"/>
              <w:right w:val="single" w:sz="4" w:space="0" w:color="auto"/>
            </w:tcBorders>
            <w:shd w:val="clear" w:color="auto" w:fill="auto"/>
            <w:noWrap/>
            <w:vAlign w:val="center"/>
            <w:hideMark/>
          </w:tcPr>
          <w:p w14:paraId="39397A39" w14:textId="2971ED00" w:rsidR="00812E5A" w:rsidRPr="00466FFA"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1 009</w:t>
            </w:r>
          </w:p>
        </w:tc>
        <w:tc>
          <w:tcPr>
            <w:tcW w:w="311" w:type="pct"/>
            <w:tcBorders>
              <w:top w:val="nil"/>
              <w:left w:val="nil"/>
              <w:bottom w:val="single" w:sz="4" w:space="0" w:color="auto"/>
              <w:right w:val="single" w:sz="4" w:space="0" w:color="auto"/>
            </w:tcBorders>
            <w:shd w:val="clear" w:color="auto" w:fill="auto"/>
            <w:noWrap/>
            <w:vAlign w:val="center"/>
            <w:hideMark/>
          </w:tcPr>
          <w:p w14:paraId="6D12BF63" w14:textId="4E047019" w:rsidR="00812E5A" w:rsidRPr="00466FFA"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1 038</w:t>
            </w:r>
          </w:p>
        </w:tc>
        <w:tc>
          <w:tcPr>
            <w:tcW w:w="300" w:type="pct"/>
            <w:tcBorders>
              <w:top w:val="nil"/>
              <w:left w:val="nil"/>
              <w:bottom w:val="single" w:sz="4" w:space="0" w:color="auto"/>
              <w:right w:val="single" w:sz="4" w:space="0" w:color="auto"/>
            </w:tcBorders>
            <w:shd w:val="clear" w:color="auto" w:fill="auto"/>
            <w:noWrap/>
            <w:vAlign w:val="center"/>
            <w:hideMark/>
          </w:tcPr>
          <w:p w14:paraId="03451B46" w14:textId="01E75566" w:rsidR="00812E5A" w:rsidRPr="001A3DF1"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3 574</w:t>
            </w:r>
          </w:p>
        </w:tc>
        <w:tc>
          <w:tcPr>
            <w:tcW w:w="300" w:type="pct"/>
            <w:tcBorders>
              <w:top w:val="nil"/>
              <w:left w:val="nil"/>
              <w:bottom w:val="single" w:sz="4" w:space="0" w:color="auto"/>
              <w:right w:val="single" w:sz="4" w:space="0" w:color="auto"/>
            </w:tcBorders>
            <w:shd w:val="clear" w:color="auto" w:fill="auto"/>
            <w:noWrap/>
            <w:vAlign w:val="center"/>
            <w:hideMark/>
          </w:tcPr>
          <w:p w14:paraId="0D340BE6" w14:textId="4D926D8A" w:rsidR="00812E5A" w:rsidRPr="001A3DF1"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3 886</w:t>
            </w:r>
          </w:p>
        </w:tc>
        <w:tc>
          <w:tcPr>
            <w:tcW w:w="300" w:type="pct"/>
            <w:tcBorders>
              <w:top w:val="nil"/>
              <w:left w:val="nil"/>
              <w:bottom w:val="single" w:sz="4" w:space="0" w:color="auto"/>
              <w:right w:val="single" w:sz="4" w:space="0" w:color="auto"/>
            </w:tcBorders>
            <w:shd w:val="clear" w:color="auto" w:fill="auto"/>
            <w:noWrap/>
            <w:vAlign w:val="center"/>
            <w:hideMark/>
          </w:tcPr>
          <w:p w14:paraId="20B92444" w14:textId="465EFC2E" w:rsidR="00812E5A" w:rsidRPr="001A3DF1"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4 101</w:t>
            </w:r>
          </w:p>
        </w:tc>
        <w:tc>
          <w:tcPr>
            <w:tcW w:w="300" w:type="pct"/>
            <w:tcBorders>
              <w:top w:val="nil"/>
              <w:left w:val="nil"/>
              <w:bottom w:val="single" w:sz="4" w:space="0" w:color="auto"/>
              <w:right w:val="single" w:sz="4" w:space="0" w:color="auto"/>
            </w:tcBorders>
            <w:shd w:val="clear" w:color="auto" w:fill="auto"/>
            <w:noWrap/>
            <w:vAlign w:val="center"/>
            <w:hideMark/>
          </w:tcPr>
          <w:p w14:paraId="79B10787" w14:textId="4466D1CA" w:rsidR="00812E5A" w:rsidRPr="001A3DF1"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4 529</w:t>
            </w:r>
          </w:p>
        </w:tc>
        <w:tc>
          <w:tcPr>
            <w:tcW w:w="300" w:type="pct"/>
            <w:tcBorders>
              <w:top w:val="nil"/>
              <w:left w:val="nil"/>
              <w:bottom w:val="single" w:sz="4" w:space="0" w:color="auto"/>
              <w:right w:val="single" w:sz="4" w:space="0" w:color="auto"/>
            </w:tcBorders>
            <w:shd w:val="clear" w:color="auto" w:fill="auto"/>
            <w:noWrap/>
            <w:vAlign w:val="center"/>
            <w:hideMark/>
          </w:tcPr>
          <w:p w14:paraId="177AB7E6" w14:textId="6EBC5D38" w:rsidR="00812E5A" w:rsidRPr="00466FFA"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4 985</w:t>
            </w:r>
          </w:p>
        </w:tc>
        <w:tc>
          <w:tcPr>
            <w:tcW w:w="296" w:type="pct"/>
            <w:tcBorders>
              <w:top w:val="nil"/>
              <w:left w:val="nil"/>
              <w:bottom w:val="single" w:sz="4" w:space="0" w:color="auto"/>
              <w:right w:val="single" w:sz="4" w:space="0" w:color="auto"/>
            </w:tcBorders>
            <w:shd w:val="clear" w:color="auto" w:fill="auto"/>
            <w:noWrap/>
            <w:vAlign w:val="center"/>
            <w:hideMark/>
          </w:tcPr>
          <w:p w14:paraId="59EDB95C" w14:textId="0105CB60" w:rsidR="00812E5A" w:rsidRPr="00466FFA" w:rsidRDefault="00812E5A" w:rsidP="00812E5A">
            <w:pPr>
              <w:spacing w:after="0" w:line="240" w:lineRule="auto"/>
              <w:jc w:val="center"/>
              <w:rPr>
                <w:rFonts w:ascii="Times New Roman" w:eastAsia="Times New Roman" w:hAnsi="Times New Roman" w:cs="Times New Roman"/>
                <w:color w:val="000000"/>
                <w:sz w:val="20"/>
                <w:szCs w:val="20"/>
                <w:lang w:eastAsia="pl-PL"/>
              </w:rPr>
            </w:pPr>
            <w:r w:rsidRPr="00FD4CC0">
              <w:rPr>
                <w:rFonts w:ascii="Times New Roman" w:eastAsia="Times New Roman" w:hAnsi="Times New Roman" w:cs="Times New Roman"/>
                <w:color w:val="000000"/>
                <w:sz w:val="20"/>
                <w:szCs w:val="20"/>
                <w:lang w:eastAsia="pl-PL"/>
              </w:rPr>
              <w:t>5 307</w:t>
            </w:r>
          </w:p>
        </w:tc>
      </w:tr>
      <w:tr w:rsidR="00A17173" w:rsidRPr="001A3DF1" w14:paraId="1BF24E33" w14:textId="77777777" w:rsidTr="00812E5A">
        <w:trPr>
          <w:trHeight w:val="340"/>
        </w:trPr>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0FEE88F3" w14:textId="77777777" w:rsidR="00A17173" w:rsidRPr="001A3DF1" w:rsidRDefault="00A17173" w:rsidP="00E15165">
            <w:pPr>
              <w:spacing w:after="0" w:line="240" w:lineRule="auto"/>
              <w:rPr>
                <w:rFonts w:ascii="Times New Roman" w:eastAsia="Times New Roman" w:hAnsi="Times New Roman" w:cs="Times New Roman"/>
                <w:color w:val="000000"/>
                <w:sz w:val="20"/>
                <w:szCs w:val="20"/>
                <w:lang w:eastAsia="pl-PL"/>
              </w:rPr>
            </w:pPr>
            <w:r w:rsidRPr="001A3DF1">
              <w:rPr>
                <w:rFonts w:ascii="Times New Roman" w:eastAsia="Times New Roman" w:hAnsi="Times New Roman" w:cs="Times New Roman"/>
                <w:color w:val="000000"/>
                <w:sz w:val="20"/>
                <w:szCs w:val="20"/>
                <w:lang w:eastAsia="pl-PL"/>
              </w:rPr>
              <w:t>Polska</w:t>
            </w:r>
          </w:p>
        </w:tc>
        <w:tc>
          <w:tcPr>
            <w:tcW w:w="265" w:type="pct"/>
            <w:tcBorders>
              <w:top w:val="nil"/>
              <w:left w:val="nil"/>
              <w:bottom w:val="single" w:sz="4" w:space="0" w:color="auto"/>
              <w:right w:val="single" w:sz="4" w:space="0" w:color="auto"/>
            </w:tcBorders>
            <w:shd w:val="clear" w:color="auto" w:fill="auto"/>
            <w:noWrap/>
            <w:vAlign w:val="center"/>
            <w:hideMark/>
          </w:tcPr>
          <w:p w14:paraId="4D088E12" w14:textId="77777777" w:rsidR="00A17173" w:rsidRPr="001A3DF1"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1A3DF1">
              <w:rPr>
                <w:rFonts w:ascii="Times New Roman" w:eastAsia="Times New Roman" w:hAnsi="Times New Roman" w:cs="Times New Roman"/>
                <w:color w:val="000000"/>
                <w:sz w:val="20"/>
                <w:szCs w:val="20"/>
                <w:lang w:eastAsia="pl-PL"/>
              </w:rPr>
              <w:t>508</w:t>
            </w:r>
          </w:p>
        </w:tc>
        <w:tc>
          <w:tcPr>
            <w:tcW w:w="305" w:type="pct"/>
            <w:tcBorders>
              <w:top w:val="nil"/>
              <w:left w:val="nil"/>
              <w:bottom w:val="single" w:sz="4" w:space="0" w:color="auto"/>
              <w:right w:val="single" w:sz="4" w:space="0" w:color="auto"/>
            </w:tcBorders>
            <w:shd w:val="clear" w:color="auto" w:fill="auto"/>
            <w:noWrap/>
            <w:vAlign w:val="center"/>
            <w:hideMark/>
          </w:tcPr>
          <w:p w14:paraId="5C3F206E" w14:textId="77777777" w:rsidR="00A17173" w:rsidRPr="001A3DF1"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1A3DF1">
              <w:rPr>
                <w:rFonts w:ascii="Times New Roman" w:eastAsia="Times New Roman" w:hAnsi="Times New Roman" w:cs="Times New Roman"/>
                <w:color w:val="000000"/>
                <w:sz w:val="20"/>
                <w:szCs w:val="20"/>
                <w:lang w:eastAsia="pl-PL"/>
              </w:rPr>
              <w:t>697</w:t>
            </w:r>
          </w:p>
        </w:tc>
        <w:tc>
          <w:tcPr>
            <w:tcW w:w="305" w:type="pct"/>
            <w:tcBorders>
              <w:top w:val="nil"/>
              <w:left w:val="nil"/>
              <w:bottom w:val="single" w:sz="4" w:space="0" w:color="auto"/>
              <w:right w:val="single" w:sz="4" w:space="0" w:color="auto"/>
            </w:tcBorders>
            <w:shd w:val="clear" w:color="auto" w:fill="auto"/>
            <w:noWrap/>
            <w:vAlign w:val="center"/>
            <w:hideMark/>
          </w:tcPr>
          <w:p w14:paraId="7CCBF845" w14:textId="77777777" w:rsidR="00A17173" w:rsidRPr="001A3DF1"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1A3DF1">
              <w:rPr>
                <w:rFonts w:ascii="Times New Roman" w:eastAsia="Times New Roman" w:hAnsi="Times New Roman" w:cs="Times New Roman"/>
                <w:color w:val="000000"/>
                <w:sz w:val="20"/>
                <w:szCs w:val="20"/>
                <w:lang w:eastAsia="pl-PL"/>
              </w:rPr>
              <w:t>1 066</w:t>
            </w:r>
          </w:p>
        </w:tc>
        <w:tc>
          <w:tcPr>
            <w:tcW w:w="306" w:type="pct"/>
            <w:tcBorders>
              <w:top w:val="nil"/>
              <w:left w:val="nil"/>
              <w:bottom w:val="single" w:sz="4" w:space="0" w:color="auto"/>
              <w:right w:val="single" w:sz="4" w:space="0" w:color="auto"/>
            </w:tcBorders>
            <w:shd w:val="clear" w:color="auto" w:fill="auto"/>
            <w:noWrap/>
            <w:vAlign w:val="center"/>
            <w:hideMark/>
          </w:tcPr>
          <w:p w14:paraId="380066E1" w14:textId="77777777" w:rsidR="00A17173" w:rsidRPr="001A3DF1"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1A3DF1">
              <w:rPr>
                <w:rFonts w:ascii="Times New Roman" w:eastAsia="Times New Roman" w:hAnsi="Times New Roman" w:cs="Times New Roman"/>
                <w:color w:val="000000"/>
                <w:sz w:val="20"/>
                <w:szCs w:val="20"/>
                <w:lang w:eastAsia="pl-PL"/>
              </w:rPr>
              <w:t>1 011</w:t>
            </w:r>
          </w:p>
        </w:tc>
        <w:tc>
          <w:tcPr>
            <w:tcW w:w="306" w:type="pct"/>
            <w:tcBorders>
              <w:top w:val="nil"/>
              <w:left w:val="nil"/>
              <w:bottom w:val="single" w:sz="4" w:space="0" w:color="auto"/>
              <w:right w:val="single" w:sz="4" w:space="0" w:color="auto"/>
            </w:tcBorders>
            <w:shd w:val="clear" w:color="auto" w:fill="auto"/>
            <w:noWrap/>
            <w:vAlign w:val="center"/>
            <w:hideMark/>
          </w:tcPr>
          <w:p w14:paraId="02778A4D" w14:textId="77777777" w:rsidR="00A17173" w:rsidRPr="00466FFA"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466FFA">
              <w:rPr>
                <w:rFonts w:ascii="Times New Roman" w:hAnsi="Times New Roman" w:cs="Times New Roman"/>
                <w:color w:val="000000"/>
                <w:sz w:val="20"/>
                <w:szCs w:val="20"/>
              </w:rPr>
              <w:t>958</w:t>
            </w:r>
          </w:p>
        </w:tc>
        <w:tc>
          <w:tcPr>
            <w:tcW w:w="311" w:type="pct"/>
            <w:tcBorders>
              <w:top w:val="nil"/>
              <w:left w:val="nil"/>
              <w:bottom w:val="single" w:sz="4" w:space="0" w:color="auto"/>
              <w:right w:val="single" w:sz="4" w:space="0" w:color="auto"/>
            </w:tcBorders>
            <w:shd w:val="clear" w:color="auto" w:fill="auto"/>
            <w:noWrap/>
            <w:vAlign w:val="center"/>
            <w:hideMark/>
          </w:tcPr>
          <w:p w14:paraId="3F01672B" w14:textId="77777777" w:rsidR="00A17173" w:rsidRPr="00466FFA"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466FFA">
              <w:rPr>
                <w:rFonts w:ascii="Times New Roman" w:hAnsi="Times New Roman" w:cs="Times New Roman"/>
                <w:color w:val="000000"/>
                <w:sz w:val="20"/>
                <w:szCs w:val="20"/>
              </w:rPr>
              <w:t>1 026</w:t>
            </w:r>
          </w:p>
        </w:tc>
        <w:tc>
          <w:tcPr>
            <w:tcW w:w="300" w:type="pct"/>
            <w:tcBorders>
              <w:top w:val="nil"/>
              <w:left w:val="nil"/>
              <w:bottom w:val="single" w:sz="4" w:space="0" w:color="auto"/>
              <w:right w:val="single" w:sz="4" w:space="0" w:color="auto"/>
            </w:tcBorders>
            <w:shd w:val="clear" w:color="auto" w:fill="auto"/>
            <w:noWrap/>
            <w:vAlign w:val="center"/>
            <w:hideMark/>
          </w:tcPr>
          <w:p w14:paraId="33DFA322" w14:textId="77777777" w:rsidR="00A17173" w:rsidRPr="001A3DF1"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1A3DF1">
              <w:rPr>
                <w:rFonts w:ascii="Times New Roman" w:eastAsia="Times New Roman" w:hAnsi="Times New Roman" w:cs="Times New Roman"/>
                <w:color w:val="000000"/>
                <w:sz w:val="20"/>
                <w:szCs w:val="20"/>
                <w:lang w:eastAsia="pl-PL"/>
              </w:rPr>
              <w:t>3 918</w:t>
            </w:r>
          </w:p>
        </w:tc>
        <w:tc>
          <w:tcPr>
            <w:tcW w:w="300" w:type="pct"/>
            <w:tcBorders>
              <w:top w:val="nil"/>
              <w:left w:val="nil"/>
              <w:bottom w:val="single" w:sz="4" w:space="0" w:color="auto"/>
              <w:right w:val="single" w:sz="4" w:space="0" w:color="auto"/>
            </w:tcBorders>
            <w:shd w:val="clear" w:color="auto" w:fill="auto"/>
            <w:noWrap/>
            <w:vAlign w:val="center"/>
            <w:hideMark/>
          </w:tcPr>
          <w:p w14:paraId="258216E9" w14:textId="77777777" w:rsidR="00A17173" w:rsidRPr="001A3DF1"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1A3DF1">
              <w:rPr>
                <w:rFonts w:ascii="Times New Roman" w:eastAsia="Times New Roman" w:hAnsi="Times New Roman" w:cs="Times New Roman"/>
                <w:color w:val="000000"/>
                <w:sz w:val="20"/>
                <w:szCs w:val="20"/>
                <w:lang w:eastAsia="pl-PL"/>
              </w:rPr>
              <w:t>4 259</w:t>
            </w:r>
          </w:p>
        </w:tc>
        <w:tc>
          <w:tcPr>
            <w:tcW w:w="300" w:type="pct"/>
            <w:tcBorders>
              <w:top w:val="nil"/>
              <w:left w:val="nil"/>
              <w:bottom w:val="single" w:sz="4" w:space="0" w:color="auto"/>
              <w:right w:val="single" w:sz="4" w:space="0" w:color="auto"/>
            </w:tcBorders>
            <w:shd w:val="clear" w:color="auto" w:fill="auto"/>
            <w:noWrap/>
            <w:vAlign w:val="center"/>
            <w:hideMark/>
          </w:tcPr>
          <w:p w14:paraId="0AB5AE08" w14:textId="77777777" w:rsidR="00A17173" w:rsidRPr="001A3DF1"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1A3DF1">
              <w:rPr>
                <w:rFonts w:ascii="Times New Roman" w:eastAsia="Times New Roman" w:hAnsi="Times New Roman" w:cs="Times New Roman"/>
                <w:color w:val="000000"/>
                <w:sz w:val="20"/>
                <w:szCs w:val="20"/>
                <w:lang w:eastAsia="pl-PL"/>
              </w:rPr>
              <w:t>4 509</w:t>
            </w:r>
          </w:p>
        </w:tc>
        <w:tc>
          <w:tcPr>
            <w:tcW w:w="300" w:type="pct"/>
            <w:tcBorders>
              <w:top w:val="nil"/>
              <w:left w:val="nil"/>
              <w:bottom w:val="single" w:sz="4" w:space="0" w:color="auto"/>
              <w:right w:val="single" w:sz="4" w:space="0" w:color="auto"/>
            </w:tcBorders>
            <w:shd w:val="clear" w:color="auto" w:fill="auto"/>
            <w:noWrap/>
            <w:vAlign w:val="center"/>
            <w:hideMark/>
          </w:tcPr>
          <w:p w14:paraId="76E22406" w14:textId="77777777" w:rsidR="00A17173" w:rsidRPr="001A3DF1"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1A3DF1">
              <w:rPr>
                <w:rFonts w:ascii="Times New Roman" w:eastAsia="Times New Roman" w:hAnsi="Times New Roman" w:cs="Times New Roman"/>
                <w:color w:val="000000"/>
                <w:sz w:val="20"/>
                <w:szCs w:val="20"/>
                <w:lang w:eastAsia="pl-PL"/>
              </w:rPr>
              <w:t>5 039</w:t>
            </w:r>
          </w:p>
        </w:tc>
        <w:tc>
          <w:tcPr>
            <w:tcW w:w="300" w:type="pct"/>
            <w:tcBorders>
              <w:top w:val="nil"/>
              <w:left w:val="nil"/>
              <w:bottom w:val="single" w:sz="4" w:space="0" w:color="auto"/>
              <w:right w:val="single" w:sz="4" w:space="0" w:color="auto"/>
            </w:tcBorders>
            <w:shd w:val="clear" w:color="auto" w:fill="auto"/>
            <w:noWrap/>
            <w:vAlign w:val="center"/>
            <w:hideMark/>
          </w:tcPr>
          <w:p w14:paraId="5C8CE015" w14:textId="77777777" w:rsidR="00A17173" w:rsidRPr="00466FFA"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466FFA">
              <w:rPr>
                <w:rFonts w:ascii="Times New Roman" w:hAnsi="Times New Roman" w:cs="Times New Roman"/>
                <w:color w:val="000000"/>
                <w:sz w:val="20"/>
                <w:szCs w:val="20"/>
              </w:rPr>
              <w:t>5 533</w:t>
            </w:r>
          </w:p>
        </w:tc>
        <w:tc>
          <w:tcPr>
            <w:tcW w:w="296" w:type="pct"/>
            <w:tcBorders>
              <w:top w:val="nil"/>
              <w:left w:val="nil"/>
              <w:bottom w:val="single" w:sz="4" w:space="0" w:color="auto"/>
              <w:right w:val="single" w:sz="4" w:space="0" w:color="auto"/>
            </w:tcBorders>
            <w:shd w:val="clear" w:color="auto" w:fill="auto"/>
            <w:noWrap/>
            <w:vAlign w:val="center"/>
            <w:hideMark/>
          </w:tcPr>
          <w:p w14:paraId="237D60AB" w14:textId="77777777" w:rsidR="00A17173" w:rsidRPr="00466FFA" w:rsidRDefault="00A17173" w:rsidP="00E15165">
            <w:pPr>
              <w:spacing w:after="0" w:line="240" w:lineRule="auto"/>
              <w:jc w:val="center"/>
              <w:rPr>
                <w:rFonts w:ascii="Times New Roman" w:eastAsia="Times New Roman" w:hAnsi="Times New Roman" w:cs="Times New Roman"/>
                <w:color w:val="000000"/>
                <w:sz w:val="20"/>
                <w:szCs w:val="20"/>
                <w:lang w:eastAsia="pl-PL"/>
              </w:rPr>
            </w:pPr>
            <w:r w:rsidRPr="00466FFA">
              <w:rPr>
                <w:rFonts w:ascii="Times New Roman" w:hAnsi="Times New Roman" w:cs="Times New Roman"/>
                <w:color w:val="000000"/>
                <w:sz w:val="20"/>
                <w:szCs w:val="20"/>
              </w:rPr>
              <w:t>5 859</w:t>
            </w:r>
          </w:p>
        </w:tc>
      </w:tr>
    </w:tbl>
    <w:p w14:paraId="39AEB858" w14:textId="77777777" w:rsidR="00A17173" w:rsidRPr="00466FFA" w:rsidRDefault="00A17173" w:rsidP="00A17173">
      <w:pPr>
        <w:jc w:val="center"/>
        <w:rPr>
          <w:rFonts w:ascii="Times New Roman" w:hAnsi="Times New Roman" w:cs="Times New Roman"/>
          <w:i/>
          <w:iCs/>
          <w:sz w:val="20"/>
          <w:szCs w:val="20"/>
        </w:rPr>
      </w:pPr>
      <w:r w:rsidRPr="00AD7E32">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AD7E32">
        <w:rPr>
          <w:rFonts w:ascii="Times New Roman" w:hAnsi="Times New Roman" w:cs="Times New Roman"/>
          <w:i/>
          <w:iCs/>
          <w:sz w:val="20"/>
          <w:szCs w:val="20"/>
        </w:rPr>
        <w:t xml:space="preserve"> własne na podstawie danych GUS</w:t>
      </w:r>
    </w:p>
    <w:p w14:paraId="7B0E8F69" w14:textId="36203072" w:rsidR="00266D84" w:rsidRDefault="00A17173" w:rsidP="000529BC">
      <w:pPr>
        <w:spacing w:after="12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W kontekście analizy stanu finansów publicznych ważny jest także tzw. wskaźnik G, czyli wskaźnik </w:t>
      </w:r>
      <w:r w:rsidRPr="002745E1">
        <w:rPr>
          <w:rFonts w:ascii="Times New Roman" w:hAnsi="Times New Roman" w:cs="Times New Roman"/>
          <w:color w:val="000000" w:themeColor="text1"/>
        </w:rPr>
        <w:t xml:space="preserve">dochodów podatkowych w przeliczeniu na </w:t>
      </w:r>
      <w:r>
        <w:rPr>
          <w:rFonts w:ascii="Times New Roman" w:hAnsi="Times New Roman" w:cs="Times New Roman"/>
          <w:color w:val="000000" w:themeColor="text1"/>
        </w:rPr>
        <w:t>1</w:t>
      </w:r>
      <w:r w:rsidRPr="002745E1">
        <w:rPr>
          <w:rFonts w:ascii="Times New Roman" w:hAnsi="Times New Roman" w:cs="Times New Roman"/>
          <w:color w:val="000000" w:themeColor="text1"/>
        </w:rPr>
        <w:t xml:space="preserve"> mieszkańca dla poszczególnych gmin</w:t>
      </w:r>
      <w:r>
        <w:rPr>
          <w:rFonts w:ascii="Times New Roman" w:hAnsi="Times New Roman" w:cs="Times New Roman"/>
          <w:color w:val="000000" w:themeColor="text1"/>
        </w:rPr>
        <w:t xml:space="preserve">. Wskaźnik ten stanowi </w:t>
      </w:r>
      <w:r w:rsidRPr="002745E1">
        <w:rPr>
          <w:rFonts w:ascii="Times New Roman" w:hAnsi="Times New Roman" w:cs="Times New Roman"/>
          <w:color w:val="000000" w:themeColor="text1"/>
        </w:rPr>
        <w:t xml:space="preserve">podstawę do wyliczenia rocznych kwot części wyrównawczej subwencji ogólnej i wpłat </w:t>
      </w:r>
      <w:r>
        <w:rPr>
          <w:rFonts w:ascii="Times New Roman" w:hAnsi="Times New Roman" w:cs="Times New Roman"/>
          <w:color w:val="000000" w:themeColor="text1"/>
        </w:rPr>
        <w:t>na dany rok. Średnia wartość wskaźnika G dla obszar</w:t>
      </w:r>
      <w:r w:rsidR="00A32E9A">
        <w:rPr>
          <w:rFonts w:ascii="Times New Roman" w:hAnsi="Times New Roman" w:cs="Times New Roman"/>
          <w:color w:val="000000" w:themeColor="text1"/>
        </w:rPr>
        <w:t>u</w:t>
      </w:r>
      <w:r>
        <w:rPr>
          <w:rFonts w:ascii="Times New Roman" w:hAnsi="Times New Roman" w:cs="Times New Roman"/>
          <w:color w:val="000000" w:themeColor="text1"/>
        </w:rPr>
        <w:t xml:space="preserve"> LGD w 2020 r. wynosiła 1</w:t>
      </w:r>
      <w:r w:rsidR="00800310">
        <w:rPr>
          <w:rFonts w:ascii="Times New Roman" w:hAnsi="Times New Roman" w:cs="Times New Roman"/>
          <w:color w:val="000000" w:themeColor="text1"/>
        </w:rPr>
        <w:t> 073,83</w:t>
      </w:r>
      <w:r>
        <w:rPr>
          <w:rFonts w:ascii="Times New Roman" w:hAnsi="Times New Roman" w:cs="Times New Roman"/>
          <w:color w:val="000000" w:themeColor="text1"/>
        </w:rPr>
        <w:t xml:space="preserve"> zł. </w:t>
      </w:r>
    </w:p>
    <w:p w14:paraId="6025FD92" w14:textId="33911867" w:rsidR="00A17173" w:rsidRPr="009C36D6" w:rsidRDefault="00A17173" w:rsidP="00A17173">
      <w:pPr>
        <w:pStyle w:val="Akapitzlist"/>
        <w:spacing w:line="276" w:lineRule="auto"/>
        <w:ind w:left="0" w:firstLine="709"/>
        <w:jc w:val="center"/>
        <w:rPr>
          <w:rFonts w:ascii="Times New Roman" w:hAnsi="Times New Roman" w:cs="Times New Roman"/>
          <w:b/>
          <w:bCs/>
          <w:color w:val="000000" w:themeColor="text1"/>
        </w:rPr>
      </w:pPr>
      <w:r w:rsidRPr="009C36D6">
        <w:rPr>
          <w:rFonts w:ascii="Times New Roman" w:hAnsi="Times New Roman" w:cs="Times New Roman"/>
          <w:b/>
          <w:bCs/>
          <w:color w:val="000000" w:themeColor="text1"/>
        </w:rPr>
        <w:t xml:space="preserve">Przy obliczeniu wskaźnika </w:t>
      </w:r>
      <w:r>
        <w:rPr>
          <w:rFonts w:ascii="Times New Roman" w:hAnsi="Times New Roman" w:cs="Times New Roman"/>
          <w:b/>
          <w:bCs/>
          <w:i/>
          <w:iCs/>
          <w:color w:val="000000" w:themeColor="text1"/>
        </w:rPr>
        <w:t>dochód podatkowy na obszarze LSR</w:t>
      </w:r>
      <w:r w:rsidRPr="009C36D6">
        <w:rPr>
          <w:rFonts w:ascii="Times New Roman" w:hAnsi="Times New Roman" w:cs="Times New Roman"/>
          <w:b/>
          <w:bCs/>
          <w:i/>
          <w:iCs/>
          <w:color w:val="000000" w:themeColor="text1"/>
        </w:rPr>
        <w:t xml:space="preserve"> </w:t>
      </w:r>
      <w:r w:rsidRPr="00D03CAB">
        <w:rPr>
          <w:rFonts w:ascii="Times New Roman" w:hAnsi="Times New Roman" w:cs="Times New Roman"/>
          <w:b/>
          <w:bCs/>
          <w:color w:val="000000" w:themeColor="text1"/>
        </w:rPr>
        <w:t>za</w:t>
      </w:r>
      <w:r w:rsidRPr="009C36D6">
        <w:rPr>
          <w:rFonts w:ascii="Times New Roman" w:hAnsi="Times New Roman" w:cs="Times New Roman"/>
          <w:b/>
          <w:bCs/>
          <w:i/>
          <w:iCs/>
          <w:color w:val="000000" w:themeColor="text1"/>
        </w:rPr>
        <w:t xml:space="preserve"> </w:t>
      </w:r>
      <w:r w:rsidRPr="009C36D6">
        <w:rPr>
          <w:rFonts w:ascii="Times New Roman" w:hAnsi="Times New Roman" w:cs="Times New Roman"/>
          <w:b/>
          <w:bCs/>
          <w:color w:val="000000" w:themeColor="text1"/>
        </w:rPr>
        <w:t>2020 r. ze wzoru:</w:t>
      </w:r>
    </w:p>
    <w:p w14:paraId="29DFEB05" w14:textId="3B568745" w:rsidR="00E860C3" w:rsidRDefault="00000000" w:rsidP="00A17173">
      <w:pPr>
        <w:autoSpaceDE w:val="0"/>
        <w:autoSpaceDN w:val="0"/>
        <w:adjustRightInd w:val="0"/>
        <w:spacing w:after="120" w:line="240" w:lineRule="auto"/>
        <w:jc w:val="center"/>
        <w:rPr>
          <w:rFonts w:ascii="Times New Roman" w:hAnsi="Times New Roman" w:cs="Times New Roman"/>
          <w:b/>
          <w:bCs/>
          <w:color w:val="000000" w:themeColor="text1"/>
        </w:rPr>
      </w:pPr>
      <m:oMath>
        <m:f>
          <m:fPr>
            <m:ctrlPr>
              <w:rPr>
                <w:rFonts w:ascii="Cambria Math" w:hAnsi="Cambria Math" w:cs="Arial"/>
                <w:b/>
                <w:bCs/>
              </w:rPr>
            </m:ctrlPr>
          </m:fPr>
          <m:num>
            <m:r>
              <m:rPr>
                <m:sty m:val="b"/>
              </m:rPr>
              <w:rPr>
                <w:rFonts w:ascii="Cambria Math" w:hAnsi="Cambria Math" w:cs="Arial"/>
              </w:rPr>
              <m:t>3750</m:t>
            </m:r>
          </m:num>
          <m:den>
            <m:eqArr>
              <m:eqArrPr>
                <m:ctrlPr>
                  <w:rPr>
                    <w:rFonts w:ascii="Cambria Math" w:hAnsi="Cambria Math" w:cs="Arial"/>
                    <w:b/>
                    <w:bCs/>
                    <w:i/>
                  </w:rPr>
                </m:ctrlPr>
              </m:eqArrPr>
              <m:e>
                <m:r>
                  <m:rPr>
                    <m:sty m:val="bi"/>
                  </m:rPr>
                  <w:rPr>
                    <w:rFonts w:ascii="Cambria Math" w:hAnsi="Cambria Math" w:cs="Arial"/>
                  </w:rPr>
                  <m:t xml:space="preserve">średnia wartości wskaźnika G </m:t>
                </m:r>
              </m:e>
              <m:e>
                <m:r>
                  <m:rPr>
                    <m:sty m:val="bi"/>
                  </m:rPr>
                  <w:rPr>
                    <w:rFonts w:ascii="Cambria Math" w:hAnsi="Cambria Math" w:cs="Arial"/>
                  </w:rPr>
                  <m:t>gmin objętych LSR</m:t>
                </m:r>
              </m:e>
            </m:eqArr>
          </m:den>
        </m:f>
      </m:oMath>
      <w:r w:rsidR="00A17173" w:rsidRPr="006C6AEA">
        <w:rPr>
          <w:rFonts w:ascii="Times New Roman" w:eastAsiaTheme="minorEastAsia" w:hAnsi="Times New Roman" w:cs="Times New Roman"/>
          <w:b/>
          <w:bCs/>
          <w:sz w:val="18"/>
        </w:rPr>
        <w:t xml:space="preserve"> </w:t>
      </w:r>
      <w:r w:rsidR="00A17173" w:rsidRPr="006C6AEA">
        <w:rPr>
          <w:rFonts w:ascii="Times New Roman" w:hAnsi="Times New Roman" w:cs="Times New Roman"/>
          <w:b/>
          <w:bCs/>
          <w:color w:val="000000" w:themeColor="text1"/>
        </w:rPr>
        <w:t xml:space="preserve">obszar LGD osiąga wartość </w:t>
      </w:r>
      <w:r w:rsidR="00A17173">
        <w:rPr>
          <w:rFonts w:ascii="Times New Roman" w:hAnsi="Times New Roman" w:cs="Times New Roman"/>
          <w:b/>
          <w:bCs/>
          <w:color w:val="000000" w:themeColor="text1"/>
        </w:rPr>
        <w:t>3,</w:t>
      </w:r>
      <w:r w:rsidR="00800310">
        <w:rPr>
          <w:rFonts w:ascii="Times New Roman" w:hAnsi="Times New Roman" w:cs="Times New Roman"/>
          <w:b/>
          <w:bCs/>
          <w:color w:val="000000" w:themeColor="text1"/>
        </w:rPr>
        <w:t>49</w:t>
      </w:r>
      <w:r w:rsidR="00E860C3">
        <w:rPr>
          <w:rFonts w:ascii="Times New Roman" w:hAnsi="Times New Roman" w:cs="Times New Roman"/>
          <w:b/>
          <w:bCs/>
          <w:color w:val="000000" w:themeColor="text1"/>
        </w:rPr>
        <w:br w:type="page"/>
      </w:r>
    </w:p>
    <w:p w14:paraId="238DB11E" w14:textId="77777777" w:rsidR="00A17173" w:rsidRPr="006822F6" w:rsidRDefault="00A17173" w:rsidP="008F34ED">
      <w:pPr>
        <w:pStyle w:val="podnagowek"/>
        <w:numPr>
          <w:ilvl w:val="1"/>
          <w:numId w:val="16"/>
        </w:numPr>
        <w:spacing w:after="80" w:line="276" w:lineRule="auto"/>
        <w:ind w:left="924" w:hanging="357"/>
        <w:outlineLvl w:val="9"/>
        <w:rPr>
          <w:sz w:val="22"/>
          <w:szCs w:val="22"/>
        </w:rPr>
      </w:pPr>
      <w:r w:rsidRPr="006C6AEA">
        <w:rPr>
          <w:sz w:val="22"/>
          <w:szCs w:val="22"/>
        </w:rPr>
        <w:lastRenderedPageBreak/>
        <w:t>Opieka społeczna</w:t>
      </w:r>
    </w:p>
    <w:p w14:paraId="0DD097F4" w14:textId="38DB64B4" w:rsidR="00A17173" w:rsidRDefault="00A17173" w:rsidP="00B1710A">
      <w:pPr>
        <w:spacing w:after="12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W zakresie pomocy społecznej w każdej z gmin powołana jest wyspecjalizowana jednostka – Ośrodek Pomocy Społecznej, który zajmuje się świadczeniem usług opiekuńczych i specjalistycznych dla osób starszych </w:t>
      </w:r>
      <w:r>
        <w:rPr>
          <w:rFonts w:ascii="Times New Roman" w:hAnsi="Times New Roman" w:cs="Times New Roman"/>
          <w:color w:val="000000" w:themeColor="text1"/>
        </w:rPr>
        <w:br/>
        <w:t xml:space="preserve">i chorych, pomocą finansową, rzeczową i organizacyjną dla osób w trudnej sytuacji życiowej oraz poprzez swoje działania podejmuje walkę z ubóstwem i wykluczeniem społecznym. Liczba osób korzystających z pomocy społecznej na obszarze LGD od 2016 roku stale malała i w 2020 r. wynosiła </w:t>
      </w:r>
      <w:r w:rsidR="00B1710A">
        <w:rPr>
          <w:rFonts w:ascii="Times New Roman" w:hAnsi="Times New Roman" w:cs="Times New Roman"/>
          <w:color w:val="000000" w:themeColor="text1"/>
        </w:rPr>
        <w:t>7 199</w:t>
      </w:r>
      <w:r>
        <w:rPr>
          <w:rFonts w:ascii="Times New Roman" w:hAnsi="Times New Roman" w:cs="Times New Roman"/>
          <w:color w:val="000000" w:themeColor="text1"/>
        </w:rPr>
        <w:t xml:space="preserve"> osób</w:t>
      </w:r>
      <w:r w:rsidR="00B1710A">
        <w:rPr>
          <w:rStyle w:val="Odwoanieprzypisudolnego"/>
          <w:rFonts w:ascii="Times New Roman" w:hAnsi="Times New Roman" w:cs="Times New Roman"/>
          <w:color w:val="000000" w:themeColor="text1"/>
        </w:rPr>
        <w:footnoteReference w:id="12"/>
      </w:r>
      <w:r>
        <w:rPr>
          <w:rFonts w:ascii="Times New Roman" w:hAnsi="Times New Roman" w:cs="Times New Roman"/>
          <w:color w:val="000000" w:themeColor="text1"/>
        </w:rPr>
        <w:t xml:space="preserve">. </w:t>
      </w:r>
    </w:p>
    <w:p w14:paraId="16622D21" w14:textId="77777777" w:rsidR="00A17173" w:rsidRPr="009C36D6" w:rsidRDefault="00A17173" w:rsidP="00A17173">
      <w:pPr>
        <w:pStyle w:val="Akapitzlist"/>
        <w:spacing w:line="276" w:lineRule="auto"/>
        <w:ind w:left="0" w:firstLine="709"/>
        <w:jc w:val="center"/>
        <w:rPr>
          <w:rFonts w:ascii="Times New Roman" w:hAnsi="Times New Roman" w:cs="Times New Roman"/>
          <w:b/>
          <w:bCs/>
          <w:color w:val="000000" w:themeColor="text1"/>
        </w:rPr>
      </w:pPr>
      <w:r w:rsidRPr="009C36D6">
        <w:rPr>
          <w:rFonts w:ascii="Times New Roman" w:hAnsi="Times New Roman" w:cs="Times New Roman"/>
          <w:b/>
          <w:bCs/>
          <w:color w:val="000000" w:themeColor="text1"/>
        </w:rPr>
        <w:t xml:space="preserve">Przy obliczeniu wskaźnika </w:t>
      </w:r>
      <w:r>
        <w:rPr>
          <w:rFonts w:ascii="Times New Roman" w:hAnsi="Times New Roman" w:cs="Times New Roman"/>
          <w:b/>
          <w:bCs/>
          <w:i/>
          <w:iCs/>
          <w:color w:val="000000" w:themeColor="text1"/>
        </w:rPr>
        <w:t>środowiskowa pomoc społeczna na obszarze LSR</w:t>
      </w:r>
      <w:r w:rsidRPr="009C36D6">
        <w:rPr>
          <w:rFonts w:ascii="Times New Roman" w:hAnsi="Times New Roman" w:cs="Times New Roman"/>
          <w:b/>
          <w:bCs/>
          <w:i/>
          <w:iCs/>
          <w:color w:val="000000" w:themeColor="text1"/>
        </w:rPr>
        <w:t xml:space="preserve"> </w:t>
      </w:r>
      <w:r w:rsidRPr="00D03CAB">
        <w:rPr>
          <w:rFonts w:ascii="Times New Roman" w:hAnsi="Times New Roman" w:cs="Times New Roman"/>
          <w:b/>
          <w:bCs/>
          <w:color w:val="000000" w:themeColor="text1"/>
        </w:rPr>
        <w:t>za</w:t>
      </w:r>
      <w:r w:rsidRPr="009C36D6">
        <w:rPr>
          <w:rFonts w:ascii="Times New Roman" w:hAnsi="Times New Roman" w:cs="Times New Roman"/>
          <w:b/>
          <w:bCs/>
          <w:i/>
          <w:iCs/>
          <w:color w:val="000000" w:themeColor="text1"/>
        </w:rPr>
        <w:t xml:space="preserve"> </w:t>
      </w:r>
      <w:r w:rsidRPr="009C36D6">
        <w:rPr>
          <w:rFonts w:ascii="Times New Roman" w:hAnsi="Times New Roman" w:cs="Times New Roman"/>
          <w:b/>
          <w:bCs/>
          <w:color w:val="000000" w:themeColor="text1"/>
        </w:rPr>
        <w:t>2020 r. ze wzoru:</w:t>
      </w:r>
    </w:p>
    <w:p w14:paraId="4F6A1B63" w14:textId="4F771BD3" w:rsidR="00A17173" w:rsidRDefault="00A17173" w:rsidP="00A17173">
      <w:pPr>
        <w:pStyle w:val="Tekstkomentarza"/>
        <w:jc w:val="center"/>
        <w:rPr>
          <w:rFonts w:cs="Times New Roman"/>
          <w:b/>
          <w:bCs/>
          <w:color w:val="000000" w:themeColor="text1"/>
          <w:sz w:val="22"/>
          <w:szCs w:val="22"/>
        </w:rPr>
      </w:pPr>
      <m:oMath>
        <m:r>
          <m:rPr>
            <m:sty m:val="b"/>
          </m:rPr>
          <w:rPr>
            <w:rFonts w:ascii="Cambria Math" w:hAnsi="Cambria Math" w:cs="Arial"/>
          </w:rPr>
          <m:t>6 x (1-</m:t>
        </m:r>
        <m:f>
          <m:fPr>
            <m:ctrlPr>
              <w:rPr>
                <w:rFonts w:ascii="Cambria Math" w:hAnsi="Cambria Math" w:cs="Arial"/>
                <w:b/>
                <w:bCs/>
              </w:rPr>
            </m:ctrlPr>
          </m:fPr>
          <m:num>
            <m:r>
              <m:rPr>
                <m:sty m:val="b"/>
              </m:rPr>
              <w:rPr>
                <w:rFonts w:ascii="Cambria Math" w:hAnsi="Cambria Math" w:cs="Arial"/>
              </w:rPr>
              <m:t>0,015 x liczba mieszkańców</m:t>
            </m:r>
          </m:num>
          <m:den>
            <m:eqArr>
              <m:eqArrPr>
                <m:ctrlPr>
                  <w:rPr>
                    <w:rFonts w:ascii="Cambria Math" w:hAnsi="Cambria Math" w:cs="Arial"/>
                    <w:b/>
                    <w:bCs/>
                    <w:i/>
                  </w:rPr>
                </m:ctrlPr>
              </m:eqArrPr>
              <m:e>
                <m:r>
                  <m:rPr>
                    <m:sty m:val="bi"/>
                  </m:rPr>
                  <w:rPr>
                    <w:rFonts w:ascii="Cambria Math" w:hAnsi="Cambria Math" w:cs="Arial"/>
                  </w:rPr>
                  <m:t xml:space="preserve">liczba osób korzystających </m:t>
                </m:r>
              </m:e>
              <m:e>
                <m:r>
                  <m:rPr>
                    <m:sty m:val="bi"/>
                  </m:rPr>
                  <w:rPr>
                    <w:rFonts w:ascii="Cambria Math" w:hAnsi="Cambria Math" w:cs="Arial"/>
                  </w:rPr>
                  <m:t>z pomocy społecznej</m:t>
                </m:r>
              </m:e>
            </m:eqArr>
          </m:den>
        </m:f>
        <m:r>
          <m:rPr>
            <m:sty m:val="bi"/>
          </m:rPr>
          <w:rPr>
            <w:rFonts w:ascii="Cambria Math" w:hAnsi="Cambria Math" w:cs="Arial"/>
          </w:rPr>
          <m:t xml:space="preserve">) </m:t>
        </m:r>
      </m:oMath>
      <w:r w:rsidRPr="006C6AEA">
        <w:rPr>
          <w:rFonts w:eastAsiaTheme="minorEastAsia" w:cs="Times New Roman"/>
          <w:b/>
          <w:bCs/>
          <w:sz w:val="18"/>
        </w:rPr>
        <w:t xml:space="preserve"> </w:t>
      </w:r>
      <w:r w:rsidRPr="006C6AEA">
        <w:rPr>
          <w:rFonts w:cs="Times New Roman"/>
          <w:b/>
          <w:bCs/>
          <w:color w:val="000000" w:themeColor="text1"/>
          <w:sz w:val="22"/>
          <w:szCs w:val="22"/>
        </w:rPr>
        <w:t xml:space="preserve">obszar LGD osiąga wartość </w:t>
      </w:r>
      <w:r>
        <w:rPr>
          <w:rFonts w:cs="Times New Roman"/>
          <w:b/>
          <w:bCs/>
          <w:color w:val="000000" w:themeColor="text1"/>
          <w:sz w:val="22"/>
          <w:szCs w:val="22"/>
        </w:rPr>
        <w:t>4,</w:t>
      </w:r>
      <w:r w:rsidR="00B1710A">
        <w:rPr>
          <w:rFonts w:cs="Times New Roman"/>
          <w:b/>
          <w:bCs/>
          <w:color w:val="000000" w:themeColor="text1"/>
          <w:sz w:val="22"/>
          <w:szCs w:val="22"/>
        </w:rPr>
        <w:t>66</w:t>
      </w:r>
    </w:p>
    <w:p w14:paraId="64DFDD1A" w14:textId="758E3BAB" w:rsidR="00A17173" w:rsidRDefault="00A17173" w:rsidP="00A17173">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Natomiast w 202</w:t>
      </w:r>
      <w:r w:rsidR="00B1710A">
        <w:rPr>
          <w:rFonts w:ascii="Times New Roman" w:hAnsi="Times New Roman" w:cs="Times New Roman"/>
          <w:color w:val="000000" w:themeColor="text1"/>
        </w:rPr>
        <w:t>0</w:t>
      </w:r>
      <w:r>
        <w:rPr>
          <w:rFonts w:ascii="Times New Roman" w:hAnsi="Times New Roman" w:cs="Times New Roman"/>
          <w:color w:val="000000" w:themeColor="text1"/>
        </w:rPr>
        <w:t xml:space="preserve"> r. wskaźnik </w:t>
      </w:r>
      <w:r w:rsidRPr="0079629A">
        <w:rPr>
          <w:rFonts w:ascii="Times New Roman" w:hAnsi="Times New Roman" w:cs="Times New Roman"/>
          <w:i/>
          <w:iCs/>
          <w:color w:val="000000" w:themeColor="text1"/>
        </w:rPr>
        <w:t>udział osób korzystających ze środowiskowej pomocy społecznej</w:t>
      </w:r>
      <w:r>
        <w:rPr>
          <w:rFonts w:ascii="Times New Roman" w:hAnsi="Times New Roman" w:cs="Times New Roman"/>
          <w:i/>
          <w:iCs/>
          <w:color w:val="000000" w:themeColor="text1"/>
        </w:rPr>
        <w:t xml:space="preserve"> w liczbie mieszkańców ogółem</w:t>
      </w:r>
      <w:r>
        <w:rPr>
          <w:rFonts w:ascii="Times New Roman" w:hAnsi="Times New Roman" w:cs="Times New Roman"/>
          <w:color w:val="000000" w:themeColor="text1"/>
        </w:rPr>
        <w:t xml:space="preserve"> dla obszaru LGD wynosił </w:t>
      </w:r>
      <w:r w:rsidR="002B330D">
        <w:rPr>
          <w:rFonts w:ascii="Times New Roman" w:hAnsi="Times New Roman" w:cs="Times New Roman"/>
          <w:color w:val="000000" w:themeColor="text1"/>
        </w:rPr>
        <w:t xml:space="preserve">5,5 </w:t>
      </w:r>
      <w:r>
        <w:rPr>
          <w:rFonts w:ascii="Times New Roman" w:hAnsi="Times New Roman" w:cs="Times New Roman"/>
          <w:color w:val="000000" w:themeColor="text1"/>
        </w:rPr>
        <w:t>% i był wyższy od średniej dla województwa (</w:t>
      </w:r>
      <w:r w:rsidR="00B1710A">
        <w:rPr>
          <w:rFonts w:ascii="Times New Roman" w:hAnsi="Times New Roman" w:cs="Times New Roman"/>
          <w:color w:val="000000" w:themeColor="text1"/>
        </w:rPr>
        <w:t>4,</w:t>
      </w:r>
      <w:r w:rsidR="002B330D">
        <w:rPr>
          <w:rFonts w:ascii="Times New Roman" w:hAnsi="Times New Roman" w:cs="Times New Roman"/>
          <w:color w:val="000000" w:themeColor="text1"/>
        </w:rPr>
        <w:t>2</w:t>
      </w:r>
      <w:r>
        <w:rPr>
          <w:rFonts w:ascii="Times New Roman" w:hAnsi="Times New Roman" w:cs="Times New Roman"/>
          <w:color w:val="000000" w:themeColor="text1"/>
        </w:rPr>
        <w:t>%) oraz dla kraju (</w:t>
      </w:r>
      <w:r w:rsidR="002B330D">
        <w:rPr>
          <w:rFonts w:ascii="Times New Roman" w:hAnsi="Times New Roman" w:cs="Times New Roman"/>
          <w:color w:val="000000" w:themeColor="text1"/>
        </w:rPr>
        <w:t>3,7</w:t>
      </w:r>
      <w:r>
        <w:rPr>
          <w:rFonts w:ascii="Times New Roman" w:hAnsi="Times New Roman" w:cs="Times New Roman"/>
          <w:color w:val="000000" w:themeColor="text1"/>
        </w:rPr>
        <w:t xml:space="preserve">%), co przedstawiono na wykresie </w:t>
      </w:r>
      <w:r w:rsidR="001E060A">
        <w:rPr>
          <w:rFonts w:ascii="Times New Roman" w:hAnsi="Times New Roman" w:cs="Times New Roman"/>
          <w:color w:val="000000" w:themeColor="text1"/>
        </w:rPr>
        <w:t>9</w:t>
      </w:r>
      <w:r>
        <w:rPr>
          <w:rFonts w:ascii="Times New Roman" w:hAnsi="Times New Roman" w:cs="Times New Roman"/>
          <w:color w:val="000000" w:themeColor="text1"/>
        </w:rPr>
        <w:t>.</w:t>
      </w:r>
    </w:p>
    <w:p w14:paraId="7B321A30" w14:textId="2EFC2C26" w:rsidR="00A17173" w:rsidRDefault="00A17173" w:rsidP="00A17173">
      <w:pPr>
        <w:spacing w:after="0" w:line="276" w:lineRule="auto"/>
        <w:ind w:firstLine="709"/>
        <w:jc w:val="center"/>
        <w:rPr>
          <w:rFonts w:ascii="Times New Roman" w:hAnsi="Times New Roman" w:cs="Times New Roman"/>
          <w:b/>
          <w:bCs/>
          <w:i/>
          <w:iCs/>
          <w:color w:val="000000" w:themeColor="text1"/>
          <w:sz w:val="20"/>
          <w:szCs w:val="20"/>
        </w:rPr>
      </w:pPr>
      <w:bookmarkStart w:id="69" w:name="_Toc133240127"/>
      <w:bookmarkStart w:id="70" w:name="_Toc135896524"/>
      <w:r w:rsidRPr="00D03CAB">
        <w:rPr>
          <w:rFonts w:ascii="Times New Roman" w:hAnsi="Times New Roman" w:cs="Times New Roman"/>
          <w:b/>
          <w:bCs/>
          <w:color w:val="000000" w:themeColor="text1"/>
          <w:sz w:val="20"/>
          <w:szCs w:val="20"/>
        </w:rPr>
        <w:t xml:space="preserve">Wykres </w:t>
      </w:r>
      <w:r w:rsidRPr="00D03CAB">
        <w:rPr>
          <w:rFonts w:ascii="Times New Roman" w:hAnsi="Times New Roman" w:cs="Times New Roman"/>
          <w:b/>
          <w:bCs/>
          <w:i/>
          <w:iCs/>
          <w:color w:val="000000" w:themeColor="text1"/>
          <w:sz w:val="20"/>
          <w:szCs w:val="20"/>
        </w:rPr>
        <w:fldChar w:fldCharType="begin"/>
      </w:r>
      <w:r w:rsidRPr="00D03CAB">
        <w:rPr>
          <w:rFonts w:ascii="Times New Roman" w:hAnsi="Times New Roman" w:cs="Times New Roman"/>
          <w:b/>
          <w:bCs/>
          <w:color w:val="000000" w:themeColor="text1"/>
          <w:sz w:val="20"/>
          <w:szCs w:val="20"/>
        </w:rPr>
        <w:instrText xml:space="preserve"> SEQ Wykres \* ARABIC </w:instrText>
      </w:r>
      <w:r w:rsidRPr="00D03CAB">
        <w:rPr>
          <w:rFonts w:ascii="Times New Roman" w:hAnsi="Times New Roman" w:cs="Times New Roman"/>
          <w:b/>
          <w:bCs/>
          <w:i/>
          <w:iCs/>
          <w:color w:val="000000" w:themeColor="text1"/>
          <w:sz w:val="20"/>
          <w:szCs w:val="20"/>
        </w:rPr>
        <w:fldChar w:fldCharType="separate"/>
      </w:r>
      <w:r w:rsidR="00E746C4">
        <w:rPr>
          <w:rFonts w:ascii="Times New Roman" w:hAnsi="Times New Roman" w:cs="Times New Roman"/>
          <w:b/>
          <w:bCs/>
          <w:noProof/>
          <w:color w:val="000000" w:themeColor="text1"/>
          <w:sz w:val="20"/>
          <w:szCs w:val="20"/>
        </w:rPr>
        <w:t>9</w:t>
      </w:r>
      <w:r w:rsidRPr="00D03CAB">
        <w:rPr>
          <w:rFonts w:ascii="Times New Roman" w:hAnsi="Times New Roman" w:cs="Times New Roman"/>
          <w:b/>
          <w:bCs/>
          <w:i/>
          <w:iCs/>
          <w:color w:val="000000" w:themeColor="text1"/>
          <w:sz w:val="20"/>
          <w:szCs w:val="20"/>
        </w:rPr>
        <w:fldChar w:fldCharType="end"/>
      </w:r>
      <w:r w:rsidRPr="0079629A">
        <w:rPr>
          <w:rFonts w:ascii="Times New Roman" w:hAnsi="Times New Roman" w:cs="Times New Roman"/>
          <w:b/>
          <w:bCs/>
          <w:color w:val="000000" w:themeColor="text1"/>
        </w:rPr>
        <w:t xml:space="preserve"> </w:t>
      </w:r>
      <w:r w:rsidRPr="0079629A">
        <w:rPr>
          <w:rFonts w:ascii="Times New Roman" w:hAnsi="Times New Roman" w:cs="Times New Roman"/>
          <w:b/>
          <w:bCs/>
          <w:color w:val="000000" w:themeColor="text1"/>
          <w:sz w:val="20"/>
          <w:szCs w:val="20"/>
        </w:rPr>
        <w:t>Udział osób korzystających ze środowiskowej pomocy społecznej w liczbie mieszkańców ogółem na obszarze LGD w porównaniu do województwa i kraju w 202</w:t>
      </w:r>
      <w:r w:rsidR="00B1710A">
        <w:rPr>
          <w:rFonts w:ascii="Times New Roman" w:hAnsi="Times New Roman" w:cs="Times New Roman"/>
          <w:b/>
          <w:bCs/>
          <w:color w:val="000000" w:themeColor="text1"/>
          <w:sz w:val="20"/>
          <w:szCs w:val="20"/>
        </w:rPr>
        <w:t>0</w:t>
      </w:r>
      <w:r w:rsidRPr="0079629A">
        <w:rPr>
          <w:rFonts w:ascii="Times New Roman" w:hAnsi="Times New Roman" w:cs="Times New Roman"/>
          <w:b/>
          <w:bCs/>
          <w:color w:val="000000" w:themeColor="text1"/>
          <w:sz w:val="20"/>
          <w:szCs w:val="20"/>
        </w:rPr>
        <w:t xml:space="preserve"> r.</w:t>
      </w:r>
      <w:bookmarkEnd w:id="69"/>
      <w:bookmarkEnd w:id="70"/>
    </w:p>
    <w:p w14:paraId="4C23AB48" w14:textId="46F7E3D8" w:rsidR="00A17173" w:rsidRDefault="002B330D" w:rsidP="00A17173">
      <w:pPr>
        <w:spacing w:after="0"/>
        <w:jc w:val="center"/>
        <w:rPr>
          <w:noProof/>
        </w:rPr>
      </w:pPr>
      <w:r>
        <w:rPr>
          <w:noProof/>
          <w14:ligatures w14:val="standardContextual"/>
        </w:rPr>
        <w:drawing>
          <wp:inline distT="0" distB="0" distL="0" distR="0" wp14:anchorId="2EECC351" wp14:editId="73379EF4">
            <wp:extent cx="3924300" cy="1476375"/>
            <wp:effectExtent l="0" t="0" r="0" b="0"/>
            <wp:docPr id="18" name="Wykres 18">
              <a:extLst xmlns:a="http://schemas.openxmlformats.org/drawingml/2006/main">
                <a:ext uri="{FF2B5EF4-FFF2-40B4-BE49-F238E27FC236}">
                  <a16:creationId xmlns:a16="http://schemas.microsoft.com/office/drawing/2014/main" id="{D8D2D41E-EFCA-0AF7-7763-605C3AE174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6ECF23" w14:textId="77777777" w:rsidR="00A17173" w:rsidRDefault="00A17173" w:rsidP="00A17173">
      <w:pPr>
        <w:jc w:val="center"/>
        <w:rPr>
          <w:rFonts w:ascii="Times New Roman" w:hAnsi="Times New Roman" w:cs="Times New Roman"/>
          <w:i/>
          <w:iCs/>
          <w:color w:val="000000" w:themeColor="text1"/>
          <w:sz w:val="20"/>
          <w:szCs w:val="20"/>
        </w:rPr>
      </w:pPr>
      <w:r w:rsidRPr="0079629A">
        <w:rPr>
          <w:rFonts w:ascii="Times New Roman" w:hAnsi="Times New Roman" w:cs="Times New Roman"/>
          <w:i/>
          <w:iCs/>
          <w:color w:val="000000" w:themeColor="text1"/>
          <w:sz w:val="20"/>
          <w:szCs w:val="20"/>
        </w:rPr>
        <w:t xml:space="preserve">Źródło: </w:t>
      </w:r>
      <w:r>
        <w:rPr>
          <w:rFonts w:ascii="Times New Roman" w:hAnsi="Times New Roman" w:cs="Times New Roman"/>
          <w:i/>
          <w:iCs/>
          <w:color w:val="000000" w:themeColor="text1"/>
          <w:sz w:val="20"/>
          <w:szCs w:val="20"/>
        </w:rPr>
        <w:t>Opracowanie</w:t>
      </w:r>
      <w:r w:rsidRPr="0079629A">
        <w:rPr>
          <w:rFonts w:ascii="Times New Roman" w:hAnsi="Times New Roman" w:cs="Times New Roman"/>
          <w:i/>
          <w:iCs/>
          <w:color w:val="000000" w:themeColor="text1"/>
          <w:sz w:val="20"/>
          <w:szCs w:val="20"/>
        </w:rPr>
        <w:t xml:space="preserve"> własne na podstawie danych GUS</w:t>
      </w:r>
    </w:p>
    <w:p w14:paraId="290D2D5C" w14:textId="03739F10" w:rsidR="00A17173" w:rsidRDefault="00A17173" w:rsidP="00A62189">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Ponadto wśród mieszkańców korzystających </w:t>
      </w:r>
      <w:r w:rsidR="00261D5E">
        <w:rPr>
          <w:rFonts w:ascii="Times New Roman" w:hAnsi="Times New Roman" w:cs="Times New Roman"/>
          <w:color w:val="000000" w:themeColor="text1"/>
        </w:rPr>
        <w:t xml:space="preserve">w 2021 roku </w:t>
      </w:r>
      <w:r>
        <w:rPr>
          <w:rFonts w:ascii="Times New Roman" w:hAnsi="Times New Roman" w:cs="Times New Roman"/>
          <w:color w:val="000000" w:themeColor="text1"/>
        </w:rPr>
        <w:t>ze środowiskowej pomocy społecznej</w:t>
      </w:r>
      <w:r w:rsidR="00FD6AF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2F2A28">
        <w:rPr>
          <w:rFonts w:ascii="Times New Roman" w:hAnsi="Times New Roman" w:cs="Times New Roman"/>
          <w:color w:val="000000" w:themeColor="text1"/>
        </w:rPr>
        <w:t>1 204</w:t>
      </w:r>
      <w:r>
        <w:rPr>
          <w:rFonts w:ascii="Times New Roman" w:hAnsi="Times New Roman" w:cs="Times New Roman"/>
          <w:color w:val="000000" w:themeColor="text1"/>
        </w:rPr>
        <w:t xml:space="preserve"> os</w:t>
      </w:r>
      <w:r w:rsidR="00261D5E">
        <w:rPr>
          <w:rFonts w:ascii="Times New Roman" w:hAnsi="Times New Roman" w:cs="Times New Roman"/>
          <w:color w:val="000000" w:themeColor="text1"/>
        </w:rPr>
        <w:t>o</w:t>
      </w:r>
      <w:r>
        <w:rPr>
          <w:rFonts w:ascii="Times New Roman" w:hAnsi="Times New Roman" w:cs="Times New Roman"/>
          <w:color w:val="000000" w:themeColor="text1"/>
        </w:rPr>
        <w:t>b</w:t>
      </w:r>
      <w:r w:rsidR="00261D5E">
        <w:rPr>
          <w:rFonts w:ascii="Times New Roman" w:hAnsi="Times New Roman" w:cs="Times New Roman"/>
          <w:color w:val="000000" w:themeColor="text1"/>
        </w:rPr>
        <w:t>y</w:t>
      </w:r>
      <w:r>
        <w:rPr>
          <w:rFonts w:ascii="Times New Roman" w:hAnsi="Times New Roman" w:cs="Times New Roman"/>
          <w:color w:val="000000" w:themeColor="text1"/>
        </w:rPr>
        <w:t>, to osoby z niepełnosprawnościami</w:t>
      </w:r>
      <w:r w:rsidR="00261D5E">
        <w:rPr>
          <w:rFonts w:ascii="Times New Roman" w:hAnsi="Times New Roman" w:cs="Times New Roman"/>
          <w:color w:val="000000" w:themeColor="text1"/>
        </w:rPr>
        <w:t>. Najwięcej, bo 464 os</w:t>
      </w:r>
      <w:r w:rsidR="00A32E9A">
        <w:rPr>
          <w:rFonts w:ascii="Times New Roman" w:hAnsi="Times New Roman" w:cs="Times New Roman"/>
          <w:color w:val="000000" w:themeColor="text1"/>
        </w:rPr>
        <w:t>oby,</w:t>
      </w:r>
      <w:r w:rsidR="00261D5E">
        <w:rPr>
          <w:rFonts w:ascii="Times New Roman" w:hAnsi="Times New Roman" w:cs="Times New Roman"/>
          <w:color w:val="000000" w:themeColor="text1"/>
        </w:rPr>
        <w:t xml:space="preserve"> ma orzeczenie o niepełnosprawności w stopniu umiarkowany</w:t>
      </w:r>
      <w:r w:rsidR="00A32E9A">
        <w:rPr>
          <w:rFonts w:ascii="Times New Roman" w:hAnsi="Times New Roman" w:cs="Times New Roman"/>
          <w:color w:val="000000" w:themeColor="text1"/>
        </w:rPr>
        <w:t>m</w:t>
      </w:r>
      <w:r w:rsidR="00261D5E">
        <w:rPr>
          <w:rFonts w:ascii="Times New Roman" w:hAnsi="Times New Roman" w:cs="Times New Roman"/>
          <w:color w:val="000000" w:themeColor="text1"/>
        </w:rPr>
        <w:t>, 350 osób w stopniu znacznym, a 255 osób to dzieci do 16</w:t>
      </w:r>
      <w:r w:rsidR="000F3558">
        <w:rPr>
          <w:rFonts w:ascii="Times New Roman" w:hAnsi="Times New Roman" w:cs="Times New Roman"/>
          <w:color w:val="000000" w:themeColor="text1"/>
        </w:rPr>
        <w:t>.</w:t>
      </w:r>
      <w:r w:rsidR="00261D5E">
        <w:rPr>
          <w:rFonts w:ascii="Times New Roman" w:hAnsi="Times New Roman" w:cs="Times New Roman"/>
          <w:color w:val="000000" w:themeColor="text1"/>
        </w:rPr>
        <w:t xml:space="preserve"> roku życia </w:t>
      </w:r>
      <w:r w:rsidR="003448FD">
        <w:rPr>
          <w:rStyle w:val="Odwoanieprzypisudolnego"/>
          <w:rFonts w:ascii="Times New Roman" w:hAnsi="Times New Roman" w:cs="Times New Roman"/>
          <w:color w:val="000000" w:themeColor="text1"/>
        </w:rPr>
        <w:footnoteReference w:id="13"/>
      </w:r>
      <w:r>
        <w:rPr>
          <w:rFonts w:ascii="Times New Roman" w:hAnsi="Times New Roman" w:cs="Times New Roman"/>
          <w:color w:val="000000" w:themeColor="text1"/>
        </w:rPr>
        <w:t xml:space="preserve">. </w:t>
      </w:r>
    </w:p>
    <w:p w14:paraId="2D41A64F" w14:textId="11E5C0EC" w:rsidR="00661FF5" w:rsidRDefault="00661FF5" w:rsidP="00A62189">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Z danych przekazanych przez Starostwo Powiatowe w Białej Podlaskiej </w:t>
      </w:r>
      <w:r w:rsidR="00E75D94">
        <w:rPr>
          <w:rFonts w:ascii="Times New Roman" w:hAnsi="Times New Roman" w:cs="Times New Roman"/>
          <w:color w:val="000000" w:themeColor="text1"/>
        </w:rPr>
        <w:t xml:space="preserve">wynika, iż </w:t>
      </w:r>
      <w:r>
        <w:rPr>
          <w:rFonts w:ascii="Times New Roman" w:hAnsi="Times New Roman" w:cs="Times New Roman"/>
          <w:color w:val="000000" w:themeColor="text1"/>
        </w:rPr>
        <w:t>w 20</w:t>
      </w:r>
      <w:r w:rsidR="000F3558">
        <w:rPr>
          <w:rFonts w:ascii="Times New Roman" w:hAnsi="Times New Roman" w:cs="Times New Roman"/>
          <w:color w:val="000000" w:themeColor="text1"/>
        </w:rPr>
        <w:t>20</w:t>
      </w:r>
      <w:r>
        <w:rPr>
          <w:rFonts w:ascii="Times New Roman" w:hAnsi="Times New Roman" w:cs="Times New Roman"/>
          <w:color w:val="000000" w:themeColor="text1"/>
        </w:rPr>
        <w:t xml:space="preserve"> </w:t>
      </w:r>
      <w:r w:rsidR="00A32E9A">
        <w:rPr>
          <w:rFonts w:ascii="Times New Roman" w:hAnsi="Times New Roman" w:cs="Times New Roman"/>
          <w:color w:val="000000" w:themeColor="text1"/>
        </w:rPr>
        <w:t xml:space="preserve">r. </w:t>
      </w:r>
      <w:r>
        <w:rPr>
          <w:rFonts w:ascii="Times New Roman" w:hAnsi="Times New Roman" w:cs="Times New Roman"/>
          <w:color w:val="000000" w:themeColor="text1"/>
        </w:rPr>
        <w:t>Powiatowy Zespół do Spraw Orzekania o Niepełnosprawno</w:t>
      </w:r>
      <w:r w:rsidR="00D341FB">
        <w:rPr>
          <w:rFonts w:ascii="Times New Roman" w:hAnsi="Times New Roman" w:cs="Times New Roman"/>
          <w:color w:val="000000" w:themeColor="text1"/>
        </w:rPr>
        <w:t xml:space="preserve">ści wydał łącznie </w:t>
      </w:r>
      <w:r w:rsidR="000F3558">
        <w:rPr>
          <w:rFonts w:ascii="Times New Roman" w:hAnsi="Times New Roman" w:cs="Times New Roman"/>
          <w:color w:val="000000" w:themeColor="text1"/>
        </w:rPr>
        <w:t>576</w:t>
      </w:r>
      <w:r w:rsidR="00D341FB">
        <w:rPr>
          <w:rFonts w:ascii="Times New Roman" w:hAnsi="Times New Roman" w:cs="Times New Roman"/>
          <w:color w:val="000000" w:themeColor="text1"/>
        </w:rPr>
        <w:t xml:space="preserve"> orzeczeń, w tym </w:t>
      </w:r>
      <w:r w:rsidR="000F3558">
        <w:rPr>
          <w:rFonts w:ascii="Times New Roman" w:hAnsi="Times New Roman" w:cs="Times New Roman"/>
          <w:color w:val="000000" w:themeColor="text1"/>
        </w:rPr>
        <w:t xml:space="preserve">419 </w:t>
      </w:r>
      <w:r w:rsidR="00D341FB">
        <w:rPr>
          <w:rFonts w:ascii="Times New Roman" w:hAnsi="Times New Roman" w:cs="Times New Roman"/>
          <w:color w:val="000000" w:themeColor="text1"/>
        </w:rPr>
        <w:t>orzecze</w:t>
      </w:r>
      <w:r w:rsidR="000F3558">
        <w:rPr>
          <w:rFonts w:ascii="Times New Roman" w:hAnsi="Times New Roman" w:cs="Times New Roman"/>
          <w:color w:val="000000" w:themeColor="text1"/>
        </w:rPr>
        <w:t>ń</w:t>
      </w:r>
      <w:r w:rsidR="00D341FB">
        <w:rPr>
          <w:rFonts w:ascii="Times New Roman" w:hAnsi="Times New Roman" w:cs="Times New Roman"/>
          <w:color w:val="000000" w:themeColor="text1"/>
        </w:rPr>
        <w:t xml:space="preserve"> dl</w:t>
      </w:r>
      <w:r w:rsidR="000F3558">
        <w:rPr>
          <w:rFonts w:ascii="Times New Roman" w:hAnsi="Times New Roman" w:cs="Times New Roman"/>
          <w:color w:val="000000" w:themeColor="text1"/>
        </w:rPr>
        <w:t>a</w:t>
      </w:r>
      <w:r w:rsidR="00D341FB">
        <w:rPr>
          <w:rFonts w:ascii="Times New Roman" w:hAnsi="Times New Roman" w:cs="Times New Roman"/>
          <w:color w:val="000000" w:themeColor="text1"/>
        </w:rPr>
        <w:t xml:space="preserve"> osób powyżej 16. roku życia, a 1</w:t>
      </w:r>
      <w:r w:rsidR="000F3558">
        <w:rPr>
          <w:rFonts w:ascii="Times New Roman" w:hAnsi="Times New Roman" w:cs="Times New Roman"/>
          <w:color w:val="000000" w:themeColor="text1"/>
        </w:rPr>
        <w:t>57</w:t>
      </w:r>
      <w:r w:rsidR="00D341FB">
        <w:rPr>
          <w:rFonts w:ascii="Times New Roman" w:hAnsi="Times New Roman" w:cs="Times New Roman"/>
          <w:color w:val="000000" w:themeColor="text1"/>
        </w:rPr>
        <w:t xml:space="preserve"> poniżej 16. roku życia. Natomiast w roku 2021 </w:t>
      </w:r>
      <w:r w:rsidR="000F3558">
        <w:rPr>
          <w:rFonts w:ascii="Times New Roman" w:hAnsi="Times New Roman" w:cs="Times New Roman"/>
          <w:color w:val="000000" w:themeColor="text1"/>
        </w:rPr>
        <w:t xml:space="preserve">liczba wydanych orzeczeń wzrosła, </w:t>
      </w:r>
      <w:r w:rsidR="00D341FB">
        <w:rPr>
          <w:rFonts w:ascii="Times New Roman" w:hAnsi="Times New Roman" w:cs="Times New Roman"/>
          <w:color w:val="000000" w:themeColor="text1"/>
        </w:rPr>
        <w:t xml:space="preserve">łącznie </w:t>
      </w:r>
      <w:r w:rsidR="000F3558">
        <w:rPr>
          <w:rFonts w:ascii="Times New Roman" w:hAnsi="Times New Roman" w:cs="Times New Roman"/>
          <w:color w:val="000000" w:themeColor="text1"/>
        </w:rPr>
        <w:t xml:space="preserve">zostało wydanych </w:t>
      </w:r>
      <w:r w:rsidR="00D341FB">
        <w:rPr>
          <w:rFonts w:ascii="Times New Roman" w:hAnsi="Times New Roman" w:cs="Times New Roman"/>
          <w:color w:val="000000" w:themeColor="text1"/>
        </w:rPr>
        <w:t>679 orzeczeń, w tym 513 dla osób powyżej 16. roku życia, a 166</w:t>
      </w:r>
      <w:r w:rsidR="000F3558">
        <w:rPr>
          <w:rFonts w:ascii="Times New Roman" w:hAnsi="Times New Roman" w:cs="Times New Roman"/>
          <w:color w:val="000000" w:themeColor="text1"/>
        </w:rPr>
        <w:t xml:space="preserve"> dla osób poniżej 16. roku życia. </w:t>
      </w:r>
      <w:r w:rsidR="005A1F77">
        <w:rPr>
          <w:rFonts w:ascii="Times New Roman" w:hAnsi="Times New Roman" w:cs="Times New Roman"/>
          <w:color w:val="000000" w:themeColor="text1"/>
        </w:rPr>
        <w:t>Wzrost orzeczeń odnotowano zarówno wśród dzieci jak i dorosłych.</w:t>
      </w:r>
    </w:p>
    <w:p w14:paraId="35D8ECC5" w14:textId="482C7E71" w:rsidR="00E860C3" w:rsidRDefault="00A17173" w:rsidP="00195FBC">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Wartość wskaźnika</w:t>
      </w:r>
      <w:r w:rsidRPr="00823520">
        <w:rPr>
          <w:rFonts w:ascii="Times New Roman" w:hAnsi="Times New Roman" w:cs="Times New Roman"/>
          <w:i/>
          <w:iCs/>
          <w:color w:val="000000" w:themeColor="text1"/>
        </w:rPr>
        <w:t xml:space="preserve"> </w:t>
      </w:r>
      <w:r w:rsidRPr="00A1797C">
        <w:rPr>
          <w:rFonts w:ascii="Times New Roman" w:hAnsi="Times New Roman" w:cs="Times New Roman"/>
          <w:i/>
          <w:iCs/>
          <w:color w:val="000000" w:themeColor="text1"/>
        </w:rPr>
        <w:t>gospodarstwa domowe korzystające ze środowiskowej pomocy społecznej wg kryterium dochodowego na 10 tys. mieszkańców</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 xml:space="preserve">spadała z roku na rok, </w:t>
      </w:r>
      <w:r w:rsidR="00A32E9A">
        <w:rPr>
          <w:rFonts w:ascii="Times New Roman" w:hAnsi="Times New Roman" w:cs="Times New Roman"/>
          <w:color w:val="000000" w:themeColor="text1"/>
        </w:rPr>
        <w:t>jednak</w:t>
      </w:r>
      <w:r>
        <w:rPr>
          <w:rFonts w:ascii="Times New Roman" w:hAnsi="Times New Roman" w:cs="Times New Roman"/>
          <w:color w:val="000000" w:themeColor="text1"/>
        </w:rPr>
        <w:t xml:space="preserve"> w ostatnim analizowanym roku wskaźnik dla obszaru LGD (</w:t>
      </w:r>
      <w:r w:rsidR="002F2A28">
        <w:rPr>
          <w:rFonts w:ascii="Times New Roman" w:hAnsi="Times New Roman" w:cs="Times New Roman"/>
          <w:color w:val="000000" w:themeColor="text1"/>
        </w:rPr>
        <w:t>2</w:t>
      </w:r>
      <w:r w:rsidR="00537E15">
        <w:rPr>
          <w:rFonts w:ascii="Times New Roman" w:hAnsi="Times New Roman" w:cs="Times New Roman"/>
          <w:color w:val="000000" w:themeColor="text1"/>
        </w:rPr>
        <w:t>19</w:t>
      </w:r>
      <w:r>
        <w:rPr>
          <w:rFonts w:ascii="Times New Roman" w:hAnsi="Times New Roman" w:cs="Times New Roman"/>
          <w:color w:val="000000" w:themeColor="text1"/>
        </w:rPr>
        <w:t>) był wyższy od średniej dla województwa (</w:t>
      </w:r>
      <w:r w:rsidR="00537E15">
        <w:rPr>
          <w:rFonts w:ascii="Times New Roman" w:hAnsi="Times New Roman" w:cs="Times New Roman"/>
          <w:color w:val="000000" w:themeColor="text1"/>
        </w:rPr>
        <w:t>194</w:t>
      </w:r>
      <w:r>
        <w:rPr>
          <w:rFonts w:ascii="Times New Roman" w:hAnsi="Times New Roman" w:cs="Times New Roman"/>
          <w:color w:val="000000" w:themeColor="text1"/>
        </w:rPr>
        <w:t>) i średniej dla kraju (1</w:t>
      </w:r>
      <w:r w:rsidR="00537E15">
        <w:rPr>
          <w:rFonts w:ascii="Times New Roman" w:hAnsi="Times New Roman" w:cs="Times New Roman"/>
          <w:color w:val="000000" w:themeColor="text1"/>
        </w:rPr>
        <w:t>85</w:t>
      </w:r>
      <w:r>
        <w:rPr>
          <w:rFonts w:ascii="Times New Roman" w:hAnsi="Times New Roman" w:cs="Times New Roman"/>
          <w:color w:val="000000" w:themeColor="text1"/>
        </w:rPr>
        <w:t xml:space="preserve">). Wartość wskaźnika </w:t>
      </w:r>
      <w:r w:rsidRPr="00A1797C">
        <w:rPr>
          <w:rFonts w:ascii="Times New Roman" w:hAnsi="Times New Roman" w:cs="Times New Roman"/>
          <w:i/>
          <w:iCs/>
          <w:color w:val="000000" w:themeColor="text1"/>
        </w:rPr>
        <w:t>rodziny otrzymujące zasiłki rodzinne na dzieci w przeliczeniu na 1 000 mieszkańców ogółem</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 xml:space="preserve">dla całego obszaru wynosiła w 2021 r. </w:t>
      </w:r>
      <w:r w:rsidR="002F2A28">
        <w:rPr>
          <w:rFonts w:ascii="Times New Roman" w:hAnsi="Times New Roman" w:cs="Times New Roman"/>
          <w:color w:val="000000" w:themeColor="text1"/>
        </w:rPr>
        <w:t>3</w:t>
      </w:r>
      <w:r w:rsidR="009F69E3">
        <w:rPr>
          <w:rFonts w:ascii="Times New Roman" w:hAnsi="Times New Roman" w:cs="Times New Roman"/>
          <w:color w:val="000000" w:themeColor="text1"/>
        </w:rPr>
        <w:t>1</w:t>
      </w:r>
      <w:r>
        <w:rPr>
          <w:rFonts w:ascii="Times New Roman" w:hAnsi="Times New Roman" w:cs="Times New Roman"/>
          <w:color w:val="000000" w:themeColor="text1"/>
        </w:rPr>
        <w:t xml:space="preserve"> rodzin i</w:t>
      </w:r>
      <w:r w:rsidR="002F2A28">
        <w:rPr>
          <w:rFonts w:ascii="Times New Roman" w:hAnsi="Times New Roman" w:cs="Times New Roman"/>
          <w:color w:val="000000" w:themeColor="text1"/>
        </w:rPr>
        <w:t xml:space="preserve"> również</w:t>
      </w:r>
      <w:r>
        <w:rPr>
          <w:rFonts w:ascii="Times New Roman" w:hAnsi="Times New Roman" w:cs="Times New Roman"/>
          <w:color w:val="000000" w:themeColor="text1"/>
        </w:rPr>
        <w:t xml:space="preserve"> była wyższa od średniej dla województwa (</w:t>
      </w:r>
      <w:r w:rsidR="009F69E3">
        <w:rPr>
          <w:rFonts w:ascii="Times New Roman" w:hAnsi="Times New Roman" w:cs="Times New Roman"/>
          <w:color w:val="000000" w:themeColor="text1"/>
        </w:rPr>
        <w:t>24</w:t>
      </w:r>
      <w:r>
        <w:rPr>
          <w:rFonts w:ascii="Times New Roman" w:hAnsi="Times New Roman" w:cs="Times New Roman"/>
          <w:color w:val="000000" w:themeColor="text1"/>
        </w:rPr>
        <w:t>) oraz kraju (</w:t>
      </w:r>
      <w:r w:rsidR="009F69E3">
        <w:rPr>
          <w:rFonts w:ascii="Times New Roman" w:hAnsi="Times New Roman" w:cs="Times New Roman"/>
          <w:color w:val="000000" w:themeColor="text1"/>
        </w:rPr>
        <w:t>18</w:t>
      </w:r>
      <w:r>
        <w:rPr>
          <w:rFonts w:ascii="Times New Roman" w:hAnsi="Times New Roman" w:cs="Times New Roman"/>
          <w:color w:val="000000" w:themeColor="text1"/>
        </w:rPr>
        <w:t>). Pozytywnym zjawiskiem jest to, iż wartość tego wskaźnika cały czas maleje. Podobna sytuacja miała miejsce w przypadku wskaźnika</w:t>
      </w:r>
      <w:r w:rsidRPr="005B5A78">
        <w:rPr>
          <w:rFonts w:ascii="Times New Roman" w:hAnsi="Times New Roman" w:cs="Times New Roman"/>
          <w:color w:val="000000" w:themeColor="text1"/>
        </w:rPr>
        <w:t xml:space="preserve"> </w:t>
      </w:r>
      <w:r w:rsidRPr="00A1797C">
        <w:rPr>
          <w:rFonts w:ascii="Times New Roman" w:hAnsi="Times New Roman" w:cs="Times New Roman"/>
          <w:i/>
          <w:iCs/>
          <w:color w:val="000000" w:themeColor="text1"/>
        </w:rPr>
        <w:t>udział % dzieci w wieku do lat 17, na które rodzice otrzymują zasiłek rodzinny w ogólnej liczbie dzieci w</w:t>
      </w:r>
      <w:r>
        <w:rPr>
          <w:rFonts w:ascii="Times New Roman" w:hAnsi="Times New Roman" w:cs="Times New Roman"/>
          <w:i/>
          <w:iCs/>
          <w:color w:val="000000" w:themeColor="text1"/>
        </w:rPr>
        <w:t> </w:t>
      </w:r>
      <w:r w:rsidRPr="00A1797C">
        <w:rPr>
          <w:rFonts w:ascii="Times New Roman" w:hAnsi="Times New Roman" w:cs="Times New Roman"/>
          <w:i/>
          <w:iCs/>
          <w:color w:val="000000" w:themeColor="text1"/>
        </w:rPr>
        <w:t>tym wieku</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który w 2020 r. wynosił 3</w:t>
      </w:r>
      <w:r w:rsidR="009F69E3">
        <w:rPr>
          <w:rFonts w:ascii="Times New Roman" w:hAnsi="Times New Roman" w:cs="Times New Roman"/>
          <w:color w:val="000000" w:themeColor="text1"/>
        </w:rPr>
        <w:t>2</w:t>
      </w:r>
      <w:r>
        <w:rPr>
          <w:rFonts w:ascii="Times New Roman" w:hAnsi="Times New Roman" w:cs="Times New Roman"/>
          <w:color w:val="000000" w:themeColor="text1"/>
        </w:rPr>
        <w:t>% dla całego obszaru i również był wyższy niż średnia dla kraju (</w:t>
      </w:r>
      <w:r w:rsidR="009F69E3">
        <w:rPr>
          <w:rFonts w:ascii="Times New Roman" w:hAnsi="Times New Roman" w:cs="Times New Roman"/>
          <w:color w:val="000000" w:themeColor="text1"/>
        </w:rPr>
        <w:t>20</w:t>
      </w:r>
      <w:r>
        <w:rPr>
          <w:rFonts w:ascii="Times New Roman" w:hAnsi="Times New Roman" w:cs="Times New Roman"/>
          <w:color w:val="000000" w:themeColor="text1"/>
        </w:rPr>
        <w:t>%) oraz województwa (2</w:t>
      </w:r>
      <w:r w:rsidR="009F69E3">
        <w:rPr>
          <w:rFonts w:ascii="Times New Roman" w:hAnsi="Times New Roman" w:cs="Times New Roman"/>
          <w:color w:val="000000" w:themeColor="text1"/>
        </w:rPr>
        <w:t>6</w:t>
      </w:r>
      <w:r>
        <w:rPr>
          <w:rFonts w:ascii="Times New Roman" w:hAnsi="Times New Roman" w:cs="Times New Roman"/>
          <w:color w:val="000000" w:themeColor="text1"/>
        </w:rPr>
        <w:t>%). Jednak również ten wskaźnik spada z roku na rok. Wszystkie powyższe wskaźniki zostały przedstawione w tabelach 10</w:t>
      </w:r>
      <w:r w:rsidR="006B2D4F">
        <w:rPr>
          <w:rFonts w:ascii="Times New Roman" w:hAnsi="Times New Roman" w:cs="Times New Roman"/>
          <w:color w:val="000000" w:themeColor="text1"/>
        </w:rPr>
        <w:t>–11</w:t>
      </w:r>
      <w:r>
        <w:rPr>
          <w:rFonts w:ascii="Times New Roman" w:hAnsi="Times New Roman" w:cs="Times New Roman"/>
          <w:color w:val="000000" w:themeColor="text1"/>
        </w:rPr>
        <w:t>.</w:t>
      </w:r>
      <w:bookmarkStart w:id="71" w:name="_Toc115335604"/>
      <w:r w:rsidR="00E860C3">
        <w:rPr>
          <w:rFonts w:ascii="Times New Roman" w:hAnsi="Times New Roman" w:cs="Times New Roman"/>
          <w:color w:val="000000" w:themeColor="text1"/>
        </w:rPr>
        <w:br w:type="page"/>
      </w:r>
    </w:p>
    <w:p w14:paraId="6E26036D" w14:textId="06663FCE" w:rsidR="00A17173" w:rsidRPr="00B86B0F" w:rsidRDefault="00A17173" w:rsidP="00195FBC">
      <w:pPr>
        <w:spacing w:after="0" w:line="276" w:lineRule="auto"/>
        <w:ind w:firstLine="709"/>
        <w:jc w:val="center"/>
        <w:rPr>
          <w:rFonts w:ascii="Times New Roman" w:hAnsi="Times New Roman" w:cs="Times New Roman"/>
        </w:rPr>
      </w:pPr>
      <w:bookmarkStart w:id="72" w:name="_Toc135896552"/>
      <w:r w:rsidRPr="00D56A89">
        <w:rPr>
          <w:rFonts w:ascii="Times New Roman" w:hAnsi="Times New Roman" w:cs="Times New Roman"/>
          <w:b/>
          <w:bCs/>
          <w:color w:val="000000" w:themeColor="text1"/>
          <w:sz w:val="20"/>
          <w:szCs w:val="20"/>
        </w:rPr>
        <w:lastRenderedPageBreak/>
        <w:t xml:space="preserve">Tabela </w:t>
      </w:r>
      <w:r w:rsidRPr="00D56A89">
        <w:rPr>
          <w:rFonts w:ascii="Times New Roman" w:hAnsi="Times New Roman" w:cs="Times New Roman"/>
          <w:b/>
          <w:bCs/>
          <w:i/>
          <w:iCs/>
          <w:color w:val="000000" w:themeColor="text1"/>
          <w:sz w:val="20"/>
          <w:szCs w:val="20"/>
        </w:rPr>
        <w:fldChar w:fldCharType="begin"/>
      </w:r>
      <w:r w:rsidRPr="00D56A89">
        <w:rPr>
          <w:rFonts w:ascii="Times New Roman" w:hAnsi="Times New Roman" w:cs="Times New Roman"/>
          <w:b/>
          <w:bCs/>
          <w:color w:val="000000" w:themeColor="text1"/>
          <w:sz w:val="20"/>
          <w:szCs w:val="20"/>
        </w:rPr>
        <w:instrText xml:space="preserve"> SEQ Tabela \* ARABIC </w:instrText>
      </w:r>
      <w:r w:rsidRPr="00D56A89">
        <w:rPr>
          <w:rFonts w:ascii="Times New Roman" w:hAnsi="Times New Roman" w:cs="Times New Roman"/>
          <w:b/>
          <w:bCs/>
          <w:i/>
          <w:iCs/>
          <w:color w:val="000000" w:themeColor="text1"/>
          <w:sz w:val="20"/>
          <w:szCs w:val="20"/>
        </w:rPr>
        <w:fldChar w:fldCharType="separate"/>
      </w:r>
      <w:r w:rsidR="006B2D4F">
        <w:rPr>
          <w:rFonts w:ascii="Times New Roman" w:hAnsi="Times New Roman" w:cs="Times New Roman"/>
          <w:b/>
          <w:bCs/>
          <w:noProof/>
          <w:color w:val="000000" w:themeColor="text1"/>
          <w:sz w:val="20"/>
          <w:szCs w:val="20"/>
        </w:rPr>
        <w:t>10</w:t>
      </w:r>
      <w:r w:rsidRPr="00D56A89">
        <w:rPr>
          <w:rFonts w:ascii="Times New Roman" w:hAnsi="Times New Roman" w:cs="Times New Roman"/>
          <w:b/>
          <w:bCs/>
          <w:i/>
          <w:iCs/>
          <w:color w:val="000000" w:themeColor="text1"/>
          <w:sz w:val="20"/>
          <w:szCs w:val="20"/>
        </w:rPr>
        <w:fldChar w:fldCharType="end"/>
      </w:r>
      <w:r>
        <w:t xml:space="preserve"> </w:t>
      </w:r>
      <w:r w:rsidRPr="00B86B0F">
        <w:rPr>
          <w:rFonts w:ascii="Times New Roman" w:hAnsi="Times New Roman" w:cs="Times New Roman"/>
          <w:b/>
          <w:bCs/>
          <w:color w:val="000000" w:themeColor="text1"/>
          <w:sz w:val="20"/>
          <w:szCs w:val="20"/>
        </w:rPr>
        <w:t xml:space="preserve">Gospodarstwa domowe korzystające ze środowiskowej pomocy społecznej wg kryterium dochodowego ogółem na 10 tys. mieszkańców </w:t>
      </w:r>
      <w:r>
        <w:rPr>
          <w:rFonts w:ascii="Times New Roman" w:hAnsi="Times New Roman" w:cs="Times New Roman"/>
          <w:b/>
          <w:bCs/>
          <w:color w:val="000000" w:themeColor="text1"/>
          <w:sz w:val="20"/>
          <w:szCs w:val="20"/>
        </w:rPr>
        <w:t xml:space="preserve">– </w:t>
      </w:r>
      <w:r w:rsidRPr="00B86B0F">
        <w:rPr>
          <w:rFonts w:ascii="Times New Roman" w:hAnsi="Times New Roman" w:cs="Times New Roman"/>
          <w:b/>
          <w:bCs/>
          <w:color w:val="000000" w:themeColor="text1"/>
          <w:sz w:val="20"/>
          <w:szCs w:val="20"/>
        </w:rPr>
        <w:t xml:space="preserve">porównanie średniej </w:t>
      </w:r>
      <w:r>
        <w:rPr>
          <w:rFonts w:ascii="Times New Roman" w:hAnsi="Times New Roman" w:cs="Times New Roman"/>
          <w:b/>
          <w:bCs/>
          <w:color w:val="000000" w:themeColor="text1"/>
          <w:sz w:val="20"/>
          <w:szCs w:val="20"/>
        </w:rPr>
        <w:t xml:space="preserve">obszaru </w:t>
      </w:r>
      <w:r w:rsidRPr="00B86B0F">
        <w:rPr>
          <w:rFonts w:ascii="Times New Roman" w:hAnsi="Times New Roman" w:cs="Times New Roman"/>
          <w:b/>
          <w:bCs/>
          <w:color w:val="000000" w:themeColor="text1"/>
          <w:sz w:val="20"/>
          <w:szCs w:val="20"/>
        </w:rPr>
        <w:t xml:space="preserve">LGD do województwa i kraju </w:t>
      </w:r>
      <w:r>
        <w:rPr>
          <w:rFonts w:ascii="Times New Roman" w:hAnsi="Times New Roman" w:cs="Times New Roman"/>
          <w:b/>
          <w:bCs/>
          <w:color w:val="000000" w:themeColor="text1"/>
          <w:sz w:val="20"/>
          <w:szCs w:val="20"/>
        </w:rPr>
        <w:br/>
      </w:r>
      <w:r w:rsidRPr="00B86B0F">
        <w:rPr>
          <w:rFonts w:ascii="Times New Roman" w:hAnsi="Times New Roman" w:cs="Times New Roman"/>
          <w:b/>
          <w:bCs/>
          <w:color w:val="000000" w:themeColor="text1"/>
          <w:sz w:val="20"/>
          <w:szCs w:val="20"/>
        </w:rPr>
        <w:t>w latach 2016–202</w:t>
      </w:r>
      <w:bookmarkEnd w:id="71"/>
      <w:r w:rsidR="00A83E5F">
        <w:rPr>
          <w:rFonts w:ascii="Times New Roman" w:hAnsi="Times New Roman" w:cs="Times New Roman"/>
          <w:b/>
          <w:bCs/>
          <w:color w:val="000000" w:themeColor="text1"/>
          <w:sz w:val="20"/>
          <w:szCs w:val="20"/>
        </w:rPr>
        <w:t>0</w:t>
      </w:r>
      <w:bookmarkEnd w:id="72"/>
    </w:p>
    <w:tbl>
      <w:tblPr>
        <w:tblW w:w="5000" w:type="pct"/>
        <w:tblCellMar>
          <w:left w:w="70" w:type="dxa"/>
          <w:right w:w="70" w:type="dxa"/>
        </w:tblCellMar>
        <w:tblLook w:val="04A0" w:firstRow="1" w:lastRow="0" w:firstColumn="1" w:lastColumn="0" w:noHBand="0" w:noVBand="1"/>
      </w:tblPr>
      <w:tblGrid>
        <w:gridCol w:w="3200"/>
        <w:gridCol w:w="1166"/>
        <w:gridCol w:w="1166"/>
        <w:gridCol w:w="1166"/>
        <w:gridCol w:w="1166"/>
        <w:gridCol w:w="1166"/>
        <w:gridCol w:w="1164"/>
      </w:tblGrid>
      <w:tr w:rsidR="00537E15" w:rsidRPr="007366D8" w14:paraId="0ECA5ECF" w14:textId="67C95CD8" w:rsidTr="00537E15">
        <w:trPr>
          <w:trHeight w:val="340"/>
        </w:trPr>
        <w:tc>
          <w:tcPr>
            <w:tcW w:w="156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35E63CF" w14:textId="77777777" w:rsidR="00537E15" w:rsidRPr="007366D8" w:rsidRDefault="00537E15" w:rsidP="00E15165">
            <w:pPr>
              <w:spacing w:after="0" w:line="240" w:lineRule="auto"/>
              <w:jc w:val="center"/>
              <w:rPr>
                <w:rFonts w:ascii="Times New Roman" w:eastAsia="Times New Roman" w:hAnsi="Times New Roman" w:cs="Times New Roman"/>
                <w:b/>
                <w:bCs/>
                <w:color w:val="000000"/>
                <w:sz w:val="20"/>
                <w:szCs w:val="20"/>
                <w:lang w:eastAsia="pl-PL"/>
              </w:rPr>
            </w:pPr>
            <w:r w:rsidRPr="007366D8">
              <w:rPr>
                <w:rFonts w:ascii="Times New Roman" w:eastAsia="Times New Roman" w:hAnsi="Times New Roman" w:cs="Times New Roman"/>
                <w:b/>
                <w:bCs/>
                <w:color w:val="000000"/>
                <w:sz w:val="20"/>
                <w:szCs w:val="20"/>
                <w:lang w:eastAsia="pl-PL"/>
              </w:rPr>
              <w:t>Jednostka terytorialna</w:t>
            </w:r>
          </w:p>
        </w:tc>
        <w:tc>
          <w:tcPr>
            <w:tcW w:w="572" w:type="pct"/>
            <w:tcBorders>
              <w:top w:val="single" w:sz="4" w:space="0" w:color="auto"/>
              <w:left w:val="nil"/>
              <w:bottom w:val="single" w:sz="4" w:space="0" w:color="auto"/>
              <w:right w:val="single" w:sz="4" w:space="0" w:color="auto"/>
            </w:tcBorders>
            <w:shd w:val="clear" w:color="000000" w:fill="F2F2F2"/>
            <w:noWrap/>
            <w:vAlign w:val="center"/>
            <w:hideMark/>
          </w:tcPr>
          <w:p w14:paraId="1727D5BE" w14:textId="77777777" w:rsidR="00537E15" w:rsidRPr="007366D8" w:rsidRDefault="00537E15" w:rsidP="00E15165">
            <w:pPr>
              <w:spacing w:after="0" w:line="240" w:lineRule="auto"/>
              <w:jc w:val="center"/>
              <w:rPr>
                <w:rFonts w:ascii="Times New Roman" w:eastAsia="Times New Roman" w:hAnsi="Times New Roman" w:cs="Times New Roman"/>
                <w:b/>
                <w:bCs/>
                <w:color w:val="000000"/>
                <w:sz w:val="20"/>
                <w:szCs w:val="20"/>
                <w:lang w:eastAsia="pl-PL"/>
              </w:rPr>
            </w:pPr>
            <w:r w:rsidRPr="007366D8">
              <w:rPr>
                <w:rFonts w:ascii="Times New Roman" w:eastAsia="Times New Roman" w:hAnsi="Times New Roman" w:cs="Times New Roman"/>
                <w:b/>
                <w:bCs/>
                <w:color w:val="000000"/>
                <w:sz w:val="20"/>
                <w:szCs w:val="20"/>
                <w:lang w:eastAsia="pl-PL"/>
              </w:rPr>
              <w:t>2016</w:t>
            </w:r>
          </w:p>
        </w:tc>
        <w:tc>
          <w:tcPr>
            <w:tcW w:w="572" w:type="pct"/>
            <w:tcBorders>
              <w:top w:val="single" w:sz="4" w:space="0" w:color="auto"/>
              <w:left w:val="nil"/>
              <w:bottom w:val="single" w:sz="4" w:space="0" w:color="auto"/>
              <w:right w:val="single" w:sz="4" w:space="0" w:color="auto"/>
            </w:tcBorders>
            <w:shd w:val="clear" w:color="000000" w:fill="F2F2F2"/>
            <w:noWrap/>
            <w:vAlign w:val="center"/>
            <w:hideMark/>
          </w:tcPr>
          <w:p w14:paraId="6E3F8FD2" w14:textId="77777777" w:rsidR="00537E15" w:rsidRPr="007366D8" w:rsidRDefault="00537E15" w:rsidP="00E15165">
            <w:pPr>
              <w:spacing w:after="0" w:line="240" w:lineRule="auto"/>
              <w:jc w:val="center"/>
              <w:rPr>
                <w:rFonts w:ascii="Times New Roman" w:eastAsia="Times New Roman" w:hAnsi="Times New Roman" w:cs="Times New Roman"/>
                <w:b/>
                <w:bCs/>
                <w:color w:val="000000"/>
                <w:sz w:val="20"/>
                <w:szCs w:val="20"/>
                <w:lang w:eastAsia="pl-PL"/>
              </w:rPr>
            </w:pPr>
            <w:r w:rsidRPr="007366D8">
              <w:rPr>
                <w:rFonts w:ascii="Times New Roman" w:eastAsia="Times New Roman" w:hAnsi="Times New Roman" w:cs="Times New Roman"/>
                <w:b/>
                <w:bCs/>
                <w:color w:val="000000"/>
                <w:sz w:val="20"/>
                <w:szCs w:val="20"/>
                <w:lang w:eastAsia="pl-PL"/>
              </w:rPr>
              <w:t>2017</w:t>
            </w:r>
          </w:p>
        </w:tc>
        <w:tc>
          <w:tcPr>
            <w:tcW w:w="572" w:type="pct"/>
            <w:tcBorders>
              <w:top w:val="single" w:sz="4" w:space="0" w:color="auto"/>
              <w:left w:val="nil"/>
              <w:bottom w:val="single" w:sz="4" w:space="0" w:color="auto"/>
              <w:right w:val="single" w:sz="4" w:space="0" w:color="auto"/>
            </w:tcBorders>
            <w:shd w:val="clear" w:color="000000" w:fill="F2F2F2"/>
            <w:noWrap/>
            <w:vAlign w:val="center"/>
            <w:hideMark/>
          </w:tcPr>
          <w:p w14:paraId="177D552A" w14:textId="77777777" w:rsidR="00537E15" w:rsidRPr="007366D8" w:rsidRDefault="00537E15" w:rsidP="00E15165">
            <w:pPr>
              <w:spacing w:after="0" w:line="240" w:lineRule="auto"/>
              <w:jc w:val="center"/>
              <w:rPr>
                <w:rFonts w:ascii="Times New Roman" w:eastAsia="Times New Roman" w:hAnsi="Times New Roman" w:cs="Times New Roman"/>
                <w:b/>
                <w:bCs/>
                <w:color w:val="000000"/>
                <w:sz w:val="20"/>
                <w:szCs w:val="20"/>
                <w:lang w:eastAsia="pl-PL"/>
              </w:rPr>
            </w:pPr>
            <w:r w:rsidRPr="007366D8">
              <w:rPr>
                <w:rFonts w:ascii="Times New Roman" w:eastAsia="Times New Roman" w:hAnsi="Times New Roman" w:cs="Times New Roman"/>
                <w:b/>
                <w:bCs/>
                <w:color w:val="000000"/>
                <w:sz w:val="20"/>
                <w:szCs w:val="20"/>
                <w:lang w:eastAsia="pl-PL"/>
              </w:rPr>
              <w:t>2018</w:t>
            </w:r>
          </w:p>
        </w:tc>
        <w:tc>
          <w:tcPr>
            <w:tcW w:w="572" w:type="pct"/>
            <w:tcBorders>
              <w:top w:val="single" w:sz="4" w:space="0" w:color="auto"/>
              <w:left w:val="nil"/>
              <w:bottom w:val="single" w:sz="4" w:space="0" w:color="auto"/>
              <w:right w:val="single" w:sz="4" w:space="0" w:color="auto"/>
            </w:tcBorders>
            <w:shd w:val="clear" w:color="000000" w:fill="F2F2F2"/>
            <w:noWrap/>
            <w:vAlign w:val="center"/>
            <w:hideMark/>
          </w:tcPr>
          <w:p w14:paraId="3E38F90F" w14:textId="77777777" w:rsidR="00537E15" w:rsidRPr="007366D8" w:rsidRDefault="00537E15" w:rsidP="00E15165">
            <w:pPr>
              <w:spacing w:after="0" w:line="240" w:lineRule="auto"/>
              <w:jc w:val="center"/>
              <w:rPr>
                <w:rFonts w:ascii="Times New Roman" w:eastAsia="Times New Roman" w:hAnsi="Times New Roman" w:cs="Times New Roman"/>
                <w:b/>
                <w:bCs/>
                <w:color w:val="000000"/>
                <w:sz w:val="20"/>
                <w:szCs w:val="20"/>
                <w:lang w:eastAsia="pl-PL"/>
              </w:rPr>
            </w:pPr>
            <w:r w:rsidRPr="007366D8">
              <w:rPr>
                <w:rFonts w:ascii="Times New Roman" w:eastAsia="Times New Roman" w:hAnsi="Times New Roman" w:cs="Times New Roman"/>
                <w:b/>
                <w:bCs/>
                <w:color w:val="000000"/>
                <w:sz w:val="20"/>
                <w:szCs w:val="20"/>
                <w:lang w:eastAsia="pl-PL"/>
              </w:rPr>
              <w:t>2019</w:t>
            </w:r>
          </w:p>
        </w:tc>
        <w:tc>
          <w:tcPr>
            <w:tcW w:w="572" w:type="pct"/>
            <w:tcBorders>
              <w:top w:val="single" w:sz="4" w:space="0" w:color="auto"/>
              <w:left w:val="nil"/>
              <w:bottom w:val="single" w:sz="4" w:space="0" w:color="auto"/>
              <w:right w:val="single" w:sz="4" w:space="0" w:color="auto"/>
            </w:tcBorders>
            <w:shd w:val="clear" w:color="000000" w:fill="F2F2F2"/>
            <w:noWrap/>
            <w:vAlign w:val="center"/>
            <w:hideMark/>
          </w:tcPr>
          <w:p w14:paraId="2AB79542" w14:textId="77777777" w:rsidR="00537E15" w:rsidRPr="007366D8" w:rsidRDefault="00537E15" w:rsidP="00E15165">
            <w:pPr>
              <w:spacing w:after="0" w:line="240" w:lineRule="auto"/>
              <w:jc w:val="center"/>
              <w:rPr>
                <w:rFonts w:ascii="Times New Roman" w:eastAsia="Times New Roman" w:hAnsi="Times New Roman" w:cs="Times New Roman"/>
                <w:b/>
                <w:bCs/>
                <w:color w:val="000000"/>
                <w:sz w:val="20"/>
                <w:szCs w:val="20"/>
                <w:lang w:eastAsia="pl-PL"/>
              </w:rPr>
            </w:pPr>
            <w:r w:rsidRPr="007366D8">
              <w:rPr>
                <w:rFonts w:ascii="Times New Roman" w:eastAsia="Times New Roman" w:hAnsi="Times New Roman" w:cs="Times New Roman"/>
                <w:b/>
                <w:bCs/>
                <w:color w:val="000000"/>
                <w:sz w:val="20"/>
                <w:szCs w:val="20"/>
                <w:lang w:eastAsia="pl-PL"/>
              </w:rPr>
              <w:t>2020</w:t>
            </w:r>
          </w:p>
        </w:tc>
        <w:tc>
          <w:tcPr>
            <w:tcW w:w="572" w:type="pct"/>
            <w:tcBorders>
              <w:top w:val="single" w:sz="4" w:space="0" w:color="auto"/>
              <w:left w:val="nil"/>
              <w:bottom w:val="single" w:sz="4" w:space="0" w:color="auto"/>
              <w:right w:val="single" w:sz="4" w:space="0" w:color="auto"/>
            </w:tcBorders>
            <w:shd w:val="clear" w:color="000000" w:fill="F2F2F2"/>
            <w:vAlign w:val="center"/>
          </w:tcPr>
          <w:p w14:paraId="32FBCB6C" w14:textId="0A93627B" w:rsidR="00537E15" w:rsidRPr="00537E15"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2021</w:t>
            </w:r>
          </w:p>
        </w:tc>
      </w:tr>
      <w:tr w:rsidR="00537E15" w:rsidRPr="007366D8" w14:paraId="7C053757" w14:textId="00B7B8DE" w:rsidTr="00537E15">
        <w:trPr>
          <w:trHeight w:val="340"/>
        </w:trPr>
        <w:tc>
          <w:tcPr>
            <w:tcW w:w="1569" w:type="pct"/>
            <w:tcBorders>
              <w:top w:val="nil"/>
              <w:left w:val="single" w:sz="4" w:space="0" w:color="auto"/>
              <w:bottom w:val="single" w:sz="4" w:space="0" w:color="auto"/>
              <w:right w:val="single" w:sz="4" w:space="0" w:color="auto"/>
            </w:tcBorders>
            <w:shd w:val="clear" w:color="auto" w:fill="auto"/>
            <w:noWrap/>
            <w:vAlign w:val="center"/>
            <w:hideMark/>
          </w:tcPr>
          <w:p w14:paraId="04A3F5E8" w14:textId="1A56E8DB" w:rsidR="00537E15" w:rsidRPr="007366D8" w:rsidRDefault="00537E15" w:rsidP="00537E15">
            <w:pPr>
              <w:spacing w:after="0" w:line="240" w:lineRule="auto"/>
              <w:rPr>
                <w:rFonts w:ascii="Times New Roman" w:eastAsia="Times New Roman" w:hAnsi="Times New Roman" w:cs="Times New Roman"/>
                <w:b/>
                <w:bCs/>
                <w:color w:val="000000"/>
                <w:sz w:val="20"/>
                <w:szCs w:val="20"/>
                <w:lang w:eastAsia="pl-PL"/>
              </w:rPr>
            </w:pPr>
            <w:r w:rsidRPr="00C551AA">
              <w:rPr>
                <w:rFonts w:ascii="Times New Roman" w:eastAsia="Times New Roman" w:hAnsi="Times New Roman" w:cs="Times New Roman"/>
                <w:b/>
                <w:bCs/>
                <w:color w:val="000000"/>
                <w:sz w:val="20"/>
                <w:szCs w:val="20"/>
                <w:lang w:eastAsia="pl-PL"/>
              </w:rPr>
              <w:t>Bialskopodlaska LGD</w:t>
            </w:r>
          </w:p>
        </w:tc>
        <w:tc>
          <w:tcPr>
            <w:tcW w:w="572" w:type="pct"/>
            <w:tcBorders>
              <w:top w:val="nil"/>
              <w:left w:val="nil"/>
              <w:bottom w:val="single" w:sz="4" w:space="0" w:color="auto"/>
              <w:right w:val="single" w:sz="4" w:space="0" w:color="auto"/>
            </w:tcBorders>
            <w:shd w:val="clear" w:color="auto" w:fill="auto"/>
            <w:noWrap/>
            <w:vAlign w:val="center"/>
            <w:hideMark/>
          </w:tcPr>
          <w:p w14:paraId="211D7C6E" w14:textId="2DDF0CAA" w:rsidR="00537E15" w:rsidRPr="007366D8"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C551AA">
              <w:rPr>
                <w:rFonts w:ascii="Times New Roman" w:eastAsia="Times New Roman" w:hAnsi="Times New Roman" w:cs="Times New Roman"/>
                <w:b/>
                <w:bCs/>
                <w:color w:val="000000"/>
                <w:sz w:val="20"/>
                <w:szCs w:val="20"/>
                <w:lang w:eastAsia="pl-PL"/>
              </w:rPr>
              <w:t>362</w:t>
            </w:r>
          </w:p>
        </w:tc>
        <w:tc>
          <w:tcPr>
            <w:tcW w:w="572" w:type="pct"/>
            <w:tcBorders>
              <w:top w:val="nil"/>
              <w:left w:val="nil"/>
              <w:bottom w:val="single" w:sz="4" w:space="0" w:color="auto"/>
              <w:right w:val="single" w:sz="4" w:space="0" w:color="auto"/>
            </w:tcBorders>
            <w:shd w:val="clear" w:color="auto" w:fill="auto"/>
            <w:noWrap/>
            <w:vAlign w:val="center"/>
            <w:hideMark/>
          </w:tcPr>
          <w:p w14:paraId="033B55D1" w14:textId="4A5EA946" w:rsidR="00537E15" w:rsidRPr="007366D8"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C551AA">
              <w:rPr>
                <w:rFonts w:ascii="Times New Roman" w:eastAsia="Times New Roman" w:hAnsi="Times New Roman" w:cs="Times New Roman"/>
                <w:b/>
                <w:bCs/>
                <w:color w:val="000000"/>
                <w:sz w:val="20"/>
                <w:szCs w:val="20"/>
                <w:lang w:eastAsia="pl-PL"/>
              </w:rPr>
              <w:t>337</w:t>
            </w:r>
          </w:p>
        </w:tc>
        <w:tc>
          <w:tcPr>
            <w:tcW w:w="572" w:type="pct"/>
            <w:tcBorders>
              <w:top w:val="nil"/>
              <w:left w:val="nil"/>
              <w:bottom w:val="single" w:sz="4" w:space="0" w:color="auto"/>
              <w:right w:val="single" w:sz="4" w:space="0" w:color="auto"/>
            </w:tcBorders>
            <w:shd w:val="clear" w:color="auto" w:fill="auto"/>
            <w:noWrap/>
            <w:vAlign w:val="center"/>
            <w:hideMark/>
          </w:tcPr>
          <w:p w14:paraId="1657DBD7" w14:textId="48346D7F" w:rsidR="00537E15" w:rsidRPr="007366D8"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C551AA">
              <w:rPr>
                <w:rFonts w:ascii="Times New Roman" w:eastAsia="Times New Roman" w:hAnsi="Times New Roman" w:cs="Times New Roman"/>
                <w:b/>
                <w:bCs/>
                <w:color w:val="000000"/>
                <w:sz w:val="20"/>
                <w:szCs w:val="20"/>
                <w:lang w:eastAsia="pl-PL"/>
              </w:rPr>
              <w:t>310</w:t>
            </w:r>
          </w:p>
        </w:tc>
        <w:tc>
          <w:tcPr>
            <w:tcW w:w="572" w:type="pct"/>
            <w:tcBorders>
              <w:top w:val="nil"/>
              <w:left w:val="nil"/>
              <w:bottom w:val="single" w:sz="4" w:space="0" w:color="auto"/>
              <w:right w:val="single" w:sz="4" w:space="0" w:color="auto"/>
            </w:tcBorders>
            <w:shd w:val="clear" w:color="auto" w:fill="auto"/>
            <w:noWrap/>
            <w:vAlign w:val="center"/>
            <w:hideMark/>
          </w:tcPr>
          <w:p w14:paraId="43998154" w14:textId="69A75C4D" w:rsidR="00537E15" w:rsidRPr="007366D8"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C551AA">
              <w:rPr>
                <w:rFonts w:ascii="Times New Roman" w:eastAsia="Times New Roman" w:hAnsi="Times New Roman" w:cs="Times New Roman"/>
                <w:b/>
                <w:bCs/>
                <w:color w:val="000000"/>
                <w:sz w:val="20"/>
                <w:szCs w:val="20"/>
                <w:lang w:eastAsia="pl-PL"/>
              </w:rPr>
              <w:t>281</w:t>
            </w:r>
          </w:p>
        </w:tc>
        <w:tc>
          <w:tcPr>
            <w:tcW w:w="572" w:type="pct"/>
            <w:tcBorders>
              <w:top w:val="nil"/>
              <w:left w:val="nil"/>
              <w:bottom w:val="single" w:sz="4" w:space="0" w:color="auto"/>
              <w:right w:val="single" w:sz="4" w:space="0" w:color="auto"/>
            </w:tcBorders>
            <w:shd w:val="clear" w:color="auto" w:fill="auto"/>
            <w:noWrap/>
            <w:vAlign w:val="center"/>
            <w:hideMark/>
          </w:tcPr>
          <w:p w14:paraId="73034329" w14:textId="3BE18FA5" w:rsidR="00537E15" w:rsidRPr="007366D8"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C551AA">
              <w:rPr>
                <w:rFonts w:ascii="Times New Roman" w:eastAsia="Times New Roman" w:hAnsi="Times New Roman" w:cs="Times New Roman"/>
                <w:b/>
                <w:bCs/>
                <w:color w:val="000000"/>
                <w:sz w:val="20"/>
                <w:szCs w:val="20"/>
                <w:lang w:eastAsia="pl-PL"/>
              </w:rPr>
              <w:t>248</w:t>
            </w:r>
          </w:p>
        </w:tc>
        <w:tc>
          <w:tcPr>
            <w:tcW w:w="572" w:type="pct"/>
            <w:tcBorders>
              <w:top w:val="nil"/>
              <w:left w:val="nil"/>
              <w:bottom w:val="single" w:sz="4" w:space="0" w:color="auto"/>
              <w:right w:val="single" w:sz="4" w:space="0" w:color="auto"/>
            </w:tcBorders>
            <w:vAlign w:val="center"/>
          </w:tcPr>
          <w:p w14:paraId="233BCCD4" w14:textId="369F0C3D" w:rsidR="00537E15" w:rsidRPr="00537E15"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hAnsi="Times New Roman" w:cs="Times New Roman"/>
                <w:b/>
                <w:bCs/>
                <w:color w:val="000000"/>
                <w:sz w:val="20"/>
                <w:szCs w:val="20"/>
              </w:rPr>
              <w:t>219</w:t>
            </w:r>
          </w:p>
        </w:tc>
      </w:tr>
      <w:tr w:rsidR="00537E15" w:rsidRPr="007366D8" w14:paraId="4275AC23" w14:textId="482DB2FD" w:rsidTr="00537E15">
        <w:trPr>
          <w:trHeight w:val="340"/>
        </w:trPr>
        <w:tc>
          <w:tcPr>
            <w:tcW w:w="1569" w:type="pct"/>
            <w:tcBorders>
              <w:top w:val="nil"/>
              <w:left w:val="single" w:sz="4" w:space="0" w:color="auto"/>
              <w:bottom w:val="single" w:sz="4" w:space="0" w:color="auto"/>
              <w:right w:val="single" w:sz="4" w:space="0" w:color="auto"/>
            </w:tcBorders>
            <w:shd w:val="clear" w:color="auto" w:fill="auto"/>
            <w:noWrap/>
            <w:vAlign w:val="center"/>
            <w:hideMark/>
          </w:tcPr>
          <w:p w14:paraId="6F28FA8A" w14:textId="46D6BDC2" w:rsidR="00537E15" w:rsidRPr="007366D8" w:rsidRDefault="00537E15" w:rsidP="00537E15">
            <w:pPr>
              <w:spacing w:after="0" w:line="240" w:lineRule="auto"/>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województwo lubelskie</w:t>
            </w:r>
          </w:p>
        </w:tc>
        <w:tc>
          <w:tcPr>
            <w:tcW w:w="572" w:type="pct"/>
            <w:tcBorders>
              <w:top w:val="nil"/>
              <w:left w:val="nil"/>
              <w:bottom w:val="single" w:sz="4" w:space="0" w:color="auto"/>
              <w:right w:val="single" w:sz="4" w:space="0" w:color="auto"/>
            </w:tcBorders>
            <w:shd w:val="clear" w:color="auto" w:fill="auto"/>
            <w:noWrap/>
            <w:vAlign w:val="center"/>
            <w:hideMark/>
          </w:tcPr>
          <w:p w14:paraId="12207CBE" w14:textId="605EF4FD" w:rsidR="00537E15" w:rsidRPr="007366D8"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285</w:t>
            </w:r>
          </w:p>
        </w:tc>
        <w:tc>
          <w:tcPr>
            <w:tcW w:w="572" w:type="pct"/>
            <w:tcBorders>
              <w:top w:val="nil"/>
              <w:left w:val="nil"/>
              <w:bottom w:val="single" w:sz="4" w:space="0" w:color="auto"/>
              <w:right w:val="single" w:sz="4" w:space="0" w:color="auto"/>
            </w:tcBorders>
            <w:shd w:val="clear" w:color="auto" w:fill="auto"/>
            <w:noWrap/>
            <w:vAlign w:val="center"/>
            <w:hideMark/>
          </w:tcPr>
          <w:p w14:paraId="035E3B33" w14:textId="590CA217" w:rsidR="00537E15" w:rsidRPr="007366D8"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260</w:t>
            </w:r>
          </w:p>
        </w:tc>
        <w:tc>
          <w:tcPr>
            <w:tcW w:w="572" w:type="pct"/>
            <w:tcBorders>
              <w:top w:val="nil"/>
              <w:left w:val="nil"/>
              <w:bottom w:val="single" w:sz="4" w:space="0" w:color="auto"/>
              <w:right w:val="single" w:sz="4" w:space="0" w:color="auto"/>
            </w:tcBorders>
            <w:shd w:val="clear" w:color="auto" w:fill="auto"/>
            <w:noWrap/>
            <w:vAlign w:val="center"/>
            <w:hideMark/>
          </w:tcPr>
          <w:p w14:paraId="5111D384" w14:textId="7890950A" w:rsidR="00537E15" w:rsidRPr="007366D8"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244</w:t>
            </w:r>
          </w:p>
        </w:tc>
        <w:tc>
          <w:tcPr>
            <w:tcW w:w="572" w:type="pct"/>
            <w:tcBorders>
              <w:top w:val="nil"/>
              <w:left w:val="nil"/>
              <w:bottom w:val="single" w:sz="4" w:space="0" w:color="auto"/>
              <w:right w:val="single" w:sz="4" w:space="0" w:color="auto"/>
            </w:tcBorders>
            <w:shd w:val="clear" w:color="auto" w:fill="auto"/>
            <w:noWrap/>
            <w:vAlign w:val="center"/>
            <w:hideMark/>
          </w:tcPr>
          <w:p w14:paraId="33EC4D70" w14:textId="26FF5871" w:rsidR="00537E15" w:rsidRPr="007366D8"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227</w:t>
            </w:r>
          </w:p>
        </w:tc>
        <w:tc>
          <w:tcPr>
            <w:tcW w:w="572" w:type="pct"/>
            <w:tcBorders>
              <w:top w:val="nil"/>
              <w:left w:val="nil"/>
              <w:bottom w:val="single" w:sz="4" w:space="0" w:color="auto"/>
              <w:right w:val="single" w:sz="4" w:space="0" w:color="auto"/>
            </w:tcBorders>
            <w:shd w:val="clear" w:color="auto" w:fill="auto"/>
            <w:noWrap/>
            <w:vAlign w:val="center"/>
            <w:hideMark/>
          </w:tcPr>
          <w:p w14:paraId="0B639D67" w14:textId="28AF38D3" w:rsidR="00537E15" w:rsidRPr="007366D8"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210</w:t>
            </w:r>
          </w:p>
        </w:tc>
        <w:tc>
          <w:tcPr>
            <w:tcW w:w="572" w:type="pct"/>
            <w:tcBorders>
              <w:top w:val="nil"/>
              <w:left w:val="nil"/>
              <w:bottom w:val="single" w:sz="4" w:space="0" w:color="auto"/>
              <w:right w:val="single" w:sz="4" w:space="0" w:color="auto"/>
            </w:tcBorders>
            <w:vAlign w:val="center"/>
          </w:tcPr>
          <w:p w14:paraId="1C386E50" w14:textId="0EA56158"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hAnsi="Times New Roman" w:cs="Times New Roman"/>
                <w:color w:val="000000"/>
                <w:sz w:val="20"/>
                <w:szCs w:val="20"/>
              </w:rPr>
              <w:t>194</w:t>
            </w:r>
          </w:p>
        </w:tc>
      </w:tr>
      <w:tr w:rsidR="00537E15" w:rsidRPr="007366D8" w14:paraId="36CF19C3" w14:textId="3BECBF7D" w:rsidTr="00537E15">
        <w:trPr>
          <w:trHeight w:val="340"/>
        </w:trPr>
        <w:tc>
          <w:tcPr>
            <w:tcW w:w="1569" w:type="pct"/>
            <w:tcBorders>
              <w:top w:val="nil"/>
              <w:left w:val="single" w:sz="4" w:space="0" w:color="auto"/>
              <w:bottom w:val="single" w:sz="4" w:space="0" w:color="auto"/>
              <w:right w:val="single" w:sz="4" w:space="0" w:color="auto"/>
            </w:tcBorders>
            <w:shd w:val="clear" w:color="auto" w:fill="auto"/>
            <w:noWrap/>
            <w:vAlign w:val="center"/>
            <w:hideMark/>
          </w:tcPr>
          <w:p w14:paraId="3759924F" w14:textId="273683A6" w:rsidR="00537E15" w:rsidRPr="007366D8" w:rsidRDefault="00537E15" w:rsidP="00537E15">
            <w:pPr>
              <w:spacing w:after="0" w:line="240" w:lineRule="auto"/>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Polska</w:t>
            </w:r>
          </w:p>
        </w:tc>
        <w:tc>
          <w:tcPr>
            <w:tcW w:w="572" w:type="pct"/>
            <w:tcBorders>
              <w:top w:val="nil"/>
              <w:left w:val="nil"/>
              <w:bottom w:val="single" w:sz="4" w:space="0" w:color="auto"/>
              <w:right w:val="single" w:sz="4" w:space="0" w:color="auto"/>
            </w:tcBorders>
            <w:shd w:val="clear" w:color="auto" w:fill="auto"/>
            <w:noWrap/>
            <w:vAlign w:val="center"/>
            <w:hideMark/>
          </w:tcPr>
          <w:p w14:paraId="024EA124" w14:textId="5562BB92" w:rsidR="00537E15" w:rsidRPr="007366D8"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268</w:t>
            </w:r>
          </w:p>
        </w:tc>
        <w:tc>
          <w:tcPr>
            <w:tcW w:w="572" w:type="pct"/>
            <w:tcBorders>
              <w:top w:val="nil"/>
              <w:left w:val="nil"/>
              <w:bottom w:val="single" w:sz="4" w:space="0" w:color="auto"/>
              <w:right w:val="single" w:sz="4" w:space="0" w:color="auto"/>
            </w:tcBorders>
            <w:shd w:val="clear" w:color="auto" w:fill="auto"/>
            <w:noWrap/>
            <w:vAlign w:val="center"/>
            <w:hideMark/>
          </w:tcPr>
          <w:p w14:paraId="1D889DA6" w14:textId="14D04DD3" w:rsidR="00537E15" w:rsidRPr="007366D8"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249</w:t>
            </w:r>
          </w:p>
        </w:tc>
        <w:tc>
          <w:tcPr>
            <w:tcW w:w="572" w:type="pct"/>
            <w:tcBorders>
              <w:top w:val="nil"/>
              <w:left w:val="nil"/>
              <w:bottom w:val="single" w:sz="4" w:space="0" w:color="auto"/>
              <w:right w:val="single" w:sz="4" w:space="0" w:color="auto"/>
            </w:tcBorders>
            <w:shd w:val="clear" w:color="auto" w:fill="auto"/>
            <w:noWrap/>
            <w:vAlign w:val="center"/>
            <w:hideMark/>
          </w:tcPr>
          <w:p w14:paraId="1D14AC4C" w14:textId="21444818" w:rsidR="00537E15" w:rsidRPr="007366D8"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233</w:t>
            </w:r>
          </w:p>
        </w:tc>
        <w:tc>
          <w:tcPr>
            <w:tcW w:w="572" w:type="pct"/>
            <w:tcBorders>
              <w:top w:val="nil"/>
              <w:left w:val="nil"/>
              <w:bottom w:val="single" w:sz="4" w:space="0" w:color="auto"/>
              <w:right w:val="single" w:sz="4" w:space="0" w:color="auto"/>
            </w:tcBorders>
            <w:shd w:val="clear" w:color="auto" w:fill="auto"/>
            <w:noWrap/>
            <w:vAlign w:val="center"/>
            <w:hideMark/>
          </w:tcPr>
          <w:p w14:paraId="3D229290" w14:textId="1DEC52BB" w:rsidR="00537E15" w:rsidRPr="007366D8"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215</w:t>
            </w:r>
          </w:p>
        </w:tc>
        <w:tc>
          <w:tcPr>
            <w:tcW w:w="572" w:type="pct"/>
            <w:tcBorders>
              <w:top w:val="nil"/>
              <w:left w:val="nil"/>
              <w:bottom w:val="single" w:sz="4" w:space="0" w:color="auto"/>
              <w:right w:val="single" w:sz="4" w:space="0" w:color="auto"/>
            </w:tcBorders>
            <w:shd w:val="clear" w:color="auto" w:fill="auto"/>
            <w:noWrap/>
            <w:vAlign w:val="center"/>
            <w:hideMark/>
          </w:tcPr>
          <w:p w14:paraId="725D6591" w14:textId="2C42C47D" w:rsidR="00537E15" w:rsidRPr="007366D8"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C551AA">
              <w:rPr>
                <w:rFonts w:ascii="Times New Roman" w:eastAsia="Times New Roman" w:hAnsi="Times New Roman" w:cs="Times New Roman"/>
                <w:color w:val="000000"/>
                <w:sz w:val="20"/>
                <w:szCs w:val="20"/>
                <w:lang w:eastAsia="pl-PL"/>
              </w:rPr>
              <w:t>199</w:t>
            </w:r>
          </w:p>
        </w:tc>
        <w:tc>
          <w:tcPr>
            <w:tcW w:w="572" w:type="pct"/>
            <w:tcBorders>
              <w:top w:val="nil"/>
              <w:left w:val="nil"/>
              <w:bottom w:val="single" w:sz="4" w:space="0" w:color="auto"/>
              <w:right w:val="single" w:sz="4" w:space="0" w:color="auto"/>
            </w:tcBorders>
            <w:vAlign w:val="center"/>
          </w:tcPr>
          <w:p w14:paraId="047B02BE" w14:textId="799436FF"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hAnsi="Times New Roman" w:cs="Times New Roman"/>
                <w:color w:val="000000"/>
                <w:sz w:val="20"/>
                <w:szCs w:val="20"/>
              </w:rPr>
              <w:t>185</w:t>
            </w:r>
          </w:p>
        </w:tc>
      </w:tr>
    </w:tbl>
    <w:p w14:paraId="1F9A8C0B" w14:textId="77777777" w:rsidR="000513F1" w:rsidRDefault="00A17173" w:rsidP="000C0B56">
      <w:pPr>
        <w:spacing w:after="0" w:line="276" w:lineRule="auto"/>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w:t>
      </w:r>
      <w:bookmarkStart w:id="73" w:name="_Toc115335605"/>
      <w:r w:rsidR="000513F1">
        <w:rPr>
          <w:rFonts w:ascii="Times New Roman" w:hAnsi="Times New Roman" w:cs="Times New Roman"/>
          <w:i/>
          <w:iCs/>
          <w:sz w:val="20"/>
          <w:szCs w:val="20"/>
        </w:rPr>
        <w:t>S</w:t>
      </w:r>
    </w:p>
    <w:p w14:paraId="4B1747CF" w14:textId="7E0BF702" w:rsidR="00A17173" w:rsidRDefault="00A17173" w:rsidP="00A62189">
      <w:pPr>
        <w:spacing w:after="0" w:line="276" w:lineRule="auto"/>
        <w:jc w:val="center"/>
        <w:rPr>
          <w:rFonts w:ascii="Times New Roman" w:hAnsi="Times New Roman" w:cs="Times New Roman"/>
          <w:b/>
          <w:bCs/>
          <w:color w:val="000000" w:themeColor="text1"/>
          <w:sz w:val="20"/>
          <w:szCs w:val="20"/>
        </w:rPr>
      </w:pPr>
      <w:bookmarkStart w:id="74" w:name="_Toc135896553"/>
      <w:r w:rsidRPr="00C23433">
        <w:rPr>
          <w:rFonts w:ascii="Times New Roman" w:hAnsi="Times New Roman" w:cs="Times New Roman"/>
          <w:b/>
          <w:bCs/>
          <w:color w:val="000000" w:themeColor="text1"/>
          <w:sz w:val="20"/>
          <w:szCs w:val="20"/>
        </w:rPr>
        <w:t xml:space="preserve">Tabela </w:t>
      </w:r>
      <w:r w:rsidRPr="00C23433">
        <w:rPr>
          <w:rFonts w:ascii="Times New Roman" w:hAnsi="Times New Roman" w:cs="Times New Roman"/>
          <w:b/>
          <w:bCs/>
          <w:i/>
          <w:iCs/>
          <w:color w:val="000000" w:themeColor="text1"/>
          <w:sz w:val="20"/>
          <w:szCs w:val="20"/>
        </w:rPr>
        <w:fldChar w:fldCharType="begin"/>
      </w:r>
      <w:r w:rsidRPr="00C23433">
        <w:rPr>
          <w:rFonts w:ascii="Times New Roman" w:hAnsi="Times New Roman" w:cs="Times New Roman"/>
          <w:b/>
          <w:bCs/>
          <w:color w:val="000000" w:themeColor="text1"/>
          <w:sz w:val="20"/>
          <w:szCs w:val="20"/>
        </w:rPr>
        <w:instrText xml:space="preserve"> SEQ Tabela \* ARABIC </w:instrText>
      </w:r>
      <w:r w:rsidRPr="00C23433">
        <w:rPr>
          <w:rFonts w:ascii="Times New Roman" w:hAnsi="Times New Roman" w:cs="Times New Roman"/>
          <w:b/>
          <w:bCs/>
          <w:i/>
          <w:iCs/>
          <w:color w:val="000000" w:themeColor="text1"/>
          <w:sz w:val="20"/>
          <w:szCs w:val="20"/>
        </w:rPr>
        <w:fldChar w:fldCharType="separate"/>
      </w:r>
      <w:r w:rsidR="00467831">
        <w:rPr>
          <w:rFonts w:ascii="Times New Roman" w:hAnsi="Times New Roman" w:cs="Times New Roman"/>
          <w:b/>
          <w:bCs/>
          <w:noProof/>
          <w:color w:val="000000" w:themeColor="text1"/>
          <w:sz w:val="20"/>
          <w:szCs w:val="20"/>
        </w:rPr>
        <w:t>11</w:t>
      </w:r>
      <w:r w:rsidRPr="00C23433">
        <w:rPr>
          <w:rFonts w:ascii="Times New Roman" w:hAnsi="Times New Roman" w:cs="Times New Roman"/>
          <w:b/>
          <w:bCs/>
          <w:i/>
          <w:iCs/>
          <w:color w:val="000000" w:themeColor="text1"/>
          <w:sz w:val="20"/>
          <w:szCs w:val="20"/>
        </w:rPr>
        <w:fldChar w:fldCharType="end"/>
      </w:r>
      <w:r>
        <w:t xml:space="preserve"> </w:t>
      </w:r>
      <w:r>
        <w:rPr>
          <w:rFonts w:ascii="Times New Roman" w:hAnsi="Times New Roman" w:cs="Times New Roman"/>
          <w:b/>
          <w:bCs/>
          <w:color w:val="000000" w:themeColor="text1"/>
          <w:sz w:val="20"/>
          <w:szCs w:val="20"/>
        </w:rPr>
        <w:t>R</w:t>
      </w:r>
      <w:r w:rsidRPr="005B5A78">
        <w:rPr>
          <w:rFonts w:ascii="Times New Roman" w:hAnsi="Times New Roman" w:cs="Times New Roman"/>
          <w:b/>
          <w:bCs/>
          <w:color w:val="000000" w:themeColor="text1"/>
          <w:sz w:val="20"/>
          <w:szCs w:val="20"/>
        </w:rPr>
        <w:t xml:space="preserve">odziny otrzymujące zasiłki rodzinne na dzieci w przeliczeniu na 1 000 mieszkańców ogółem oraz udział </w:t>
      </w:r>
      <w:r>
        <w:rPr>
          <w:rFonts w:ascii="Times New Roman" w:hAnsi="Times New Roman" w:cs="Times New Roman"/>
          <w:b/>
          <w:bCs/>
          <w:color w:val="000000" w:themeColor="text1"/>
          <w:sz w:val="20"/>
          <w:szCs w:val="20"/>
        </w:rPr>
        <w:br/>
      </w:r>
      <w:r w:rsidRPr="005B5A78">
        <w:rPr>
          <w:rFonts w:ascii="Times New Roman" w:hAnsi="Times New Roman" w:cs="Times New Roman"/>
          <w:b/>
          <w:bCs/>
          <w:color w:val="000000" w:themeColor="text1"/>
          <w:sz w:val="20"/>
          <w:szCs w:val="20"/>
        </w:rPr>
        <w:t xml:space="preserve">% dzieci w wieku do lat 17, na które rodzice otrzymują zasiłek rodzinny w ogólnej liczbie dzieci w tym wieku </w:t>
      </w:r>
      <w:r>
        <w:rPr>
          <w:rFonts w:ascii="Times New Roman" w:hAnsi="Times New Roman" w:cs="Times New Roman"/>
          <w:b/>
          <w:bCs/>
          <w:color w:val="000000" w:themeColor="text1"/>
          <w:sz w:val="20"/>
          <w:szCs w:val="20"/>
        </w:rPr>
        <w:t xml:space="preserve">– </w:t>
      </w:r>
      <w:r w:rsidRPr="00394BEE">
        <w:rPr>
          <w:rFonts w:ascii="Times New Roman" w:hAnsi="Times New Roman" w:cs="Times New Roman"/>
          <w:b/>
          <w:bCs/>
          <w:color w:val="000000" w:themeColor="text1"/>
          <w:sz w:val="20"/>
          <w:szCs w:val="20"/>
        </w:rPr>
        <w:t xml:space="preserve">porównanie średniej </w:t>
      </w:r>
      <w:r>
        <w:rPr>
          <w:rFonts w:ascii="Times New Roman" w:hAnsi="Times New Roman" w:cs="Times New Roman"/>
          <w:b/>
          <w:bCs/>
          <w:color w:val="000000" w:themeColor="text1"/>
          <w:sz w:val="20"/>
          <w:szCs w:val="20"/>
        </w:rPr>
        <w:t xml:space="preserve">obszaru </w:t>
      </w:r>
      <w:r w:rsidRPr="00394BEE">
        <w:rPr>
          <w:rFonts w:ascii="Times New Roman" w:hAnsi="Times New Roman" w:cs="Times New Roman"/>
          <w:b/>
          <w:bCs/>
          <w:color w:val="000000" w:themeColor="text1"/>
          <w:sz w:val="20"/>
          <w:szCs w:val="20"/>
        </w:rPr>
        <w:t>LGD do województwa i</w:t>
      </w:r>
      <w:r>
        <w:rPr>
          <w:rFonts w:ascii="Times New Roman" w:hAnsi="Times New Roman" w:cs="Times New Roman"/>
          <w:b/>
          <w:bCs/>
          <w:color w:val="000000" w:themeColor="text1"/>
          <w:sz w:val="20"/>
          <w:szCs w:val="20"/>
        </w:rPr>
        <w:t> </w:t>
      </w:r>
      <w:r w:rsidRPr="00394BEE">
        <w:rPr>
          <w:rFonts w:ascii="Times New Roman" w:hAnsi="Times New Roman" w:cs="Times New Roman"/>
          <w:b/>
          <w:bCs/>
          <w:color w:val="000000" w:themeColor="text1"/>
          <w:sz w:val="20"/>
          <w:szCs w:val="20"/>
        </w:rPr>
        <w:t>kraju w latach 201</w:t>
      </w:r>
      <w:r>
        <w:rPr>
          <w:rFonts w:ascii="Times New Roman" w:hAnsi="Times New Roman" w:cs="Times New Roman"/>
          <w:b/>
          <w:bCs/>
          <w:color w:val="000000" w:themeColor="text1"/>
          <w:sz w:val="20"/>
          <w:szCs w:val="20"/>
        </w:rPr>
        <w:t>6</w:t>
      </w:r>
      <w:r w:rsidRPr="00394BEE">
        <w:rPr>
          <w:rFonts w:ascii="Times New Roman" w:hAnsi="Times New Roman" w:cs="Times New Roman"/>
          <w:b/>
          <w:bCs/>
          <w:color w:val="000000" w:themeColor="text1"/>
          <w:sz w:val="20"/>
          <w:szCs w:val="20"/>
        </w:rPr>
        <w:t>–202</w:t>
      </w:r>
      <w:bookmarkEnd w:id="73"/>
      <w:r w:rsidR="00206ABC">
        <w:rPr>
          <w:rFonts w:ascii="Times New Roman" w:hAnsi="Times New Roman" w:cs="Times New Roman"/>
          <w:b/>
          <w:bCs/>
          <w:color w:val="000000" w:themeColor="text1"/>
          <w:sz w:val="20"/>
          <w:szCs w:val="20"/>
        </w:rPr>
        <w:t>0</w:t>
      </w:r>
      <w:bookmarkEnd w:id="74"/>
    </w:p>
    <w:tbl>
      <w:tblPr>
        <w:tblW w:w="5000" w:type="pct"/>
        <w:tblCellMar>
          <w:left w:w="70" w:type="dxa"/>
          <w:right w:w="70" w:type="dxa"/>
        </w:tblCellMar>
        <w:tblLook w:val="04A0" w:firstRow="1" w:lastRow="0" w:firstColumn="1" w:lastColumn="0" w:noHBand="0" w:noVBand="1"/>
      </w:tblPr>
      <w:tblGrid>
        <w:gridCol w:w="2450"/>
        <w:gridCol w:w="640"/>
        <w:gridCol w:w="640"/>
        <w:gridCol w:w="640"/>
        <w:gridCol w:w="640"/>
        <w:gridCol w:w="638"/>
        <w:gridCol w:w="644"/>
        <w:gridCol w:w="638"/>
        <w:gridCol w:w="638"/>
        <w:gridCol w:w="638"/>
        <w:gridCol w:w="638"/>
        <w:gridCol w:w="638"/>
        <w:gridCol w:w="712"/>
      </w:tblGrid>
      <w:tr w:rsidR="00537E15" w:rsidRPr="0042255D" w14:paraId="44DA4D12" w14:textId="7526AFFB" w:rsidTr="00537E15">
        <w:trPr>
          <w:trHeight w:val="45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7484309" w14:textId="77777777" w:rsidR="00537E15" w:rsidRPr="0042255D"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Jednostka terytorialna</w:t>
            </w:r>
          </w:p>
        </w:tc>
        <w:tc>
          <w:tcPr>
            <w:tcW w:w="1885" w:type="pct"/>
            <w:gridSpan w:val="6"/>
            <w:vMerge w:val="restart"/>
            <w:tcBorders>
              <w:top w:val="single" w:sz="4" w:space="0" w:color="auto"/>
              <w:left w:val="single" w:sz="4" w:space="0" w:color="auto"/>
              <w:right w:val="single" w:sz="4" w:space="0" w:color="auto"/>
            </w:tcBorders>
            <w:shd w:val="clear" w:color="000000" w:fill="F2F2F2"/>
            <w:vAlign w:val="center"/>
            <w:hideMark/>
          </w:tcPr>
          <w:p w14:paraId="3D1A884F" w14:textId="2E002B1F" w:rsidR="00537E15" w:rsidRPr="0042255D"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Rodziny otrzymujące zasiłki rodzinne na dzieci w przeliczeniu na 1 000 mieszkańców</w:t>
            </w:r>
          </w:p>
        </w:tc>
        <w:tc>
          <w:tcPr>
            <w:tcW w:w="1914" w:type="pct"/>
            <w:gridSpan w:val="6"/>
            <w:vMerge w:val="restart"/>
            <w:tcBorders>
              <w:top w:val="single" w:sz="4" w:space="0" w:color="auto"/>
              <w:left w:val="single" w:sz="4" w:space="0" w:color="auto"/>
              <w:right w:val="single" w:sz="4" w:space="0" w:color="auto"/>
            </w:tcBorders>
            <w:shd w:val="clear" w:color="000000" w:fill="F2F2F2"/>
            <w:vAlign w:val="center"/>
            <w:hideMark/>
          </w:tcPr>
          <w:p w14:paraId="683A2F8F" w14:textId="0CAAB528" w:rsidR="00537E15" w:rsidRPr="0042255D"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Udział % dzieci w wieku do lat 17, na które rodzice otrzymują zasiłek rodzinny w ogólnej liczbie dzieci w tym wieku</w:t>
            </w:r>
          </w:p>
        </w:tc>
      </w:tr>
      <w:tr w:rsidR="00537E15" w:rsidRPr="0042255D" w14:paraId="1005AC55" w14:textId="77777777" w:rsidTr="00537E15">
        <w:trPr>
          <w:trHeight w:val="450"/>
        </w:trPr>
        <w:tc>
          <w:tcPr>
            <w:tcW w:w="1201" w:type="pct"/>
            <w:vMerge/>
            <w:tcBorders>
              <w:top w:val="single" w:sz="4" w:space="0" w:color="auto"/>
              <w:left w:val="single" w:sz="4" w:space="0" w:color="auto"/>
              <w:bottom w:val="single" w:sz="4" w:space="0" w:color="auto"/>
              <w:right w:val="single" w:sz="4" w:space="0" w:color="auto"/>
            </w:tcBorders>
            <w:vAlign w:val="center"/>
            <w:hideMark/>
          </w:tcPr>
          <w:p w14:paraId="05CB8AC7" w14:textId="77777777" w:rsidR="00537E15" w:rsidRPr="0042255D" w:rsidRDefault="00537E15" w:rsidP="000F4949">
            <w:pPr>
              <w:spacing w:after="0" w:line="240" w:lineRule="auto"/>
              <w:rPr>
                <w:rFonts w:ascii="Times New Roman" w:eastAsia="Times New Roman" w:hAnsi="Times New Roman" w:cs="Times New Roman"/>
                <w:b/>
                <w:bCs/>
                <w:color w:val="000000"/>
                <w:sz w:val="20"/>
                <w:szCs w:val="20"/>
                <w:lang w:eastAsia="pl-PL"/>
              </w:rPr>
            </w:pPr>
          </w:p>
        </w:tc>
        <w:tc>
          <w:tcPr>
            <w:tcW w:w="1885" w:type="pct"/>
            <w:gridSpan w:val="6"/>
            <w:vMerge/>
            <w:tcBorders>
              <w:left w:val="single" w:sz="4" w:space="0" w:color="auto"/>
              <w:bottom w:val="single" w:sz="4" w:space="0" w:color="auto"/>
              <w:right w:val="single" w:sz="4" w:space="0" w:color="auto"/>
            </w:tcBorders>
            <w:vAlign w:val="center"/>
            <w:hideMark/>
          </w:tcPr>
          <w:p w14:paraId="224B9C47" w14:textId="77777777" w:rsidR="00537E15" w:rsidRPr="0042255D" w:rsidRDefault="00537E15" w:rsidP="000F4949">
            <w:pPr>
              <w:spacing w:after="0" w:line="240" w:lineRule="auto"/>
              <w:rPr>
                <w:rFonts w:ascii="Times New Roman" w:eastAsia="Times New Roman" w:hAnsi="Times New Roman" w:cs="Times New Roman"/>
                <w:b/>
                <w:bCs/>
                <w:color w:val="000000"/>
                <w:sz w:val="20"/>
                <w:szCs w:val="20"/>
                <w:lang w:eastAsia="pl-PL"/>
              </w:rPr>
            </w:pPr>
          </w:p>
        </w:tc>
        <w:tc>
          <w:tcPr>
            <w:tcW w:w="1914" w:type="pct"/>
            <w:gridSpan w:val="6"/>
            <w:vMerge/>
            <w:tcBorders>
              <w:left w:val="single" w:sz="4" w:space="0" w:color="auto"/>
              <w:bottom w:val="single" w:sz="4" w:space="0" w:color="000000"/>
              <w:right w:val="single" w:sz="4" w:space="0" w:color="auto"/>
            </w:tcBorders>
            <w:vAlign w:val="center"/>
            <w:hideMark/>
          </w:tcPr>
          <w:p w14:paraId="6D1414CE" w14:textId="77777777" w:rsidR="00537E15" w:rsidRPr="0042255D"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p>
        </w:tc>
      </w:tr>
      <w:tr w:rsidR="00537E15" w:rsidRPr="0042255D" w14:paraId="4655DEBD" w14:textId="77777777" w:rsidTr="00537E15">
        <w:trPr>
          <w:trHeight w:val="340"/>
        </w:trPr>
        <w:tc>
          <w:tcPr>
            <w:tcW w:w="1201" w:type="pct"/>
            <w:vMerge/>
            <w:tcBorders>
              <w:top w:val="single" w:sz="4" w:space="0" w:color="auto"/>
              <w:left w:val="single" w:sz="4" w:space="0" w:color="auto"/>
              <w:bottom w:val="single" w:sz="4" w:space="0" w:color="auto"/>
              <w:right w:val="single" w:sz="4" w:space="0" w:color="auto"/>
            </w:tcBorders>
            <w:vAlign w:val="center"/>
            <w:hideMark/>
          </w:tcPr>
          <w:p w14:paraId="44B0E6F6" w14:textId="77777777" w:rsidR="00537E15" w:rsidRPr="0042255D" w:rsidRDefault="00537E15" w:rsidP="000F4949">
            <w:pPr>
              <w:spacing w:after="0" w:line="240" w:lineRule="auto"/>
              <w:rPr>
                <w:rFonts w:ascii="Times New Roman" w:eastAsia="Times New Roman" w:hAnsi="Times New Roman" w:cs="Times New Roman"/>
                <w:b/>
                <w:bCs/>
                <w:color w:val="000000"/>
                <w:sz w:val="20"/>
                <w:szCs w:val="20"/>
                <w:lang w:eastAsia="pl-PL"/>
              </w:rPr>
            </w:pPr>
          </w:p>
        </w:tc>
        <w:tc>
          <w:tcPr>
            <w:tcW w:w="314" w:type="pct"/>
            <w:tcBorders>
              <w:top w:val="nil"/>
              <w:left w:val="nil"/>
              <w:bottom w:val="single" w:sz="4" w:space="0" w:color="auto"/>
              <w:right w:val="single" w:sz="4" w:space="0" w:color="auto"/>
            </w:tcBorders>
            <w:shd w:val="clear" w:color="000000" w:fill="F2F2F2"/>
            <w:noWrap/>
            <w:vAlign w:val="center"/>
            <w:hideMark/>
          </w:tcPr>
          <w:p w14:paraId="51993A0B" w14:textId="77777777" w:rsidR="00537E15" w:rsidRPr="0042255D"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2016</w:t>
            </w:r>
          </w:p>
        </w:tc>
        <w:tc>
          <w:tcPr>
            <w:tcW w:w="314" w:type="pct"/>
            <w:tcBorders>
              <w:top w:val="nil"/>
              <w:left w:val="nil"/>
              <w:bottom w:val="single" w:sz="4" w:space="0" w:color="auto"/>
              <w:right w:val="single" w:sz="4" w:space="0" w:color="auto"/>
            </w:tcBorders>
            <w:shd w:val="clear" w:color="000000" w:fill="F2F2F2"/>
            <w:noWrap/>
            <w:vAlign w:val="center"/>
            <w:hideMark/>
          </w:tcPr>
          <w:p w14:paraId="7E548731" w14:textId="77777777" w:rsidR="00537E15" w:rsidRPr="0042255D"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2017</w:t>
            </w:r>
          </w:p>
        </w:tc>
        <w:tc>
          <w:tcPr>
            <w:tcW w:w="314" w:type="pct"/>
            <w:tcBorders>
              <w:top w:val="nil"/>
              <w:left w:val="nil"/>
              <w:bottom w:val="single" w:sz="4" w:space="0" w:color="auto"/>
              <w:right w:val="single" w:sz="4" w:space="0" w:color="auto"/>
            </w:tcBorders>
            <w:shd w:val="clear" w:color="000000" w:fill="F2F2F2"/>
            <w:noWrap/>
            <w:vAlign w:val="center"/>
            <w:hideMark/>
          </w:tcPr>
          <w:p w14:paraId="0BD362C8" w14:textId="77777777" w:rsidR="00537E15" w:rsidRPr="0042255D"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2018</w:t>
            </w:r>
          </w:p>
        </w:tc>
        <w:tc>
          <w:tcPr>
            <w:tcW w:w="314" w:type="pct"/>
            <w:tcBorders>
              <w:top w:val="nil"/>
              <w:left w:val="nil"/>
              <w:bottom w:val="single" w:sz="4" w:space="0" w:color="auto"/>
              <w:right w:val="single" w:sz="4" w:space="0" w:color="auto"/>
            </w:tcBorders>
            <w:shd w:val="clear" w:color="000000" w:fill="F2F2F2"/>
            <w:noWrap/>
            <w:vAlign w:val="center"/>
            <w:hideMark/>
          </w:tcPr>
          <w:p w14:paraId="47814F6C" w14:textId="77777777" w:rsidR="00537E15" w:rsidRPr="0042255D"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2019</w:t>
            </w:r>
          </w:p>
        </w:tc>
        <w:tc>
          <w:tcPr>
            <w:tcW w:w="313" w:type="pct"/>
            <w:tcBorders>
              <w:top w:val="nil"/>
              <w:left w:val="nil"/>
              <w:bottom w:val="single" w:sz="4" w:space="0" w:color="auto"/>
              <w:right w:val="single" w:sz="4" w:space="0" w:color="auto"/>
            </w:tcBorders>
            <w:shd w:val="clear" w:color="000000" w:fill="F2F2F2"/>
            <w:noWrap/>
            <w:vAlign w:val="center"/>
            <w:hideMark/>
          </w:tcPr>
          <w:p w14:paraId="46D0C7FD" w14:textId="77777777" w:rsidR="00537E15" w:rsidRPr="0042255D"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2020</w:t>
            </w:r>
          </w:p>
        </w:tc>
        <w:tc>
          <w:tcPr>
            <w:tcW w:w="315" w:type="pct"/>
            <w:tcBorders>
              <w:top w:val="nil"/>
              <w:left w:val="nil"/>
              <w:bottom w:val="single" w:sz="4" w:space="0" w:color="auto"/>
              <w:right w:val="single" w:sz="4" w:space="0" w:color="auto"/>
            </w:tcBorders>
            <w:shd w:val="clear" w:color="000000" w:fill="F2F2F2"/>
            <w:vAlign w:val="center"/>
          </w:tcPr>
          <w:p w14:paraId="0EA32D1E" w14:textId="10E5E557" w:rsidR="00537E15" w:rsidRPr="00537E15"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2021</w:t>
            </w:r>
          </w:p>
        </w:tc>
        <w:tc>
          <w:tcPr>
            <w:tcW w:w="313" w:type="pct"/>
            <w:tcBorders>
              <w:top w:val="nil"/>
              <w:left w:val="single" w:sz="4" w:space="0" w:color="auto"/>
              <w:bottom w:val="single" w:sz="4" w:space="0" w:color="auto"/>
              <w:right w:val="single" w:sz="4" w:space="0" w:color="auto"/>
            </w:tcBorders>
            <w:shd w:val="clear" w:color="000000" w:fill="F2F2F2"/>
            <w:noWrap/>
            <w:vAlign w:val="center"/>
            <w:hideMark/>
          </w:tcPr>
          <w:p w14:paraId="52950203" w14:textId="49B70E0F" w:rsidR="00537E15" w:rsidRPr="00537E15"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2016</w:t>
            </w:r>
          </w:p>
        </w:tc>
        <w:tc>
          <w:tcPr>
            <w:tcW w:w="313" w:type="pct"/>
            <w:tcBorders>
              <w:top w:val="nil"/>
              <w:left w:val="nil"/>
              <w:bottom w:val="single" w:sz="4" w:space="0" w:color="auto"/>
              <w:right w:val="single" w:sz="4" w:space="0" w:color="auto"/>
            </w:tcBorders>
            <w:shd w:val="clear" w:color="000000" w:fill="F2F2F2"/>
            <w:noWrap/>
            <w:vAlign w:val="center"/>
            <w:hideMark/>
          </w:tcPr>
          <w:p w14:paraId="397B0368" w14:textId="77777777" w:rsidR="00537E15" w:rsidRPr="00537E15"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2017</w:t>
            </w:r>
          </w:p>
        </w:tc>
        <w:tc>
          <w:tcPr>
            <w:tcW w:w="313" w:type="pct"/>
            <w:tcBorders>
              <w:top w:val="nil"/>
              <w:left w:val="nil"/>
              <w:bottom w:val="single" w:sz="4" w:space="0" w:color="auto"/>
              <w:right w:val="single" w:sz="4" w:space="0" w:color="auto"/>
            </w:tcBorders>
            <w:shd w:val="clear" w:color="000000" w:fill="F2F2F2"/>
            <w:noWrap/>
            <w:vAlign w:val="center"/>
            <w:hideMark/>
          </w:tcPr>
          <w:p w14:paraId="3F3E9036" w14:textId="77777777" w:rsidR="00537E15" w:rsidRPr="00537E15"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2018</w:t>
            </w:r>
          </w:p>
        </w:tc>
        <w:tc>
          <w:tcPr>
            <w:tcW w:w="313" w:type="pct"/>
            <w:tcBorders>
              <w:top w:val="nil"/>
              <w:left w:val="nil"/>
              <w:bottom w:val="single" w:sz="4" w:space="0" w:color="auto"/>
              <w:right w:val="single" w:sz="4" w:space="0" w:color="auto"/>
            </w:tcBorders>
            <w:shd w:val="clear" w:color="000000" w:fill="F2F2F2"/>
            <w:noWrap/>
            <w:vAlign w:val="center"/>
            <w:hideMark/>
          </w:tcPr>
          <w:p w14:paraId="5E2F42E1" w14:textId="77777777" w:rsidR="00537E15" w:rsidRPr="00537E15"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2019</w:t>
            </w:r>
          </w:p>
        </w:tc>
        <w:tc>
          <w:tcPr>
            <w:tcW w:w="313" w:type="pct"/>
            <w:tcBorders>
              <w:top w:val="nil"/>
              <w:left w:val="nil"/>
              <w:bottom w:val="single" w:sz="4" w:space="0" w:color="auto"/>
              <w:right w:val="single" w:sz="4" w:space="0" w:color="auto"/>
            </w:tcBorders>
            <w:shd w:val="clear" w:color="000000" w:fill="F2F2F2"/>
            <w:noWrap/>
            <w:vAlign w:val="center"/>
            <w:hideMark/>
          </w:tcPr>
          <w:p w14:paraId="562594B8" w14:textId="77777777" w:rsidR="00537E15" w:rsidRPr="00537E15" w:rsidRDefault="00537E15" w:rsidP="000F4949">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2020</w:t>
            </w:r>
          </w:p>
        </w:tc>
        <w:tc>
          <w:tcPr>
            <w:tcW w:w="349" w:type="pct"/>
            <w:tcBorders>
              <w:bottom w:val="single" w:sz="4" w:space="0" w:color="auto"/>
              <w:right w:val="single" w:sz="4" w:space="0" w:color="auto"/>
            </w:tcBorders>
            <w:shd w:val="clear" w:color="auto" w:fill="F2F2F2" w:themeFill="background1" w:themeFillShade="F2"/>
            <w:vAlign w:val="center"/>
          </w:tcPr>
          <w:p w14:paraId="5E446389" w14:textId="641BF0B0" w:rsidR="00537E15" w:rsidRPr="00537E15" w:rsidRDefault="00537E15" w:rsidP="00537E15">
            <w:pPr>
              <w:spacing w:after="0" w:line="240" w:lineRule="auto"/>
              <w:jc w:val="center"/>
              <w:rPr>
                <w:rFonts w:ascii="Times New Roman" w:eastAsia="Times New Roman" w:hAnsi="Times New Roman" w:cs="Times New Roman"/>
                <w:sz w:val="20"/>
                <w:szCs w:val="20"/>
                <w:lang w:eastAsia="pl-PL"/>
              </w:rPr>
            </w:pPr>
            <w:r w:rsidRPr="00537E15">
              <w:rPr>
                <w:rFonts w:ascii="Times New Roman" w:eastAsia="Times New Roman" w:hAnsi="Times New Roman" w:cs="Times New Roman"/>
                <w:b/>
                <w:bCs/>
                <w:color w:val="000000"/>
                <w:sz w:val="20"/>
                <w:szCs w:val="20"/>
                <w:lang w:eastAsia="pl-PL"/>
              </w:rPr>
              <w:t>2021</w:t>
            </w:r>
          </w:p>
        </w:tc>
      </w:tr>
      <w:tr w:rsidR="00537E15" w:rsidRPr="0042255D" w14:paraId="4E2AFBBE" w14:textId="77777777" w:rsidTr="00537E15">
        <w:trPr>
          <w:trHeight w:val="34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7EFBD16F" w14:textId="77777777" w:rsidR="00537E15" w:rsidRPr="0042255D" w:rsidRDefault="00537E15" w:rsidP="00537E15">
            <w:pPr>
              <w:spacing w:after="0" w:line="240" w:lineRule="auto"/>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Bialskopodlaska LGD</w:t>
            </w:r>
          </w:p>
        </w:tc>
        <w:tc>
          <w:tcPr>
            <w:tcW w:w="314" w:type="pct"/>
            <w:tcBorders>
              <w:top w:val="nil"/>
              <w:left w:val="nil"/>
              <w:bottom w:val="single" w:sz="4" w:space="0" w:color="auto"/>
              <w:right w:val="single" w:sz="4" w:space="0" w:color="auto"/>
            </w:tcBorders>
            <w:shd w:val="clear" w:color="auto" w:fill="auto"/>
            <w:noWrap/>
            <w:vAlign w:val="center"/>
            <w:hideMark/>
          </w:tcPr>
          <w:p w14:paraId="1D9E7EE5" w14:textId="77777777" w:rsidR="00537E15" w:rsidRPr="0042255D"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54</w:t>
            </w:r>
          </w:p>
        </w:tc>
        <w:tc>
          <w:tcPr>
            <w:tcW w:w="314" w:type="pct"/>
            <w:tcBorders>
              <w:top w:val="nil"/>
              <w:left w:val="nil"/>
              <w:bottom w:val="single" w:sz="4" w:space="0" w:color="auto"/>
              <w:right w:val="single" w:sz="4" w:space="0" w:color="auto"/>
            </w:tcBorders>
            <w:shd w:val="clear" w:color="auto" w:fill="auto"/>
            <w:noWrap/>
            <w:vAlign w:val="center"/>
            <w:hideMark/>
          </w:tcPr>
          <w:p w14:paraId="6476DC80" w14:textId="77777777" w:rsidR="00537E15" w:rsidRPr="0042255D"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53</w:t>
            </w:r>
          </w:p>
        </w:tc>
        <w:tc>
          <w:tcPr>
            <w:tcW w:w="314" w:type="pct"/>
            <w:tcBorders>
              <w:top w:val="nil"/>
              <w:left w:val="nil"/>
              <w:bottom w:val="single" w:sz="4" w:space="0" w:color="auto"/>
              <w:right w:val="single" w:sz="4" w:space="0" w:color="auto"/>
            </w:tcBorders>
            <w:shd w:val="clear" w:color="auto" w:fill="auto"/>
            <w:noWrap/>
            <w:vAlign w:val="center"/>
            <w:hideMark/>
          </w:tcPr>
          <w:p w14:paraId="3EF5F504" w14:textId="77777777" w:rsidR="00537E15" w:rsidRPr="0042255D"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50</w:t>
            </w:r>
          </w:p>
        </w:tc>
        <w:tc>
          <w:tcPr>
            <w:tcW w:w="314" w:type="pct"/>
            <w:tcBorders>
              <w:top w:val="nil"/>
              <w:left w:val="nil"/>
              <w:bottom w:val="single" w:sz="4" w:space="0" w:color="auto"/>
              <w:right w:val="single" w:sz="4" w:space="0" w:color="auto"/>
            </w:tcBorders>
            <w:shd w:val="clear" w:color="auto" w:fill="auto"/>
            <w:noWrap/>
            <w:vAlign w:val="center"/>
            <w:hideMark/>
          </w:tcPr>
          <w:p w14:paraId="7CC55E1C" w14:textId="77777777" w:rsidR="00537E15" w:rsidRPr="0042255D"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42</w:t>
            </w:r>
          </w:p>
        </w:tc>
        <w:tc>
          <w:tcPr>
            <w:tcW w:w="313" w:type="pct"/>
            <w:tcBorders>
              <w:top w:val="nil"/>
              <w:left w:val="nil"/>
              <w:bottom w:val="single" w:sz="4" w:space="0" w:color="auto"/>
              <w:right w:val="single" w:sz="4" w:space="0" w:color="auto"/>
            </w:tcBorders>
            <w:shd w:val="clear" w:color="auto" w:fill="auto"/>
            <w:noWrap/>
            <w:vAlign w:val="center"/>
            <w:hideMark/>
          </w:tcPr>
          <w:p w14:paraId="3AB85933" w14:textId="77777777" w:rsidR="00537E15" w:rsidRPr="0042255D"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42255D">
              <w:rPr>
                <w:rFonts w:ascii="Times New Roman" w:eastAsia="Times New Roman" w:hAnsi="Times New Roman" w:cs="Times New Roman"/>
                <w:b/>
                <w:bCs/>
                <w:color w:val="000000"/>
                <w:sz w:val="20"/>
                <w:szCs w:val="20"/>
                <w:lang w:eastAsia="pl-PL"/>
              </w:rPr>
              <w:t>38</w:t>
            </w:r>
          </w:p>
        </w:tc>
        <w:tc>
          <w:tcPr>
            <w:tcW w:w="315" w:type="pct"/>
            <w:tcBorders>
              <w:top w:val="nil"/>
              <w:left w:val="nil"/>
              <w:bottom w:val="single" w:sz="4" w:space="0" w:color="auto"/>
              <w:right w:val="single" w:sz="4" w:space="0" w:color="auto"/>
            </w:tcBorders>
            <w:vAlign w:val="center"/>
          </w:tcPr>
          <w:p w14:paraId="0A1A5126" w14:textId="6BC800BD" w:rsidR="00537E15" w:rsidRPr="00537E15"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hAnsi="Times New Roman" w:cs="Times New Roman"/>
                <w:color w:val="000000"/>
                <w:sz w:val="20"/>
                <w:szCs w:val="20"/>
              </w:rPr>
              <w:t>31</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14:paraId="4D42CB46" w14:textId="25069F4F" w:rsidR="00537E15" w:rsidRPr="00537E15"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52</w:t>
            </w:r>
          </w:p>
        </w:tc>
        <w:tc>
          <w:tcPr>
            <w:tcW w:w="313" w:type="pct"/>
            <w:tcBorders>
              <w:top w:val="nil"/>
              <w:left w:val="nil"/>
              <w:bottom w:val="single" w:sz="4" w:space="0" w:color="auto"/>
              <w:right w:val="single" w:sz="4" w:space="0" w:color="auto"/>
            </w:tcBorders>
            <w:shd w:val="clear" w:color="auto" w:fill="auto"/>
            <w:noWrap/>
            <w:vAlign w:val="center"/>
            <w:hideMark/>
          </w:tcPr>
          <w:p w14:paraId="167D1CCA" w14:textId="77777777" w:rsidR="00537E15" w:rsidRPr="00537E15"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51</w:t>
            </w:r>
          </w:p>
        </w:tc>
        <w:tc>
          <w:tcPr>
            <w:tcW w:w="313" w:type="pct"/>
            <w:tcBorders>
              <w:top w:val="nil"/>
              <w:left w:val="nil"/>
              <w:bottom w:val="single" w:sz="4" w:space="0" w:color="auto"/>
              <w:right w:val="single" w:sz="4" w:space="0" w:color="auto"/>
            </w:tcBorders>
            <w:shd w:val="clear" w:color="auto" w:fill="auto"/>
            <w:noWrap/>
            <w:vAlign w:val="center"/>
            <w:hideMark/>
          </w:tcPr>
          <w:p w14:paraId="58C63B7C" w14:textId="77777777" w:rsidR="00537E15" w:rsidRPr="00537E15"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48</w:t>
            </w:r>
          </w:p>
        </w:tc>
        <w:tc>
          <w:tcPr>
            <w:tcW w:w="313" w:type="pct"/>
            <w:tcBorders>
              <w:top w:val="nil"/>
              <w:left w:val="nil"/>
              <w:bottom w:val="single" w:sz="4" w:space="0" w:color="auto"/>
              <w:right w:val="single" w:sz="4" w:space="0" w:color="auto"/>
            </w:tcBorders>
            <w:shd w:val="clear" w:color="auto" w:fill="auto"/>
            <w:noWrap/>
            <w:vAlign w:val="center"/>
            <w:hideMark/>
          </w:tcPr>
          <w:p w14:paraId="47E4F68A" w14:textId="77777777" w:rsidR="00537E15" w:rsidRPr="00537E15"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43</w:t>
            </w:r>
          </w:p>
        </w:tc>
        <w:tc>
          <w:tcPr>
            <w:tcW w:w="313" w:type="pct"/>
            <w:tcBorders>
              <w:top w:val="nil"/>
              <w:left w:val="nil"/>
              <w:bottom w:val="single" w:sz="4" w:space="0" w:color="auto"/>
              <w:right w:val="single" w:sz="4" w:space="0" w:color="auto"/>
            </w:tcBorders>
            <w:shd w:val="clear" w:color="auto" w:fill="auto"/>
            <w:noWrap/>
            <w:vAlign w:val="center"/>
            <w:hideMark/>
          </w:tcPr>
          <w:p w14:paraId="35D2D497" w14:textId="77777777" w:rsidR="00537E15" w:rsidRPr="00537E15" w:rsidRDefault="00537E15" w:rsidP="00537E15">
            <w:pPr>
              <w:spacing w:after="0" w:line="240" w:lineRule="auto"/>
              <w:jc w:val="center"/>
              <w:rPr>
                <w:rFonts w:ascii="Times New Roman" w:eastAsia="Times New Roman" w:hAnsi="Times New Roman" w:cs="Times New Roman"/>
                <w:b/>
                <w:bCs/>
                <w:color w:val="000000"/>
                <w:sz w:val="20"/>
                <w:szCs w:val="20"/>
                <w:lang w:eastAsia="pl-PL"/>
              </w:rPr>
            </w:pPr>
            <w:r w:rsidRPr="00537E15">
              <w:rPr>
                <w:rFonts w:ascii="Times New Roman" w:eastAsia="Times New Roman" w:hAnsi="Times New Roman" w:cs="Times New Roman"/>
                <w:b/>
                <w:bCs/>
                <w:color w:val="000000"/>
                <w:sz w:val="20"/>
                <w:szCs w:val="20"/>
                <w:lang w:eastAsia="pl-PL"/>
              </w:rPr>
              <w:t>37</w:t>
            </w:r>
          </w:p>
        </w:tc>
        <w:tc>
          <w:tcPr>
            <w:tcW w:w="349" w:type="pct"/>
            <w:tcBorders>
              <w:top w:val="single" w:sz="4" w:space="0" w:color="auto"/>
              <w:bottom w:val="single" w:sz="4" w:space="0" w:color="auto"/>
              <w:right w:val="single" w:sz="4" w:space="0" w:color="auto"/>
            </w:tcBorders>
            <w:vAlign w:val="center"/>
          </w:tcPr>
          <w:p w14:paraId="4CA35A1B" w14:textId="5EF26C60" w:rsidR="00537E15" w:rsidRPr="00537E15" w:rsidRDefault="00537E15" w:rsidP="00537E15">
            <w:pPr>
              <w:spacing w:after="0" w:line="240" w:lineRule="auto"/>
              <w:jc w:val="center"/>
              <w:rPr>
                <w:rFonts w:ascii="Times New Roman" w:eastAsia="Times New Roman" w:hAnsi="Times New Roman" w:cs="Times New Roman"/>
                <w:sz w:val="20"/>
                <w:szCs w:val="20"/>
                <w:lang w:eastAsia="pl-PL"/>
              </w:rPr>
            </w:pPr>
            <w:r w:rsidRPr="00537E15">
              <w:rPr>
                <w:rFonts w:ascii="Times New Roman" w:hAnsi="Times New Roman" w:cs="Times New Roman"/>
                <w:color w:val="000000"/>
                <w:sz w:val="20"/>
                <w:szCs w:val="20"/>
              </w:rPr>
              <w:t>32</w:t>
            </w:r>
          </w:p>
        </w:tc>
      </w:tr>
      <w:tr w:rsidR="00537E15" w:rsidRPr="0042255D" w14:paraId="4EB12CBF" w14:textId="77777777" w:rsidTr="00537E15">
        <w:trPr>
          <w:trHeight w:val="34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6208927F" w14:textId="77777777" w:rsidR="00537E15" w:rsidRPr="0042255D" w:rsidRDefault="00537E15" w:rsidP="00537E15">
            <w:pPr>
              <w:spacing w:after="0" w:line="240" w:lineRule="auto"/>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województwo lubelskie</w:t>
            </w:r>
          </w:p>
        </w:tc>
        <w:tc>
          <w:tcPr>
            <w:tcW w:w="314" w:type="pct"/>
            <w:tcBorders>
              <w:top w:val="nil"/>
              <w:left w:val="nil"/>
              <w:bottom w:val="single" w:sz="4" w:space="0" w:color="auto"/>
              <w:right w:val="single" w:sz="4" w:space="0" w:color="auto"/>
            </w:tcBorders>
            <w:shd w:val="clear" w:color="auto" w:fill="auto"/>
            <w:noWrap/>
            <w:vAlign w:val="center"/>
            <w:hideMark/>
          </w:tcPr>
          <w:p w14:paraId="7DE8F03E" w14:textId="77777777" w:rsidR="00537E15" w:rsidRPr="0042255D"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39</w:t>
            </w:r>
          </w:p>
        </w:tc>
        <w:tc>
          <w:tcPr>
            <w:tcW w:w="314" w:type="pct"/>
            <w:tcBorders>
              <w:top w:val="nil"/>
              <w:left w:val="nil"/>
              <w:bottom w:val="single" w:sz="4" w:space="0" w:color="auto"/>
              <w:right w:val="single" w:sz="4" w:space="0" w:color="auto"/>
            </w:tcBorders>
            <w:shd w:val="clear" w:color="auto" w:fill="auto"/>
            <w:noWrap/>
            <w:vAlign w:val="center"/>
            <w:hideMark/>
          </w:tcPr>
          <w:p w14:paraId="6C55801E" w14:textId="77777777" w:rsidR="00537E15" w:rsidRPr="0042255D"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38</w:t>
            </w:r>
          </w:p>
        </w:tc>
        <w:tc>
          <w:tcPr>
            <w:tcW w:w="314" w:type="pct"/>
            <w:tcBorders>
              <w:top w:val="nil"/>
              <w:left w:val="nil"/>
              <w:bottom w:val="single" w:sz="4" w:space="0" w:color="auto"/>
              <w:right w:val="single" w:sz="4" w:space="0" w:color="auto"/>
            </w:tcBorders>
            <w:shd w:val="clear" w:color="auto" w:fill="auto"/>
            <w:noWrap/>
            <w:vAlign w:val="center"/>
            <w:hideMark/>
          </w:tcPr>
          <w:p w14:paraId="2720FA02" w14:textId="77777777" w:rsidR="00537E15" w:rsidRPr="0042255D"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37</w:t>
            </w:r>
          </w:p>
        </w:tc>
        <w:tc>
          <w:tcPr>
            <w:tcW w:w="314" w:type="pct"/>
            <w:tcBorders>
              <w:top w:val="nil"/>
              <w:left w:val="nil"/>
              <w:bottom w:val="single" w:sz="4" w:space="0" w:color="auto"/>
              <w:right w:val="single" w:sz="4" w:space="0" w:color="auto"/>
            </w:tcBorders>
            <w:shd w:val="clear" w:color="auto" w:fill="auto"/>
            <w:noWrap/>
            <w:vAlign w:val="center"/>
            <w:hideMark/>
          </w:tcPr>
          <w:p w14:paraId="3723E2FD" w14:textId="77777777" w:rsidR="00537E15" w:rsidRPr="0042255D"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33</w:t>
            </w:r>
          </w:p>
        </w:tc>
        <w:tc>
          <w:tcPr>
            <w:tcW w:w="313" w:type="pct"/>
            <w:tcBorders>
              <w:top w:val="nil"/>
              <w:left w:val="nil"/>
              <w:bottom w:val="single" w:sz="4" w:space="0" w:color="auto"/>
              <w:right w:val="single" w:sz="4" w:space="0" w:color="auto"/>
            </w:tcBorders>
            <w:shd w:val="clear" w:color="auto" w:fill="auto"/>
            <w:noWrap/>
            <w:vAlign w:val="center"/>
            <w:hideMark/>
          </w:tcPr>
          <w:p w14:paraId="76C7C997" w14:textId="77777777" w:rsidR="00537E15" w:rsidRPr="0042255D"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29</w:t>
            </w:r>
          </w:p>
        </w:tc>
        <w:tc>
          <w:tcPr>
            <w:tcW w:w="315" w:type="pct"/>
            <w:tcBorders>
              <w:top w:val="nil"/>
              <w:left w:val="nil"/>
              <w:bottom w:val="single" w:sz="4" w:space="0" w:color="auto"/>
              <w:right w:val="single" w:sz="4" w:space="0" w:color="auto"/>
            </w:tcBorders>
            <w:vAlign w:val="center"/>
          </w:tcPr>
          <w:p w14:paraId="799C4A68" w14:textId="72D14E4A"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hAnsi="Times New Roman" w:cs="Times New Roman"/>
                <w:color w:val="000000"/>
                <w:sz w:val="20"/>
                <w:szCs w:val="20"/>
              </w:rPr>
              <w:t>24</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14:paraId="698DA335" w14:textId="2EA7E22B"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eastAsia="Times New Roman" w:hAnsi="Times New Roman" w:cs="Times New Roman"/>
                <w:color w:val="000000"/>
                <w:sz w:val="20"/>
                <w:szCs w:val="20"/>
                <w:lang w:eastAsia="pl-PL"/>
              </w:rPr>
              <w:t>39</w:t>
            </w:r>
          </w:p>
        </w:tc>
        <w:tc>
          <w:tcPr>
            <w:tcW w:w="313" w:type="pct"/>
            <w:tcBorders>
              <w:top w:val="nil"/>
              <w:left w:val="nil"/>
              <w:bottom w:val="single" w:sz="4" w:space="0" w:color="auto"/>
              <w:right w:val="single" w:sz="4" w:space="0" w:color="auto"/>
            </w:tcBorders>
            <w:shd w:val="clear" w:color="auto" w:fill="auto"/>
            <w:noWrap/>
            <w:vAlign w:val="center"/>
            <w:hideMark/>
          </w:tcPr>
          <w:p w14:paraId="79BB241B" w14:textId="77777777"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eastAsia="Times New Roman" w:hAnsi="Times New Roman" w:cs="Times New Roman"/>
                <w:color w:val="000000"/>
                <w:sz w:val="20"/>
                <w:szCs w:val="20"/>
                <w:lang w:eastAsia="pl-PL"/>
              </w:rPr>
              <w:t>39</w:t>
            </w:r>
          </w:p>
        </w:tc>
        <w:tc>
          <w:tcPr>
            <w:tcW w:w="313" w:type="pct"/>
            <w:tcBorders>
              <w:top w:val="nil"/>
              <w:left w:val="nil"/>
              <w:bottom w:val="single" w:sz="4" w:space="0" w:color="auto"/>
              <w:right w:val="single" w:sz="4" w:space="0" w:color="auto"/>
            </w:tcBorders>
            <w:shd w:val="clear" w:color="auto" w:fill="auto"/>
            <w:noWrap/>
            <w:vAlign w:val="center"/>
            <w:hideMark/>
          </w:tcPr>
          <w:p w14:paraId="1B6529AE" w14:textId="77777777"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eastAsia="Times New Roman" w:hAnsi="Times New Roman" w:cs="Times New Roman"/>
                <w:color w:val="000000"/>
                <w:sz w:val="20"/>
                <w:szCs w:val="20"/>
                <w:lang w:eastAsia="pl-PL"/>
              </w:rPr>
              <w:t>38</w:t>
            </w:r>
          </w:p>
        </w:tc>
        <w:tc>
          <w:tcPr>
            <w:tcW w:w="313" w:type="pct"/>
            <w:tcBorders>
              <w:top w:val="nil"/>
              <w:left w:val="nil"/>
              <w:bottom w:val="single" w:sz="4" w:space="0" w:color="auto"/>
              <w:right w:val="single" w:sz="4" w:space="0" w:color="auto"/>
            </w:tcBorders>
            <w:shd w:val="clear" w:color="auto" w:fill="auto"/>
            <w:noWrap/>
            <w:vAlign w:val="center"/>
            <w:hideMark/>
          </w:tcPr>
          <w:p w14:paraId="12FCB415" w14:textId="77777777"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eastAsia="Times New Roman" w:hAnsi="Times New Roman" w:cs="Times New Roman"/>
                <w:color w:val="000000"/>
                <w:sz w:val="20"/>
                <w:szCs w:val="20"/>
                <w:lang w:eastAsia="pl-PL"/>
              </w:rPr>
              <w:t>34</w:t>
            </w:r>
          </w:p>
        </w:tc>
        <w:tc>
          <w:tcPr>
            <w:tcW w:w="313" w:type="pct"/>
            <w:tcBorders>
              <w:top w:val="nil"/>
              <w:left w:val="nil"/>
              <w:bottom w:val="single" w:sz="4" w:space="0" w:color="auto"/>
              <w:right w:val="single" w:sz="4" w:space="0" w:color="auto"/>
            </w:tcBorders>
            <w:shd w:val="clear" w:color="auto" w:fill="auto"/>
            <w:noWrap/>
            <w:vAlign w:val="center"/>
            <w:hideMark/>
          </w:tcPr>
          <w:p w14:paraId="03954221" w14:textId="77777777"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eastAsia="Times New Roman" w:hAnsi="Times New Roman" w:cs="Times New Roman"/>
                <w:color w:val="000000"/>
                <w:sz w:val="20"/>
                <w:szCs w:val="20"/>
                <w:lang w:eastAsia="pl-PL"/>
              </w:rPr>
              <w:t>30</w:t>
            </w:r>
          </w:p>
        </w:tc>
        <w:tc>
          <w:tcPr>
            <w:tcW w:w="349" w:type="pct"/>
            <w:tcBorders>
              <w:top w:val="single" w:sz="4" w:space="0" w:color="auto"/>
              <w:bottom w:val="single" w:sz="4" w:space="0" w:color="auto"/>
              <w:right w:val="single" w:sz="4" w:space="0" w:color="auto"/>
            </w:tcBorders>
            <w:vAlign w:val="center"/>
          </w:tcPr>
          <w:p w14:paraId="5D84BDBE" w14:textId="153476FE" w:rsidR="00537E15" w:rsidRPr="00537E15" w:rsidRDefault="00537E15" w:rsidP="00537E15">
            <w:pPr>
              <w:spacing w:after="0" w:line="240" w:lineRule="auto"/>
              <w:jc w:val="center"/>
              <w:rPr>
                <w:rFonts w:ascii="Times New Roman" w:eastAsia="Times New Roman" w:hAnsi="Times New Roman" w:cs="Times New Roman"/>
                <w:sz w:val="20"/>
                <w:szCs w:val="20"/>
                <w:lang w:eastAsia="pl-PL"/>
              </w:rPr>
            </w:pPr>
            <w:r w:rsidRPr="00537E15">
              <w:rPr>
                <w:rFonts w:ascii="Times New Roman" w:hAnsi="Times New Roman" w:cs="Times New Roman"/>
                <w:color w:val="000000"/>
                <w:sz w:val="20"/>
                <w:szCs w:val="20"/>
              </w:rPr>
              <w:t>26</w:t>
            </w:r>
          </w:p>
        </w:tc>
      </w:tr>
      <w:tr w:rsidR="00537E15" w:rsidRPr="0042255D" w14:paraId="471F28D2" w14:textId="77777777" w:rsidTr="00537E15">
        <w:trPr>
          <w:trHeight w:val="340"/>
        </w:trPr>
        <w:tc>
          <w:tcPr>
            <w:tcW w:w="1201" w:type="pct"/>
            <w:tcBorders>
              <w:top w:val="nil"/>
              <w:left w:val="single" w:sz="4" w:space="0" w:color="auto"/>
              <w:bottom w:val="single" w:sz="4" w:space="0" w:color="auto"/>
              <w:right w:val="single" w:sz="4" w:space="0" w:color="auto"/>
            </w:tcBorders>
            <w:shd w:val="clear" w:color="auto" w:fill="auto"/>
            <w:noWrap/>
            <w:vAlign w:val="center"/>
            <w:hideMark/>
          </w:tcPr>
          <w:p w14:paraId="7E0E82B6" w14:textId="77777777" w:rsidR="00537E15" w:rsidRPr="0042255D" w:rsidRDefault="00537E15" w:rsidP="00537E15">
            <w:pPr>
              <w:spacing w:after="0" w:line="240" w:lineRule="auto"/>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Polska</w:t>
            </w:r>
          </w:p>
        </w:tc>
        <w:tc>
          <w:tcPr>
            <w:tcW w:w="314" w:type="pct"/>
            <w:tcBorders>
              <w:top w:val="nil"/>
              <w:left w:val="nil"/>
              <w:bottom w:val="single" w:sz="4" w:space="0" w:color="auto"/>
              <w:right w:val="single" w:sz="4" w:space="0" w:color="auto"/>
            </w:tcBorders>
            <w:shd w:val="clear" w:color="auto" w:fill="auto"/>
            <w:noWrap/>
            <w:vAlign w:val="center"/>
            <w:hideMark/>
          </w:tcPr>
          <w:p w14:paraId="0DB96C78" w14:textId="77777777" w:rsidR="00537E15" w:rsidRPr="0042255D"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29</w:t>
            </w:r>
          </w:p>
        </w:tc>
        <w:tc>
          <w:tcPr>
            <w:tcW w:w="314" w:type="pct"/>
            <w:tcBorders>
              <w:top w:val="nil"/>
              <w:left w:val="nil"/>
              <w:bottom w:val="single" w:sz="4" w:space="0" w:color="auto"/>
              <w:right w:val="single" w:sz="4" w:space="0" w:color="auto"/>
            </w:tcBorders>
            <w:shd w:val="clear" w:color="auto" w:fill="auto"/>
            <w:noWrap/>
            <w:vAlign w:val="center"/>
            <w:hideMark/>
          </w:tcPr>
          <w:p w14:paraId="1D82DDE2" w14:textId="77777777" w:rsidR="00537E15" w:rsidRPr="0042255D"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29</w:t>
            </w:r>
          </w:p>
        </w:tc>
        <w:tc>
          <w:tcPr>
            <w:tcW w:w="314" w:type="pct"/>
            <w:tcBorders>
              <w:top w:val="nil"/>
              <w:left w:val="nil"/>
              <w:bottom w:val="single" w:sz="4" w:space="0" w:color="auto"/>
              <w:right w:val="single" w:sz="4" w:space="0" w:color="auto"/>
            </w:tcBorders>
            <w:shd w:val="clear" w:color="auto" w:fill="auto"/>
            <w:noWrap/>
            <w:vAlign w:val="center"/>
            <w:hideMark/>
          </w:tcPr>
          <w:p w14:paraId="4086F9F9" w14:textId="77777777" w:rsidR="00537E15" w:rsidRPr="0042255D"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29</w:t>
            </w:r>
          </w:p>
        </w:tc>
        <w:tc>
          <w:tcPr>
            <w:tcW w:w="314" w:type="pct"/>
            <w:tcBorders>
              <w:top w:val="nil"/>
              <w:left w:val="nil"/>
              <w:bottom w:val="single" w:sz="4" w:space="0" w:color="auto"/>
              <w:right w:val="single" w:sz="4" w:space="0" w:color="auto"/>
            </w:tcBorders>
            <w:shd w:val="clear" w:color="auto" w:fill="auto"/>
            <w:noWrap/>
            <w:vAlign w:val="center"/>
            <w:hideMark/>
          </w:tcPr>
          <w:p w14:paraId="15309B41" w14:textId="77777777" w:rsidR="00537E15" w:rsidRPr="0042255D"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26</w:t>
            </w:r>
          </w:p>
        </w:tc>
        <w:tc>
          <w:tcPr>
            <w:tcW w:w="313" w:type="pct"/>
            <w:tcBorders>
              <w:top w:val="nil"/>
              <w:left w:val="nil"/>
              <w:bottom w:val="single" w:sz="4" w:space="0" w:color="auto"/>
              <w:right w:val="single" w:sz="4" w:space="0" w:color="auto"/>
            </w:tcBorders>
            <w:shd w:val="clear" w:color="auto" w:fill="auto"/>
            <w:noWrap/>
            <w:vAlign w:val="center"/>
            <w:hideMark/>
          </w:tcPr>
          <w:p w14:paraId="04C0BF45" w14:textId="77777777" w:rsidR="00537E15" w:rsidRPr="0042255D"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42255D">
              <w:rPr>
                <w:rFonts w:ascii="Times New Roman" w:eastAsia="Times New Roman" w:hAnsi="Times New Roman" w:cs="Times New Roman"/>
                <w:color w:val="000000"/>
                <w:sz w:val="20"/>
                <w:szCs w:val="20"/>
                <w:lang w:eastAsia="pl-PL"/>
              </w:rPr>
              <w:t>21</w:t>
            </w:r>
          </w:p>
        </w:tc>
        <w:tc>
          <w:tcPr>
            <w:tcW w:w="315" w:type="pct"/>
            <w:tcBorders>
              <w:top w:val="nil"/>
              <w:left w:val="nil"/>
              <w:bottom w:val="single" w:sz="4" w:space="0" w:color="auto"/>
              <w:right w:val="single" w:sz="4" w:space="0" w:color="auto"/>
            </w:tcBorders>
            <w:vAlign w:val="center"/>
          </w:tcPr>
          <w:p w14:paraId="48470211" w14:textId="62B56D62"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hAnsi="Times New Roman" w:cs="Times New Roman"/>
                <w:color w:val="000000"/>
                <w:sz w:val="20"/>
                <w:szCs w:val="20"/>
              </w:rPr>
              <w:t>18</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14:paraId="71766572" w14:textId="7BDF8039"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eastAsia="Times New Roman" w:hAnsi="Times New Roman" w:cs="Times New Roman"/>
                <w:color w:val="000000"/>
                <w:sz w:val="20"/>
                <w:szCs w:val="20"/>
                <w:lang w:eastAsia="pl-PL"/>
              </w:rPr>
              <w:t>29</w:t>
            </w:r>
          </w:p>
        </w:tc>
        <w:tc>
          <w:tcPr>
            <w:tcW w:w="313" w:type="pct"/>
            <w:tcBorders>
              <w:top w:val="nil"/>
              <w:left w:val="nil"/>
              <w:bottom w:val="single" w:sz="4" w:space="0" w:color="auto"/>
              <w:right w:val="single" w:sz="4" w:space="0" w:color="auto"/>
            </w:tcBorders>
            <w:shd w:val="clear" w:color="auto" w:fill="auto"/>
            <w:noWrap/>
            <w:vAlign w:val="center"/>
            <w:hideMark/>
          </w:tcPr>
          <w:p w14:paraId="661ECD22" w14:textId="77777777"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eastAsia="Times New Roman" w:hAnsi="Times New Roman" w:cs="Times New Roman"/>
                <w:color w:val="000000"/>
                <w:sz w:val="20"/>
                <w:szCs w:val="20"/>
                <w:lang w:eastAsia="pl-PL"/>
              </w:rPr>
              <w:t>29</w:t>
            </w:r>
          </w:p>
        </w:tc>
        <w:tc>
          <w:tcPr>
            <w:tcW w:w="313" w:type="pct"/>
            <w:tcBorders>
              <w:top w:val="nil"/>
              <w:left w:val="nil"/>
              <w:bottom w:val="single" w:sz="4" w:space="0" w:color="auto"/>
              <w:right w:val="single" w:sz="4" w:space="0" w:color="auto"/>
            </w:tcBorders>
            <w:shd w:val="clear" w:color="auto" w:fill="auto"/>
            <w:noWrap/>
            <w:vAlign w:val="center"/>
            <w:hideMark/>
          </w:tcPr>
          <w:p w14:paraId="46B081F8" w14:textId="77777777"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eastAsia="Times New Roman" w:hAnsi="Times New Roman" w:cs="Times New Roman"/>
                <w:color w:val="000000"/>
                <w:sz w:val="20"/>
                <w:szCs w:val="20"/>
                <w:lang w:eastAsia="pl-PL"/>
              </w:rPr>
              <w:t>29</w:t>
            </w:r>
          </w:p>
        </w:tc>
        <w:tc>
          <w:tcPr>
            <w:tcW w:w="313" w:type="pct"/>
            <w:tcBorders>
              <w:top w:val="nil"/>
              <w:left w:val="nil"/>
              <w:bottom w:val="single" w:sz="4" w:space="0" w:color="auto"/>
              <w:right w:val="single" w:sz="4" w:space="0" w:color="auto"/>
            </w:tcBorders>
            <w:shd w:val="clear" w:color="auto" w:fill="auto"/>
            <w:noWrap/>
            <w:vAlign w:val="center"/>
            <w:hideMark/>
          </w:tcPr>
          <w:p w14:paraId="7C76E127" w14:textId="77777777"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eastAsia="Times New Roman" w:hAnsi="Times New Roman" w:cs="Times New Roman"/>
                <w:color w:val="000000"/>
                <w:sz w:val="20"/>
                <w:szCs w:val="20"/>
                <w:lang w:eastAsia="pl-PL"/>
              </w:rPr>
              <w:t>27</w:t>
            </w:r>
          </w:p>
        </w:tc>
        <w:tc>
          <w:tcPr>
            <w:tcW w:w="313" w:type="pct"/>
            <w:tcBorders>
              <w:top w:val="nil"/>
              <w:left w:val="nil"/>
              <w:bottom w:val="single" w:sz="4" w:space="0" w:color="auto"/>
              <w:right w:val="single" w:sz="4" w:space="0" w:color="auto"/>
            </w:tcBorders>
            <w:shd w:val="clear" w:color="auto" w:fill="auto"/>
            <w:noWrap/>
            <w:vAlign w:val="center"/>
            <w:hideMark/>
          </w:tcPr>
          <w:p w14:paraId="77A8A21B" w14:textId="77777777" w:rsidR="00537E15" w:rsidRPr="00537E15" w:rsidRDefault="00537E15" w:rsidP="00537E15">
            <w:pPr>
              <w:spacing w:after="0" w:line="240" w:lineRule="auto"/>
              <w:jc w:val="center"/>
              <w:rPr>
                <w:rFonts w:ascii="Times New Roman" w:eastAsia="Times New Roman" w:hAnsi="Times New Roman" w:cs="Times New Roman"/>
                <w:color w:val="000000"/>
                <w:sz w:val="20"/>
                <w:szCs w:val="20"/>
                <w:lang w:eastAsia="pl-PL"/>
              </w:rPr>
            </w:pPr>
            <w:r w:rsidRPr="00537E15">
              <w:rPr>
                <w:rFonts w:ascii="Times New Roman" w:eastAsia="Times New Roman" w:hAnsi="Times New Roman" w:cs="Times New Roman"/>
                <w:color w:val="000000"/>
                <w:sz w:val="20"/>
                <w:szCs w:val="20"/>
                <w:lang w:eastAsia="pl-PL"/>
              </w:rPr>
              <w:t>23</w:t>
            </w:r>
          </w:p>
        </w:tc>
        <w:tc>
          <w:tcPr>
            <w:tcW w:w="349" w:type="pct"/>
            <w:tcBorders>
              <w:top w:val="single" w:sz="4" w:space="0" w:color="auto"/>
              <w:bottom w:val="single" w:sz="4" w:space="0" w:color="auto"/>
              <w:right w:val="single" w:sz="4" w:space="0" w:color="auto"/>
            </w:tcBorders>
            <w:vAlign w:val="center"/>
          </w:tcPr>
          <w:p w14:paraId="0C2C52CE" w14:textId="18C5B921" w:rsidR="00537E15" w:rsidRPr="00537E15" w:rsidRDefault="00537E15" w:rsidP="00537E15">
            <w:pPr>
              <w:spacing w:after="0" w:line="240" w:lineRule="auto"/>
              <w:jc w:val="center"/>
              <w:rPr>
                <w:rFonts w:ascii="Times New Roman" w:eastAsia="Times New Roman" w:hAnsi="Times New Roman" w:cs="Times New Roman"/>
                <w:sz w:val="20"/>
                <w:szCs w:val="20"/>
                <w:lang w:eastAsia="pl-PL"/>
              </w:rPr>
            </w:pPr>
            <w:r w:rsidRPr="00537E15">
              <w:rPr>
                <w:rFonts w:ascii="Times New Roman" w:hAnsi="Times New Roman" w:cs="Times New Roman"/>
                <w:color w:val="000000"/>
                <w:sz w:val="20"/>
                <w:szCs w:val="20"/>
              </w:rPr>
              <w:t>20</w:t>
            </w:r>
          </w:p>
        </w:tc>
      </w:tr>
    </w:tbl>
    <w:p w14:paraId="5F79C153" w14:textId="77777777" w:rsidR="00A17173" w:rsidRDefault="00A17173" w:rsidP="000C0B56">
      <w:pPr>
        <w:spacing w:after="0" w:line="276" w:lineRule="auto"/>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r>
        <w:rPr>
          <w:rFonts w:ascii="Times New Roman" w:hAnsi="Times New Roman" w:cs="Times New Roman"/>
          <w:i/>
          <w:iCs/>
          <w:sz w:val="20"/>
          <w:szCs w:val="20"/>
        </w:rPr>
        <w:t xml:space="preserve"> na podstawie danych GUS</w:t>
      </w:r>
    </w:p>
    <w:p w14:paraId="1F795939" w14:textId="3F755F46" w:rsidR="000513F1" w:rsidRPr="000513F1" w:rsidRDefault="000513F1" w:rsidP="00467831">
      <w:pPr>
        <w:spacing w:after="120" w:line="276" w:lineRule="auto"/>
        <w:ind w:firstLine="709"/>
        <w:jc w:val="both"/>
        <w:rPr>
          <w:rFonts w:ascii="Times New Roman" w:hAnsi="Times New Roman" w:cs="Times New Roman"/>
          <w:sz w:val="20"/>
          <w:szCs w:val="20"/>
        </w:rPr>
      </w:pPr>
      <w:r>
        <w:rPr>
          <w:rFonts w:ascii="Times New Roman" w:hAnsi="Times New Roman" w:cs="Times New Roman"/>
        </w:rPr>
        <w:t xml:space="preserve">Uczestnicy spotkań w trakcie dyskusji zwrócili uwagę na wskaźniki dotyczące opieki społecznej, które wypadają gorzej niż średnia dla kraju i województwa. To skłoniło zebranych do dyskusji na temat sytuacji osób zagrożonych wykluczeniem ze względu na niepełnosprawność. Stwierdzono, że wciąż wiele osób </w:t>
      </w:r>
      <w:r>
        <w:rPr>
          <w:rFonts w:ascii="Times New Roman" w:hAnsi="Times New Roman" w:cs="Times New Roman"/>
        </w:rPr>
        <w:br/>
        <w:t>z niepełnosprawnościami szczególnie na terenach wiejskich</w:t>
      </w:r>
      <w:r w:rsidR="0016133A">
        <w:rPr>
          <w:rFonts w:ascii="Times New Roman" w:hAnsi="Times New Roman" w:cs="Times New Roman"/>
        </w:rPr>
        <w:t>,</w:t>
      </w:r>
      <w:r>
        <w:rPr>
          <w:rFonts w:ascii="Times New Roman" w:hAnsi="Times New Roman" w:cs="Times New Roman"/>
        </w:rPr>
        <w:t xml:space="preserve"> ma utrudniony dostęp do podstawowych usług, przez co mają ograniczone szanse na rozwój osobisty i społeczny. Uczestnicy zdają sobie sprawę, że wsparcie takich osób wymaga wielu nakładów zarówno finansowych jak i osobowych, ale podjęcie nawet niewielkich działań może poprawić sytuację osób z niepełnosprawnościami i ich opiekunów.</w:t>
      </w:r>
      <w:r w:rsidR="004D67A3">
        <w:rPr>
          <w:rFonts w:ascii="Times New Roman" w:hAnsi="Times New Roman" w:cs="Times New Roman"/>
        </w:rPr>
        <w:t xml:space="preserve"> </w:t>
      </w:r>
    </w:p>
    <w:p w14:paraId="5CFA8124" w14:textId="77777777" w:rsidR="00A17173" w:rsidRDefault="00A17173" w:rsidP="008F34ED">
      <w:pPr>
        <w:pStyle w:val="podnagowek"/>
        <w:numPr>
          <w:ilvl w:val="1"/>
          <w:numId w:val="16"/>
        </w:numPr>
        <w:spacing w:after="80" w:line="276" w:lineRule="auto"/>
        <w:outlineLvl w:val="9"/>
        <w:rPr>
          <w:sz w:val="22"/>
          <w:szCs w:val="22"/>
        </w:rPr>
      </w:pPr>
      <w:r>
        <w:rPr>
          <w:sz w:val="22"/>
          <w:szCs w:val="22"/>
        </w:rPr>
        <w:t>Przestrzeń, infrastruktura i dostęp do usług</w:t>
      </w:r>
    </w:p>
    <w:p w14:paraId="66463059" w14:textId="44CC1A7B" w:rsidR="002D42F0" w:rsidRDefault="00A17173" w:rsidP="00EE5304">
      <w:pPr>
        <w:spacing w:after="0" w:line="276" w:lineRule="auto"/>
        <w:ind w:firstLine="709"/>
        <w:jc w:val="both"/>
        <w:rPr>
          <w:rFonts w:ascii="Times New Roman" w:hAnsi="Times New Roman" w:cs="Times New Roman"/>
          <w:color w:val="000000" w:themeColor="text1"/>
        </w:rPr>
      </w:pPr>
      <w:r w:rsidRPr="00EB35FE">
        <w:rPr>
          <w:rFonts w:ascii="Times New Roman" w:hAnsi="Times New Roman" w:cs="Times New Roman"/>
          <w:color w:val="000000" w:themeColor="text1"/>
        </w:rPr>
        <w:t xml:space="preserve">W kontekście przestrzeni istotny jest poziom wykorzystania instrumentów planowania przestrzeni. Bada się go m.in. poprzez wskaźnik </w:t>
      </w:r>
      <w:r w:rsidRPr="00EB35FE">
        <w:rPr>
          <w:rFonts w:ascii="Times New Roman" w:hAnsi="Times New Roman" w:cs="Times New Roman"/>
          <w:i/>
          <w:iCs/>
          <w:color w:val="000000" w:themeColor="text1"/>
        </w:rPr>
        <w:t xml:space="preserve">udział powierzchni gminy objętej obowiązującymi miejscowymi planami zagospodarowania przestrzennego w powierzchni ogółem (%). </w:t>
      </w:r>
      <w:r w:rsidRPr="00EB35FE">
        <w:rPr>
          <w:rFonts w:ascii="Times New Roman" w:hAnsi="Times New Roman" w:cs="Times New Roman"/>
          <w:color w:val="000000" w:themeColor="text1"/>
        </w:rPr>
        <w:t xml:space="preserve">Wysoki stopień pokrycia powierzchni gminy MPZP świadczy o świadomym podejściu lokalnych władz do planowania przestrzeni. </w:t>
      </w:r>
      <w:r w:rsidR="002D42F0">
        <w:rPr>
          <w:rFonts w:ascii="Times New Roman" w:hAnsi="Times New Roman" w:cs="Times New Roman"/>
          <w:color w:val="000000" w:themeColor="text1"/>
        </w:rPr>
        <w:t>Na terenie wszystkich gmin Bialskopodlask</w:t>
      </w:r>
      <w:r w:rsidR="0016133A">
        <w:rPr>
          <w:rFonts w:ascii="Times New Roman" w:hAnsi="Times New Roman" w:cs="Times New Roman"/>
          <w:color w:val="000000" w:themeColor="text1"/>
        </w:rPr>
        <w:t>iej</w:t>
      </w:r>
      <w:r w:rsidR="002D42F0">
        <w:rPr>
          <w:rFonts w:ascii="Times New Roman" w:hAnsi="Times New Roman" w:cs="Times New Roman"/>
          <w:color w:val="000000" w:themeColor="text1"/>
        </w:rPr>
        <w:t xml:space="preserve"> LGD, oprócz Gminy Rossosz (gdzie nie występują żadne miejscowe plany zagospodarowania przestrzennego), występują tereny objęte miejscowymi planami zagospodarowania przestrzennego. Najlepiej sytuacja w tym zakresie kształtuje się w miastach Terespol i Międzyrzec Podlaski oraz w gminach Kodeń, Sosnówka i Wisznice, gdzie cała lub prawie cała powierzchnia objęta została miejscowym planem zagospodarowania przestrzennego. Nieco gorzej wygląda sytuacja w pozostałych gminach, w których teren objęty miejscowym planem zagospodarowania przestrzennego jest niższy, a nawet znikomy: Gmina Terespol – 48,3%, Gmina Zalesie – 11,4%, Gmina Biała Podlaska – 9,5%,</w:t>
      </w:r>
      <w:r w:rsidR="002D42F0" w:rsidRPr="000F6B2C">
        <w:rPr>
          <w:rFonts w:ascii="Times New Roman" w:hAnsi="Times New Roman" w:cs="Times New Roman"/>
          <w:color w:val="000000" w:themeColor="text1"/>
        </w:rPr>
        <w:t xml:space="preserve"> </w:t>
      </w:r>
      <w:r w:rsidR="002D42F0">
        <w:rPr>
          <w:rFonts w:ascii="Times New Roman" w:hAnsi="Times New Roman" w:cs="Times New Roman"/>
          <w:color w:val="000000" w:themeColor="text1"/>
        </w:rPr>
        <w:t>Gmina Sławatycze – 6,7%,</w:t>
      </w:r>
      <w:r w:rsidR="002D42F0" w:rsidRPr="00494230">
        <w:rPr>
          <w:rFonts w:ascii="Times New Roman" w:hAnsi="Times New Roman" w:cs="Times New Roman"/>
          <w:color w:val="000000" w:themeColor="text1"/>
        </w:rPr>
        <w:t xml:space="preserve"> </w:t>
      </w:r>
      <w:r w:rsidR="002D42F0">
        <w:rPr>
          <w:rFonts w:ascii="Times New Roman" w:hAnsi="Times New Roman" w:cs="Times New Roman"/>
          <w:color w:val="000000" w:themeColor="text1"/>
        </w:rPr>
        <w:t>Gmina Rokitno – 3,0%,</w:t>
      </w:r>
      <w:r w:rsidR="002D42F0" w:rsidRPr="00494230">
        <w:rPr>
          <w:rFonts w:ascii="Times New Roman" w:hAnsi="Times New Roman" w:cs="Times New Roman"/>
          <w:color w:val="000000" w:themeColor="text1"/>
        </w:rPr>
        <w:t xml:space="preserve"> </w:t>
      </w:r>
      <w:r w:rsidR="002D42F0">
        <w:rPr>
          <w:rFonts w:ascii="Times New Roman" w:hAnsi="Times New Roman" w:cs="Times New Roman"/>
          <w:color w:val="000000" w:themeColor="text1"/>
        </w:rPr>
        <w:t>Gmina Tuczna – 2,9%, Gmina Janów Podlaski – 2,8%,</w:t>
      </w:r>
      <w:r w:rsidR="002D42F0" w:rsidRPr="00494230">
        <w:rPr>
          <w:rFonts w:ascii="Times New Roman" w:hAnsi="Times New Roman" w:cs="Times New Roman"/>
          <w:color w:val="000000" w:themeColor="text1"/>
        </w:rPr>
        <w:t xml:space="preserve"> </w:t>
      </w:r>
      <w:r w:rsidR="002D42F0">
        <w:rPr>
          <w:rFonts w:ascii="Times New Roman" w:hAnsi="Times New Roman" w:cs="Times New Roman"/>
          <w:color w:val="000000" w:themeColor="text1"/>
        </w:rPr>
        <w:t>Gmina Drelów – 1,8%, Gmina Konstantynów – 1,1%,</w:t>
      </w:r>
      <w:r w:rsidR="002D42F0" w:rsidRPr="00494230">
        <w:rPr>
          <w:rFonts w:ascii="Times New Roman" w:hAnsi="Times New Roman" w:cs="Times New Roman"/>
          <w:color w:val="000000" w:themeColor="text1"/>
        </w:rPr>
        <w:t xml:space="preserve"> </w:t>
      </w:r>
      <w:r w:rsidR="002D42F0">
        <w:rPr>
          <w:rFonts w:ascii="Times New Roman" w:hAnsi="Times New Roman" w:cs="Times New Roman"/>
          <w:color w:val="000000" w:themeColor="text1"/>
        </w:rPr>
        <w:t>Gmina Łomazy – 1,1%,</w:t>
      </w:r>
      <w:r w:rsidR="002D42F0" w:rsidRPr="007548E3">
        <w:rPr>
          <w:rFonts w:ascii="Times New Roman" w:hAnsi="Times New Roman" w:cs="Times New Roman"/>
          <w:color w:val="000000" w:themeColor="text1"/>
        </w:rPr>
        <w:t xml:space="preserve"> </w:t>
      </w:r>
      <w:r w:rsidR="002D42F0">
        <w:rPr>
          <w:rFonts w:ascii="Times New Roman" w:hAnsi="Times New Roman" w:cs="Times New Roman"/>
          <w:color w:val="000000" w:themeColor="text1"/>
        </w:rPr>
        <w:t>Gmina Leśna Podlaska – 0,4%,</w:t>
      </w:r>
      <w:r w:rsidR="002D42F0" w:rsidRPr="007548E3">
        <w:rPr>
          <w:rFonts w:ascii="Times New Roman" w:hAnsi="Times New Roman" w:cs="Times New Roman"/>
          <w:color w:val="000000" w:themeColor="text1"/>
        </w:rPr>
        <w:t xml:space="preserve"> </w:t>
      </w:r>
      <w:r w:rsidR="002D42F0">
        <w:rPr>
          <w:rFonts w:ascii="Times New Roman" w:hAnsi="Times New Roman" w:cs="Times New Roman"/>
          <w:color w:val="000000" w:themeColor="text1"/>
        </w:rPr>
        <w:t>Gmina Piszczac – 0,2% oraz Gmina Międzyrzec Podlaski – 0,1%</w:t>
      </w:r>
      <w:r w:rsidR="002D42F0">
        <w:rPr>
          <w:rStyle w:val="Odwoanieprzypisudolnego"/>
          <w:color w:val="000000" w:themeColor="text1"/>
        </w:rPr>
        <w:footnoteReference w:id="14"/>
      </w:r>
      <w:r w:rsidR="002D42F0">
        <w:rPr>
          <w:rFonts w:ascii="Times New Roman" w:hAnsi="Times New Roman" w:cs="Times New Roman"/>
          <w:color w:val="000000" w:themeColor="text1"/>
        </w:rPr>
        <w:t>.</w:t>
      </w:r>
    </w:p>
    <w:p w14:paraId="1445E48D" w14:textId="3253075B" w:rsidR="00E860C3" w:rsidRDefault="00A17173" w:rsidP="004D67A3">
      <w:pPr>
        <w:spacing w:after="0" w:line="276" w:lineRule="auto"/>
        <w:ind w:firstLine="709"/>
        <w:jc w:val="both"/>
        <w:rPr>
          <w:rFonts w:ascii="Times New Roman" w:hAnsi="Times New Roman" w:cs="Times New Roman"/>
        </w:rPr>
      </w:pPr>
      <w:r w:rsidRPr="000222CB">
        <w:rPr>
          <w:rFonts w:ascii="Times New Roman" w:hAnsi="Times New Roman" w:cs="Times New Roman"/>
        </w:rPr>
        <w:t xml:space="preserve">Jakość i dostęp do infrastruktury to również elementy podstawowe takie jak infrastruktura techniczna – wodociągowa, kanalizacyjna, gazowa itp. Na wykresie </w:t>
      </w:r>
      <w:r w:rsidR="001E060A">
        <w:rPr>
          <w:rFonts w:ascii="Times New Roman" w:hAnsi="Times New Roman" w:cs="Times New Roman"/>
        </w:rPr>
        <w:t>10</w:t>
      </w:r>
      <w:r>
        <w:rPr>
          <w:rFonts w:ascii="Times New Roman" w:hAnsi="Times New Roman" w:cs="Times New Roman"/>
        </w:rPr>
        <w:t xml:space="preserve"> </w:t>
      </w:r>
      <w:r w:rsidRPr="000222CB">
        <w:rPr>
          <w:rFonts w:ascii="Times New Roman" w:hAnsi="Times New Roman" w:cs="Times New Roman"/>
        </w:rPr>
        <w:t xml:space="preserve">zobrazowano graficznie udział % korzystających z instalacji w ogóle ludności średnio na obszarze LGD, w województwie </w:t>
      </w:r>
      <w:r w:rsidR="002D42F0">
        <w:rPr>
          <w:rFonts w:ascii="Times New Roman" w:hAnsi="Times New Roman" w:cs="Times New Roman"/>
        </w:rPr>
        <w:t>lubelskim</w:t>
      </w:r>
      <w:r w:rsidRPr="000222CB">
        <w:rPr>
          <w:rFonts w:ascii="Times New Roman" w:hAnsi="Times New Roman" w:cs="Times New Roman"/>
        </w:rPr>
        <w:t xml:space="preserve"> oraz w Polsce w 202</w:t>
      </w:r>
      <w:r w:rsidR="002D42F0">
        <w:rPr>
          <w:rFonts w:ascii="Times New Roman" w:hAnsi="Times New Roman" w:cs="Times New Roman"/>
        </w:rPr>
        <w:t>0</w:t>
      </w:r>
      <w:r w:rsidRPr="000222CB">
        <w:rPr>
          <w:rFonts w:ascii="Times New Roman" w:hAnsi="Times New Roman" w:cs="Times New Roman"/>
        </w:rPr>
        <w:t xml:space="preserve"> r.</w:t>
      </w:r>
      <w:r w:rsidR="00E860C3">
        <w:rPr>
          <w:rFonts w:ascii="Times New Roman" w:hAnsi="Times New Roman" w:cs="Times New Roman"/>
        </w:rPr>
        <w:br w:type="page"/>
      </w:r>
    </w:p>
    <w:p w14:paraId="11EB0554" w14:textId="11BA0C94" w:rsidR="00A17173" w:rsidRDefault="00A17173" w:rsidP="00A17173">
      <w:pPr>
        <w:pStyle w:val="Legenda"/>
        <w:spacing w:after="0"/>
        <w:jc w:val="center"/>
      </w:pPr>
      <w:bookmarkStart w:id="75" w:name="_Toc135896525"/>
      <w:r w:rsidRPr="00C10A72">
        <w:rPr>
          <w:rFonts w:ascii="Times New Roman" w:hAnsi="Times New Roman" w:cs="Times New Roman"/>
          <w:b/>
          <w:bCs/>
          <w:i w:val="0"/>
          <w:iCs w:val="0"/>
          <w:color w:val="000000" w:themeColor="text1"/>
          <w:sz w:val="20"/>
          <w:szCs w:val="20"/>
        </w:rPr>
        <w:lastRenderedPageBreak/>
        <w:t xml:space="preserve">Wykres </w:t>
      </w:r>
      <w:r w:rsidRPr="00C10A72">
        <w:rPr>
          <w:rFonts w:ascii="Times New Roman" w:hAnsi="Times New Roman" w:cs="Times New Roman"/>
          <w:b/>
          <w:bCs/>
          <w:i w:val="0"/>
          <w:iCs w:val="0"/>
          <w:color w:val="000000" w:themeColor="text1"/>
          <w:sz w:val="20"/>
          <w:szCs w:val="20"/>
        </w:rPr>
        <w:fldChar w:fldCharType="begin"/>
      </w:r>
      <w:r w:rsidRPr="00C10A72">
        <w:rPr>
          <w:rFonts w:ascii="Times New Roman" w:hAnsi="Times New Roman" w:cs="Times New Roman"/>
          <w:b/>
          <w:bCs/>
          <w:i w:val="0"/>
          <w:iCs w:val="0"/>
          <w:color w:val="000000" w:themeColor="text1"/>
          <w:sz w:val="20"/>
          <w:szCs w:val="20"/>
        </w:rPr>
        <w:instrText xml:space="preserve"> SEQ Wykres \* ARABIC </w:instrText>
      </w:r>
      <w:r w:rsidRPr="00C10A72">
        <w:rPr>
          <w:rFonts w:ascii="Times New Roman" w:hAnsi="Times New Roman" w:cs="Times New Roman"/>
          <w:b/>
          <w:bCs/>
          <w:i w:val="0"/>
          <w:iCs w:val="0"/>
          <w:color w:val="000000" w:themeColor="text1"/>
          <w:sz w:val="20"/>
          <w:szCs w:val="20"/>
        </w:rPr>
        <w:fldChar w:fldCharType="separate"/>
      </w:r>
      <w:r w:rsidR="006A4E5D">
        <w:rPr>
          <w:rFonts w:ascii="Times New Roman" w:hAnsi="Times New Roman" w:cs="Times New Roman"/>
          <w:b/>
          <w:bCs/>
          <w:i w:val="0"/>
          <w:iCs w:val="0"/>
          <w:noProof/>
          <w:color w:val="000000" w:themeColor="text1"/>
          <w:sz w:val="20"/>
          <w:szCs w:val="20"/>
        </w:rPr>
        <w:t>10</w:t>
      </w:r>
      <w:r w:rsidRPr="00C10A72">
        <w:rPr>
          <w:rFonts w:ascii="Times New Roman" w:hAnsi="Times New Roman" w:cs="Times New Roman"/>
          <w:b/>
          <w:bCs/>
          <w:i w:val="0"/>
          <w:iCs w:val="0"/>
          <w:color w:val="000000" w:themeColor="text1"/>
          <w:sz w:val="20"/>
          <w:szCs w:val="20"/>
        </w:rPr>
        <w:fldChar w:fldCharType="end"/>
      </w:r>
      <w:r w:rsidRPr="00C10A72">
        <w:rPr>
          <w:rFonts w:ascii="Times New Roman" w:hAnsi="Times New Roman" w:cs="Times New Roman"/>
          <w:b/>
          <w:bCs/>
          <w:i w:val="0"/>
          <w:iCs w:val="0"/>
          <w:color w:val="000000" w:themeColor="text1"/>
          <w:sz w:val="20"/>
          <w:szCs w:val="20"/>
        </w:rPr>
        <w:t xml:space="preserve"> </w:t>
      </w:r>
      <w:r w:rsidRPr="000D135F">
        <w:rPr>
          <w:rFonts w:ascii="Times New Roman" w:hAnsi="Times New Roman" w:cs="Times New Roman"/>
          <w:b/>
          <w:bCs/>
          <w:i w:val="0"/>
          <w:iCs w:val="0"/>
          <w:color w:val="000000" w:themeColor="text1"/>
          <w:sz w:val="20"/>
          <w:szCs w:val="20"/>
        </w:rPr>
        <w:t xml:space="preserve">Udział % korzystających z instalacji w ogóle ludności </w:t>
      </w:r>
      <w:r>
        <w:rPr>
          <w:rFonts w:ascii="Times New Roman" w:hAnsi="Times New Roman" w:cs="Times New Roman"/>
          <w:b/>
          <w:bCs/>
          <w:i w:val="0"/>
          <w:iCs w:val="0"/>
          <w:color w:val="000000" w:themeColor="text1"/>
          <w:sz w:val="20"/>
          <w:szCs w:val="20"/>
        </w:rPr>
        <w:t>na obszarze</w:t>
      </w:r>
      <w:r w:rsidRPr="000D135F">
        <w:rPr>
          <w:rFonts w:ascii="Times New Roman" w:hAnsi="Times New Roman" w:cs="Times New Roman"/>
          <w:b/>
          <w:bCs/>
          <w:i w:val="0"/>
          <w:iCs w:val="0"/>
          <w:color w:val="000000" w:themeColor="text1"/>
          <w:sz w:val="20"/>
          <w:szCs w:val="20"/>
        </w:rPr>
        <w:t xml:space="preserve"> LGD, </w:t>
      </w:r>
      <w:r>
        <w:rPr>
          <w:rFonts w:ascii="Times New Roman" w:hAnsi="Times New Roman" w:cs="Times New Roman"/>
          <w:b/>
          <w:bCs/>
          <w:i w:val="0"/>
          <w:iCs w:val="0"/>
          <w:color w:val="000000" w:themeColor="text1"/>
          <w:sz w:val="20"/>
          <w:szCs w:val="20"/>
        </w:rPr>
        <w:t xml:space="preserve">w </w:t>
      </w:r>
      <w:r w:rsidRPr="000D135F">
        <w:rPr>
          <w:rFonts w:ascii="Times New Roman" w:hAnsi="Times New Roman" w:cs="Times New Roman"/>
          <w:b/>
          <w:bCs/>
          <w:i w:val="0"/>
          <w:iCs w:val="0"/>
          <w:color w:val="000000" w:themeColor="text1"/>
          <w:sz w:val="20"/>
          <w:szCs w:val="20"/>
        </w:rPr>
        <w:t xml:space="preserve">województwie oraz </w:t>
      </w:r>
      <w:r>
        <w:rPr>
          <w:rFonts w:ascii="Times New Roman" w:hAnsi="Times New Roman" w:cs="Times New Roman"/>
          <w:b/>
          <w:bCs/>
          <w:i w:val="0"/>
          <w:iCs w:val="0"/>
          <w:color w:val="000000" w:themeColor="text1"/>
          <w:sz w:val="20"/>
          <w:szCs w:val="20"/>
        </w:rPr>
        <w:t>kraju</w:t>
      </w:r>
      <w:r w:rsidRPr="000D135F">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br/>
      </w:r>
      <w:r w:rsidRPr="000D135F">
        <w:rPr>
          <w:rFonts w:ascii="Times New Roman" w:hAnsi="Times New Roman" w:cs="Times New Roman"/>
          <w:b/>
          <w:bCs/>
          <w:i w:val="0"/>
          <w:iCs w:val="0"/>
          <w:color w:val="000000" w:themeColor="text1"/>
          <w:sz w:val="20"/>
          <w:szCs w:val="20"/>
        </w:rPr>
        <w:t>w 202</w:t>
      </w:r>
      <w:r w:rsidR="002D42F0">
        <w:rPr>
          <w:rFonts w:ascii="Times New Roman" w:hAnsi="Times New Roman" w:cs="Times New Roman"/>
          <w:b/>
          <w:bCs/>
          <w:i w:val="0"/>
          <w:iCs w:val="0"/>
          <w:color w:val="000000" w:themeColor="text1"/>
          <w:sz w:val="20"/>
          <w:szCs w:val="20"/>
        </w:rPr>
        <w:t>0</w:t>
      </w:r>
      <w:r w:rsidRPr="000D135F">
        <w:rPr>
          <w:rFonts w:ascii="Times New Roman" w:hAnsi="Times New Roman" w:cs="Times New Roman"/>
          <w:b/>
          <w:bCs/>
          <w:i w:val="0"/>
          <w:iCs w:val="0"/>
          <w:color w:val="000000" w:themeColor="text1"/>
          <w:sz w:val="20"/>
          <w:szCs w:val="20"/>
        </w:rPr>
        <w:t xml:space="preserve"> r.</w:t>
      </w:r>
      <w:bookmarkEnd w:id="75"/>
    </w:p>
    <w:p w14:paraId="003831D9" w14:textId="0437EDBC" w:rsidR="00A17173" w:rsidRDefault="002D42F0" w:rsidP="00A17173">
      <w:pPr>
        <w:spacing w:after="0"/>
        <w:jc w:val="center"/>
      </w:pPr>
      <w:r>
        <w:rPr>
          <w:noProof/>
        </w:rPr>
        <w:drawing>
          <wp:inline distT="0" distB="0" distL="0" distR="0" wp14:anchorId="70A7FA1E" wp14:editId="56694285">
            <wp:extent cx="4057650" cy="1619250"/>
            <wp:effectExtent l="0" t="0" r="0" b="0"/>
            <wp:docPr id="24" name="Wykres 24">
              <a:extLst xmlns:a="http://schemas.openxmlformats.org/drawingml/2006/main">
                <a:ext uri="{FF2B5EF4-FFF2-40B4-BE49-F238E27FC236}">
                  <a16:creationId xmlns:a16="http://schemas.microsoft.com/office/drawing/2014/main" id="{D5E8D79D-4819-AD77-0E7A-854B5D3E2A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DD0C81" w14:textId="364DF2C5" w:rsidR="00A17173" w:rsidRPr="00584D60" w:rsidRDefault="00A17173" w:rsidP="004D67A3">
      <w:pPr>
        <w:spacing w:after="0" w:line="276" w:lineRule="auto"/>
        <w:jc w:val="center"/>
        <w:rPr>
          <w:rFonts w:ascii="Times New Roman" w:hAnsi="Times New Roman" w:cs="Times New Roman"/>
          <w:color w:val="000000" w:themeColor="text1"/>
        </w:rPr>
      </w:pPr>
      <w:r w:rsidRPr="001F75C9">
        <w:rPr>
          <w:rFonts w:ascii="Times New Roman" w:hAnsi="Times New Roman" w:cs="Times New Roman"/>
          <w:i/>
          <w:iCs/>
          <w:sz w:val="20"/>
          <w:szCs w:val="20"/>
        </w:rPr>
        <w:t xml:space="preserve">Źródło: </w:t>
      </w:r>
      <w:r w:rsidR="009C564A">
        <w:rPr>
          <w:rFonts w:ascii="Times New Roman" w:hAnsi="Times New Roman" w:cs="Times New Roman"/>
          <w:i/>
          <w:iCs/>
          <w:sz w:val="20"/>
          <w:szCs w:val="20"/>
        </w:rPr>
        <w:t>O</w:t>
      </w:r>
      <w:r w:rsidRPr="001F75C9">
        <w:rPr>
          <w:rFonts w:ascii="Times New Roman" w:hAnsi="Times New Roman" w:cs="Times New Roman"/>
          <w:i/>
          <w:iCs/>
          <w:sz w:val="20"/>
          <w:szCs w:val="20"/>
        </w:rPr>
        <w:t>pracowanie własne</w:t>
      </w:r>
      <w:r>
        <w:rPr>
          <w:rFonts w:ascii="Times New Roman" w:hAnsi="Times New Roman" w:cs="Times New Roman"/>
          <w:i/>
          <w:iCs/>
          <w:sz w:val="20"/>
          <w:szCs w:val="20"/>
        </w:rPr>
        <w:t xml:space="preserve"> na podstawie danych GUS</w:t>
      </w:r>
    </w:p>
    <w:p w14:paraId="64FF9396" w14:textId="77777777" w:rsidR="002D42F0" w:rsidRDefault="002D42F0" w:rsidP="00EE5304">
      <w:pPr>
        <w:spacing w:after="0" w:line="276" w:lineRule="auto"/>
        <w:ind w:firstLine="709"/>
        <w:jc w:val="both"/>
        <w:rPr>
          <w:rFonts w:ascii="Times New Roman" w:hAnsi="Times New Roman" w:cs="Times New Roman"/>
        </w:rPr>
      </w:pPr>
      <w:bookmarkStart w:id="76" w:name="_Hlk113395772"/>
      <w:r>
        <w:rPr>
          <w:rFonts w:ascii="Times New Roman" w:hAnsi="Times New Roman" w:cs="Times New Roman"/>
        </w:rPr>
        <w:t>Tam, gdzie nie istnieje sieć kanalizacyjna, funkcjonują bezodpływowe szamba lub przydomowe oczyszczalnie ścieków. Te drugie są tańsze w eksploatacji i przede wszystkim zdecydowanie bardziej przyjazne środowisku. Na obszarze LGD użytkowano łącznie 4 880 sztuk przydomowych oczyszczalni ścieków (stan na 31 grudnia 2021 r.). Najwięcej z nich funkcjonowało na terenie gmin Terespol (589 szt.) i Biała Podlaska (554 szt.), natomiast najmniej na terenie Miasta Terespol (1 szt.) oraz w Mieście Międzyrzec Podlaski (13 szt.)</w:t>
      </w:r>
      <w:r>
        <w:rPr>
          <w:rStyle w:val="Odwoanieprzypisudolnego"/>
        </w:rPr>
        <w:footnoteReference w:id="15"/>
      </w:r>
      <w:r>
        <w:rPr>
          <w:rFonts w:ascii="Times New Roman" w:hAnsi="Times New Roman" w:cs="Times New Roman"/>
        </w:rPr>
        <w:t xml:space="preserve">. </w:t>
      </w:r>
    </w:p>
    <w:p w14:paraId="70AC06D9" w14:textId="77777777" w:rsidR="00A671CB" w:rsidRPr="006442F2" w:rsidRDefault="00A671CB" w:rsidP="00EE5304">
      <w:pPr>
        <w:pStyle w:val="Akapitzlist"/>
        <w:spacing w:after="0" w:line="276" w:lineRule="auto"/>
        <w:ind w:left="0" w:firstLine="708"/>
        <w:jc w:val="both"/>
        <w:rPr>
          <w:rFonts w:ascii="Times New Roman" w:hAnsi="Times New Roman" w:cs="Times New Roman"/>
          <w:color w:val="000000" w:themeColor="text1"/>
        </w:rPr>
      </w:pPr>
      <w:r w:rsidRPr="006442F2">
        <w:rPr>
          <w:rFonts w:ascii="Times New Roman" w:hAnsi="Times New Roman" w:cs="Times New Roman"/>
          <w:color w:val="000000" w:themeColor="text1"/>
        </w:rPr>
        <w:t>Średni udział wydatków na gospodarkę komunalną i ochronę środowiska w wydatkach ogółem jednostek samorządu terytorialnego wchodzących w skład LGD w latach 20</w:t>
      </w:r>
      <w:r>
        <w:rPr>
          <w:rFonts w:ascii="Times New Roman" w:hAnsi="Times New Roman" w:cs="Times New Roman"/>
          <w:color w:val="000000" w:themeColor="text1"/>
        </w:rPr>
        <w:t>16</w:t>
      </w:r>
      <w:r w:rsidRPr="006442F2">
        <w:rPr>
          <w:rFonts w:ascii="Times New Roman" w:hAnsi="Times New Roman" w:cs="Times New Roman"/>
          <w:color w:val="000000" w:themeColor="text1"/>
        </w:rPr>
        <w:t>–20</w:t>
      </w:r>
      <w:r>
        <w:rPr>
          <w:rFonts w:ascii="Times New Roman" w:hAnsi="Times New Roman" w:cs="Times New Roman"/>
          <w:color w:val="000000" w:themeColor="text1"/>
        </w:rPr>
        <w:t>21</w:t>
      </w:r>
      <w:r w:rsidRPr="006442F2">
        <w:rPr>
          <w:rFonts w:ascii="Times New Roman" w:hAnsi="Times New Roman" w:cs="Times New Roman"/>
          <w:color w:val="000000" w:themeColor="text1"/>
        </w:rPr>
        <w:t xml:space="preserve"> w</w:t>
      </w:r>
      <w:r>
        <w:rPr>
          <w:rFonts w:ascii="Times New Roman" w:hAnsi="Times New Roman" w:cs="Times New Roman"/>
          <w:color w:val="000000" w:themeColor="text1"/>
        </w:rPr>
        <w:t xml:space="preserve">yniósł 7,5%. Wynik ten jest niższy od średniej dla Polski (8,1%) oraz nieznacznie niższy od średniej dla województwa lubelskiego (7,6%). Należy przy tym </w:t>
      </w:r>
      <w:r w:rsidRPr="006442F2">
        <w:rPr>
          <w:rFonts w:ascii="Times New Roman" w:hAnsi="Times New Roman" w:cs="Times New Roman"/>
          <w:color w:val="000000" w:themeColor="text1"/>
        </w:rPr>
        <w:t>zauważyć, że wysoka wartość tego wskaźnika wynika z wysokich wydatków na obszarze</w:t>
      </w:r>
      <w:r>
        <w:rPr>
          <w:rFonts w:ascii="Times New Roman" w:hAnsi="Times New Roman" w:cs="Times New Roman"/>
          <w:color w:val="000000" w:themeColor="text1"/>
        </w:rPr>
        <w:t xml:space="preserve"> gmin Wisznice (13,8%), Leśna Podlaska (10,7%) oraz Miasta Terespol (10,1%), które jako jedyne z całego obszaru osiągnęły średnią wartość z lat 2016–2021 powyżej 10%. Najniższy udział wydatków </w:t>
      </w:r>
      <w:r w:rsidRPr="006442F2">
        <w:rPr>
          <w:rFonts w:ascii="Times New Roman" w:hAnsi="Times New Roman" w:cs="Times New Roman"/>
          <w:color w:val="000000" w:themeColor="text1"/>
        </w:rPr>
        <w:t>na gospodarkę komunalną i ochronę środowiska w wydatkach ogółem</w:t>
      </w:r>
      <w:r>
        <w:rPr>
          <w:rFonts w:ascii="Times New Roman" w:hAnsi="Times New Roman" w:cs="Times New Roman"/>
          <w:color w:val="000000" w:themeColor="text1"/>
        </w:rPr>
        <w:t xml:space="preserve"> w tym okresie zanotowano w Gminie Janów Podlaski (3,9%)</w:t>
      </w:r>
      <w:r>
        <w:rPr>
          <w:rStyle w:val="Odwoanieprzypisudolnego"/>
          <w:color w:val="000000" w:themeColor="text1"/>
        </w:rPr>
        <w:footnoteReference w:id="16"/>
      </w:r>
      <w:r>
        <w:rPr>
          <w:rFonts w:ascii="Times New Roman" w:hAnsi="Times New Roman" w:cs="Times New Roman"/>
          <w:color w:val="000000" w:themeColor="text1"/>
        </w:rPr>
        <w:t>.</w:t>
      </w:r>
    </w:p>
    <w:p w14:paraId="7786ACC3" w14:textId="676738B2" w:rsidR="00A17173" w:rsidRDefault="00A17173" w:rsidP="00EE5304">
      <w:pPr>
        <w:spacing w:after="0" w:line="276" w:lineRule="auto"/>
        <w:ind w:firstLine="709"/>
        <w:jc w:val="both"/>
        <w:rPr>
          <w:rFonts w:ascii="Times New Roman" w:hAnsi="Times New Roman" w:cs="Times New Roman"/>
          <w:color w:val="000000" w:themeColor="text1"/>
        </w:rPr>
      </w:pPr>
      <w:r w:rsidRPr="00151138">
        <w:rPr>
          <w:rFonts w:ascii="Times New Roman" w:hAnsi="Times New Roman" w:cs="Times New Roman"/>
          <w:color w:val="000000" w:themeColor="text1"/>
        </w:rPr>
        <w:t xml:space="preserve">O wysokiej jakości usług publicznych świadczy również dostępność dzieci do </w:t>
      </w:r>
      <w:r w:rsidR="000C0B56">
        <w:rPr>
          <w:rFonts w:ascii="Times New Roman" w:hAnsi="Times New Roman" w:cs="Times New Roman"/>
          <w:color w:val="000000" w:themeColor="text1"/>
        </w:rPr>
        <w:t xml:space="preserve">żłobków oraz do </w:t>
      </w:r>
      <w:r w:rsidRPr="00151138">
        <w:rPr>
          <w:rFonts w:ascii="Times New Roman" w:hAnsi="Times New Roman" w:cs="Times New Roman"/>
          <w:color w:val="000000" w:themeColor="text1"/>
        </w:rPr>
        <w:t>wychowania</w:t>
      </w:r>
      <w:r w:rsidR="000C0B56">
        <w:rPr>
          <w:rFonts w:ascii="Times New Roman" w:hAnsi="Times New Roman" w:cs="Times New Roman"/>
          <w:color w:val="000000" w:themeColor="text1"/>
        </w:rPr>
        <w:t xml:space="preserve"> </w:t>
      </w:r>
      <w:r w:rsidRPr="00151138">
        <w:rPr>
          <w:rFonts w:ascii="Times New Roman" w:hAnsi="Times New Roman" w:cs="Times New Roman"/>
          <w:color w:val="000000" w:themeColor="text1"/>
        </w:rPr>
        <w:t>przedszkolnego na</w:t>
      </w:r>
      <w:r w:rsidRPr="00BD2C4A">
        <w:rPr>
          <w:rFonts w:ascii="Times New Roman" w:hAnsi="Times New Roman" w:cs="Times New Roman"/>
          <w:color w:val="000000" w:themeColor="text1"/>
        </w:rPr>
        <w:t xml:space="preserve"> obszarze danej gminy. </w:t>
      </w:r>
      <w:r w:rsidR="0042557E" w:rsidRPr="00650B36">
        <w:rPr>
          <w:rFonts w:ascii="Times New Roman" w:hAnsi="Times New Roman" w:cs="Times New Roman"/>
          <w:color w:val="000000" w:themeColor="text1"/>
        </w:rPr>
        <w:t xml:space="preserve">Na terenie obszaru </w:t>
      </w:r>
      <w:r w:rsidR="0042557E">
        <w:rPr>
          <w:rFonts w:ascii="Times New Roman" w:hAnsi="Times New Roman" w:cs="Times New Roman"/>
          <w:color w:val="000000" w:themeColor="text1"/>
        </w:rPr>
        <w:t>Bialskopodlask</w:t>
      </w:r>
      <w:r w:rsidR="0016133A">
        <w:rPr>
          <w:rFonts w:ascii="Times New Roman" w:hAnsi="Times New Roman" w:cs="Times New Roman"/>
          <w:color w:val="000000" w:themeColor="text1"/>
        </w:rPr>
        <w:t>iej</w:t>
      </w:r>
      <w:r w:rsidR="0042557E" w:rsidRPr="00650B36">
        <w:rPr>
          <w:rFonts w:ascii="Times New Roman" w:hAnsi="Times New Roman" w:cs="Times New Roman"/>
          <w:color w:val="000000" w:themeColor="text1"/>
        </w:rPr>
        <w:t xml:space="preserve"> LGD w 2021 roku zlokalizowanych było sześć podmiotów, które świadczyły usługi opieki nad dziećmi do lat 3 –</w:t>
      </w:r>
      <w:r w:rsidR="0042557E">
        <w:rPr>
          <w:rFonts w:ascii="Times New Roman" w:hAnsi="Times New Roman" w:cs="Times New Roman"/>
          <w:color w:val="000000" w:themeColor="text1"/>
        </w:rPr>
        <w:t xml:space="preserve"> po jednym żłobku w gminach Biała Podlaska, Konstantynów, Wisznice oraz w Mieście Międzyrzec Podlaski, a także dodatkowo 2 kluby dziecięce </w:t>
      </w:r>
      <w:r w:rsidR="0042557E">
        <w:rPr>
          <w:rFonts w:ascii="Times New Roman" w:hAnsi="Times New Roman" w:cs="Times New Roman"/>
          <w:color w:val="000000" w:themeColor="text1"/>
        </w:rPr>
        <w:softHyphen/>
        <w:t xml:space="preserve"> </w:t>
      </w:r>
      <w:r w:rsidR="0042557E">
        <w:rPr>
          <w:rFonts w:ascii="Times New Roman" w:hAnsi="Times New Roman" w:cs="Times New Roman"/>
          <w:color w:val="000000" w:themeColor="text1"/>
        </w:rPr>
        <w:br/>
        <w:t xml:space="preserve">w gminach Łomazy i Wisznice. </w:t>
      </w:r>
      <w:r>
        <w:rPr>
          <w:rFonts w:ascii="Times New Roman" w:hAnsi="Times New Roman" w:cs="Times New Roman"/>
          <w:color w:val="000000" w:themeColor="text1"/>
        </w:rPr>
        <w:t>W tabeli 1</w:t>
      </w:r>
      <w:r w:rsidR="00511B36">
        <w:rPr>
          <w:rFonts w:ascii="Times New Roman" w:hAnsi="Times New Roman" w:cs="Times New Roman"/>
          <w:color w:val="000000" w:themeColor="text1"/>
        </w:rPr>
        <w:t>2</w:t>
      </w:r>
      <w:r>
        <w:rPr>
          <w:rFonts w:ascii="Times New Roman" w:hAnsi="Times New Roman" w:cs="Times New Roman"/>
          <w:color w:val="000000" w:themeColor="text1"/>
        </w:rPr>
        <w:t xml:space="preserve"> przedstawiono wartości </w:t>
      </w:r>
      <w:r w:rsidRPr="008550CA">
        <w:rPr>
          <w:rFonts w:ascii="Times New Roman" w:hAnsi="Times New Roman" w:cs="Times New Roman"/>
          <w:color w:val="000000" w:themeColor="text1"/>
        </w:rPr>
        <w:t>wskaźników</w:t>
      </w:r>
      <w:r w:rsidRPr="00BD2C4A">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udział</w:t>
      </w:r>
      <w:r w:rsidRPr="00BD2C4A">
        <w:rPr>
          <w:rFonts w:ascii="Times New Roman" w:hAnsi="Times New Roman" w:cs="Times New Roman"/>
          <w:i/>
          <w:iCs/>
          <w:color w:val="000000" w:themeColor="text1"/>
        </w:rPr>
        <w:t xml:space="preserve"> dzieci </w:t>
      </w:r>
      <w:r>
        <w:rPr>
          <w:rFonts w:ascii="Times New Roman" w:hAnsi="Times New Roman" w:cs="Times New Roman"/>
          <w:i/>
          <w:iCs/>
          <w:color w:val="000000" w:themeColor="text1"/>
        </w:rPr>
        <w:t>objętych wychowaniem przedszkolnym</w:t>
      </w:r>
      <w:r w:rsidRPr="00BD2C4A">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 xml:space="preserve">w ogólnej liczbie dzieci </w:t>
      </w:r>
      <w:r w:rsidRPr="00BD2C4A">
        <w:rPr>
          <w:rFonts w:ascii="Times New Roman" w:hAnsi="Times New Roman" w:cs="Times New Roman"/>
          <w:i/>
          <w:iCs/>
          <w:color w:val="000000" w:themeColor="text1"/>
        </w:rPr>
        <w:t>w</w:t>
      </w:r>
      <w:r>
        <w:rPr>
          <w:rFonts w:ascii="Times New Roman" w:hAnsi="Times New Roman" w:cs="Times New Roman"/>
          <w:i/>
          <w:iCs/>
          <w:color w:val="000000" w:themeColor="text1"/>
        </w:rPr>
        <w:t> </w:t>
      </w:r>
      <w:r w:rsidRPr="00BD2C4A">
        <w:rPr>
          <w:rFonts w:ascii="Times New Roman" w:hAnsi="Times New Roman" w:cs="Times New Roman"/>
          <w:i/>
          <w:iCs/>
          <w:color w:val="000000" w:themeColor="text1"/>
        </w:rPr>
        <w:t>wieku 3–5 lat</w:t>
      </w:r>
      <w:r w:rsidRPr="00BD2C4A">
        <w:rPr>
          <w:rFonts w:ascii="Times New Roman" w:hAnsi="Times New Roman" w:cs="Times New Roman"/>
          <w:color w:val="000000" w:themeColor="text1"/>
        </w:rPr>
        <w:t xml:space="preserve"> oraz </w:t>
      </w:r>
      <w:r w:rsidRPr="00BD2C4A">
        <w:rPr>
          <w:rFonts w:ascii="Times New Roman" w:hAnsi="Times New Roman" w:cs="Times New Roman"/>
          <w:i/>
          <w:iCs/>
          <w:color w:val="000000" w:themeColor="text1"/>
        </w:rPr>
        <w:t>liczba dzieci przypadająca na 1 placówkę wychowania przedszkolnego</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w latach 2016–202</w:t>
      </w:r>
      <w:r w:rsidR="00A30EA5">
        <w:rPr>
          <w:rFonts w:ascii="Times New Roman" w:hAnsi="Times New Roman" w:cs="Times New Roman"/>
          <w:color w:val="000000" w:themeColor="text1"/>
        </w:rPr>
        <w:t>1</w:t>
      </w:r>
      <w:r>
        <w:rPr>
          <w:rFonts w:ascii="Times New Roman" w:hAnsi="Times New Roman" w:cs="Times New Roman"/>
          <w:color w:val="000000" w:themeColor="text1"/>
        </w:rPr>
        <w:t>.</w:t>
      </w:r>
    </w:p>
    <w:p w14:paraId="049EBA71" w14:textId="5877525B" w:rsidR="00A17173" w:rsidRPr="00120BC3" w:rsidRDefault="00A17173" w:rsidP="00A17173">
      <w:pPr>
        <w:pStyle w:val="Legenda"/>
        <w:spacing w:after="0"/>
        <w:jc w:val="center"/>
        <w:rPr>
          <w:rFonts w:ascii="Times New Roman" w:hAnsi="Times New Roman" w:cs="Times New Roman"/>
          <w:color w:val="000000" w:themeColor="text1"/>
        </w:rPr>
      </w:pPr>
      <w:bookmarkStart w:id="77" w:name="_Toc115335606"/>
      <w:bookmarkStart w:id="78" w:name="_Toc135896554"/>
      <w:r w:rsidRPr="00822CC6">
        <w:rPr>
          <w:rFonts w:ascii="Times New Roman" w:hAnsi="Times New Roman" w:cs="Times New Roman"/>
          <w:b/>
          <w:bCs/>
          <w:i w:val="0"/>
          <w:iCs w:val="0"/>
          <w:color w:val="000000" w:themeColor="text1"/>
          <w:sz w:val="20"/>
          <w:szCs w:val="20"/>
        </w:rPr>
        <w:t xml:space="preserve">Tabela </w:t>
      </w:r>
      <w:r w:rsidRPr="00822CC6">
        <w:rPr>
          <w:rFonts w:ascii="Times New Roman" w:hAnsi="Times New Roman" w:cs="Times New Roman"/>
          <w:b/>
          <w:bCs/>
          <w:i w:val="0"/>
          <w:iCs w:val="0"/>
          <w:color w:val="000000" w:themeColor="text1"/>
          <w:sz w:val="20"/>
          <w:szCs w:val="20"/>
        </w:rPr>
        <w:fldChar w:fldCharType="begin"/>
      </w:r>
      <w:r w:rsidRPr="00822CC6">
        <w:rPr>
          <w:rFonts w:ascii="Times New Roman" w:hAnsi="Times New Roman" w:cs="Times New Roman"/>
          <w:b/>
          <w:bCs/>
          <w:i w:val="0"/>
          <w:iCs w:val="0"/>
          <w:color w:val="000000" w:themeColor="text1"/>
          <w:sz w:val="20"/>
          <w:szCs w:val="20"/>
        </w:rPr>
        <w:instrText xml:space="preserve"> SEQ Tabela \* ARABIC </w:instrText>
      </w:r>
      <w:r w:rsidRPr="00822CC6">
        <w:rPr>
          <w:rFonts w:ascii="Times New Roman" w:hAnsi="Times New Roman" w:cs="Times New Roman"/>
          <w:b/>
          <w:bCs/>
          <w:i w:val="0"/>
          <w:iCs w:val="0"/>
          <w:color w:val="000000" w:themeColor="text1"/>
          <w:sz w:val="20"/>
          <w:szCs w:val="20"/>
        </w:rPr>
        <w:fldChar w:fldCharType="separate"/>
      </w:r>
      <w:r w:rsidR="0042557E">
        <w:rPr>
          <w:rFonts w:ascii="Times New Roman" w:hAnsi="Times New Roman" w:cs="Times New Roman"/>
          <w:b/>
          <w:bCs/>
          <w:i w:val="0"/>
          <w:iCs w:val="0"/>
          <w:noProof/>
          <w:color w:val="000000" w:themeColor="text1"/>
          <w:sz w:val="20"/>
          <w:szCs w:val="20"/>
        </w:rPr>
        <w:t>12</w:t>
      </w:r>
      <w:r w:rsidRPr="00822CC6">
        <w:rPr>
          <w:rFonts w:ascii="Times New Roman" w:hAnsi="Times New Roman" w:cs="Times New Roman"/>
          <w:b/>
          <w:bCs/>
          <w:i w:val="0"/>
          <w:iCs w:val="0"/>
          <w:color w:val="000000" w:themeColor="text1"/>
          <w:sz w:val="20"/>
          <w:szCs w:val="20"/>
        </w:rPr>
        <w:fldChar w:fldCharType="end"/>
      </w:r>
      <w:r>
        <w:t xml:space="preserve"> </w:t>
      </w:r>
      <w:r w:rsidRPr="004F0065">
        <w:rPr>
          <w:rFonts w:ascii="Times New Roman" w:hAnsi="Times New Roman" w:cs="Times New Roman"/>
          <w:b/>
          <w:bCs/>
          <w:i w:val="0"/>
          <w:iCs w:val="0"/>
          <w:color w:val="000000" w:themeColor="text1"/>
          <w:sz w:val="20"/>
          <w:szCs w:val="20"/>
        </w:rPr>
        <w:t xml:space="preserve">Udział dzieci objętych wychowaniem przedszkolnym w ogólnej liczbie dzieci w wieku 3–5 lat </w:t>
      </w:r>
      <w:r w:rsidR="001C7EFF">
        <w:rPr>
          <w:rFonts w:ascii="Times New Roman" w:hAnsi="Times New Roman" w:cs="Times New Roman"/>
          <w:b/>
          <w:bCs/>
          <w:i w:val="0"/>
          <w:iCs w:val="0"/>
          <w:color w:val="000000" w:themeColor="text1"/>
          <w:sz w:val="20"/>
          <w:szCs w:val="20"/>
        </w:rPr>
        <w:t xml:space="preserve">oraz liczba dzieci przypadająca na 1 placówkę wychowania przedszkolnego </w:t>
      </w:r>
      <w:r>
        <w:rPr>
          <w:rFonts w:ascii="Times New Roman" w:hAnsi="Times New Roman" w:cs="Times New Roman"/>
          <w:b/>
          <w:bCs/>
          <w:i w:val="0"/>
          <w:iCs w:val="0"/>
          <w:color w:val="000000" w:themeColor="text1"/>
          <w:sz w:val="20"/>
          <w:szCs w:val="20"/>
        </w:rPr>
        <w:t xml:space="preserve">– </w:t>
      </w:r>
      <w:r w:rsidRPr="00394BEE">
        <w:rPr>
          <w:rFonts w:ascii="Times New Roman" w:hAnsi="Times New Roman" w:cs="Times New Roman"/>
          <w:b/>
          <w:bCs/>
          <w:i w:val="0"/>
          <w:iCs w:val="0"/>
          <w:color w:val="000000" w:themeColor="text1"/>
          <w:sz w:val="20"/>
          <w:szCs w:val="20"/>
        </w:rPr>
        <w:t xml:space="preserve">porównanie średniej </w:t>
      </w:r>
      <w:r>
        <w:rPr>
          <w:rFonts w:ascii="Times New Roman" w:hAnsi="Times New Roman" w:cs="Times New Roman"/>
          <w:b/>
          <w:bCs/>
          <w:i w:val="0"/>
          <w:iCs w:val="0"/>
          <w:color w:val="000000" w:themeColor="text1"/>
          <w:sz w:val="20"/>
          <w:szCs w:val="20"/>
        </w:rPr>
        <w:t xml:space="preserve">obszaru </w:t>
      </w:r>
      <w:r w:rsidRPr="00394BEE">
        <w:rPr>
          <w:rFonts w:ascii="Times New Roman" w:hAnsi="Times New Roman" w:cs="Times New Roman"/>
          <w:b/>
          <w:bCs/>
          <w:i w:val="0"/>
          <w:iCs w:val="0"/>
          <w:color w:val="000000" w:themeColor="text1"/>
          <w:sz w:val="20"/>
          <w:szCs w:val="20"/>
        </w:rPr>
        <w:t>LGD do</w:t>
      </w:r>
      <w:r>
        <w:rPr>
          <w:rFonts w:ascii="Times New Roman" w:hAnsi="Times New Roman" w:cs="Times New Roman"/>
          <w:b/>
          <w:bCs/>
          <w:i w:val="0"/>
          <w:iCs w:val="0"/>
          <w:color w:val="000000" w:themeColor="text1"/>
          <w:sz w:val="20"/>
          <w:szCs w:val="20"/>
        </w:rPr>
        <w:t> </w:t>
      </w:r>
      <w:r w:rsidRPr="00394BEE">
        <w:rPr>
          <w:rFonts w:ascii="Times New Roman" w:hAnsi="Times New Roman" w:cs="Times New Roman"/>
          <w:b/>
          <w:bCs/>
          <w:i w:val="0"/>
          <w:iCs w:val="0"/>
          <w:color w:val="000000" w:themeColor="text1"/>
          <w:sz w:val="20"/>
          <w:szCs w:val="20"/>
        </w:rPr>
        <w:t>województwa i</w:t>
      </w:r>
      <w:r>
        <w:rPr>
          <w:rFonts w:ascii="Times New Roman" w:hAnsi="Times New Roman" w:cs="Times New Roman"/>
          <w:b/>
          <w:bCs/>
          <w:i w:val="0"/>
          <w:iCs w:val="0"/>
          <w:color w:val="000000" w:themeColor="text1"/>
          <w:sz w:val="20"/>
          <w:szCs w:val="20"/>
        </w:rPr>
        <w:t> </w:t>
      </w:r>
      <w:r w:rsidRPr="00394BEE">
        <w:rPr>
          <w:rFonts w:ascii="Times New Roman" w:hAnsi="Times New Roman" w:cs="Times New Roman"/>
          <w:b/>
          <w:bCs/>
          <w:i w:val="0"/>
          <w:iCs w:val="0"/>
          <w:color w:val="000000" w:themeColor="text1"/>
          <w:sz w:val="20"/>
          <w:szCs w:val="20"/>
        </w:rPr>
        <w:t>kraju w latach 201</w:t>
      </w:r>
      <w:r>
        <w:rPr>
          <w:rFonts w:ascii="Times New Roman" w:hAnsi="Times New Roman" w:cs="Times New Roman"/>
          <w:b/>
          <w:bCs/>
          <w:i w:val="0"/>
          <w:iCs w:val="0"/>
          <w:color w:val="000000" w:themeColor="text1"/>
          <w:sz w:val="20"/>
          <w:szCs w:val="20"/>
        </w:rPr>
        <w:t>6</w:t>
      </w:r>
      <w:r w:rsidRPr="00394BEE">
        <w:rPr>
          <w:rFonts w:ascii="Times New Roman" w:hAnsi="Times New Roman" w:cs="Times New Roman"/>
          <w:b/>
          <w:bCs/>
          <w:i w:val="0"/>
          <w:iCs w:val="0"/>
          <w:color w:val="000000" w:themeColor="text1"/>
          <w:sz w:val="20"/>
          <w:szCs w:val="20"/>
        </w:rPr>
        <w:t>–202</w:t>
      </w:r>
      <w:bookmarkEnd w:id="77"/>
      <w:r>
        <w:rPr>
          <w:rFonts w:ascii="Times New Roman" w:hAnsi="Times New Roman" w:cs="Times New Roman"/>
          <w:b/>
          <w:bCs/>
          <w:i w:val="0"/>
          <w:iCs w:val="0"/>
          <w:color w:val="000000" w:themeColor="text1"/>
          <w:sz w:val="20"/>
          <w:szCs w:val="20"/>
        </w:rPr>
        <w:t>1</w:t>
      </w:r>
      <w:bookmarkEnd w:id="78"/>
    </w:p>
    <w:tbl>
      <w:tblPr>
        <w:tblW w:w="5000" w:type="pct"/>
        <w:tblCellMar>
          <w:left w:w="70" w:type="dxa"/>
          <w:right w:w="70" w:type="dxa"/>
        </w:tblCellMar>
        <w:tblLook w:val="04A0" w:firstRow="1" w:lastRow="0" w:firstColumn="1" w:lastColumn="0" w:noHBand="0" w:noVBand="1"/>
      </w:tblPr>
      <w:tblGrid>
        <w:gridCol w:w="3196"/>
        <w:gridCol w:w="546"/>
        <w:gridCol w:w="546"/>
        <w:gridCol w:w="546"/>
        <w:gridCol w:w="614"/>
        <w:gridCol w:w="699"/>
        <w:gridCol w:w="565"/>
        <w:gridCol w:w="561"/>
        <w:gridCol w:w="561"/>
        <w:gridCol w:w="561"/>
        <w:gridCol w:w="550"/>
        <w:gridCol w:w="550"/>
        <w:gridCol w:w="553"/>
        <w:gridCol w:w="146"/>
      </w:tblGrid>
      <w:tr w:rsidR="00A17173" w:rsidRPr="00026419" w14:paraId="50266C86" w14:textId="77777777" w:rsidTr="00E15165">
        <w:trPr>
          <w:gridAfter w:val="1"/>
          <w:wAfter w:w="72" w:type="pct"/>
          <w:trHeight w:val="450"/>
        </w:trPr>
        <w:tc>
          <w:tcPr>
            <w:tcW w:w="1568"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632F6E"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Jednostka terytorialna</w:t>
            </w:r>
          </w:p>
        </w:tc>
        <w:tc>
          <w:tcPr>
            <w:tcW w:w="1725" w:type="pct"/>
            <w:gridSpan w:val="6"/>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01F7982"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 xml:space="preserve">Udział % dzieci objętych wychowaniem przedszkolnym </w:t>
            </w:r>
            <w:r w:rsidRPr="00026419">
              <w:rPr>
                <w:rFonts w:ascii="Times New Roman" w:eastAsia="Times New Roman" w:hAnsi="Times New Roman" w:cs="Times New Roman"/>
                <w:b/>
                <w:bCs/>
                <w:color w:val="000000"/>
                <w:sz w:val="20"/>
                <w:szCs w:val="20"/>
                <w:lang w:eastAsia="pl-PL"/>
              </w:rPr>
              <w:br/>
              <w:t>w ogólnej liczbie dzieci w wieku 3-5 lat</w:t>
            </w:r>
          </w:p>
        </w:tc>
        <w:tc>
          <w:tcPr>
            <w:tcW w:w="1636" w:type="pct"/>
            <w:gridSpan w:val="6"/>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285554F" w14:textId="45A95F2D"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 xml:space="preserve">Liczba dzieci przypadająca na </w:t>
            </w:r>
            <w:r w:rsidR="001C7EFF">
              <w:rPr>
                <w:rFonts w:ascii="Times New Roman" w:eastAsia="Times New Roman" w:hAnsi="Times New Roman" w:cs="Times New Roman"/>
                <w:b/>
                <w:bCs/>
                <w:color w:val="000000"/>
                <w:sz w:val="20"/>
                <w:szCs w:val="20"/>
                <w:lang w:eastAsia="pl-PL"/>
              </w:rPr>
              <w:br/>
            </w:r>
            <w:r w:rsidRPr="00026419">
              <w:rPr>
                <w:rFonts w:ascii="Times New Roman" w:eastAsia="Times New Roman" w:hAnsi="Times New Roman" w:cs="Times New Roman"/>
                <w:b/>
                <w:bCs/>
                <w:color w:val="000000"/>
                <w:sz w:val="20"/>
                <w:szCs w:val="20"/>
                <w:lang w:eastAsia="pl-PL"/>
              </w:rPr>
              <w:t>1 placówkę wychowania przedszkolnego</w:t>
            </w:r>
          </w:p>
        </w:tc>
      </w:tr>
      <w:tr w:rsidR="00A17173" w:rsidRPr="00026419" w14:paraId="7579F002" w14:textId="77777777" w:rsidTr="00E15165">
        <w:trPr>
          <w:trHeight w:val="288"/>
        </w:trPr>
        <w:tc>
          <w:tcPr>
            <w:tcW w:w="1568" w:type="pct"/>
            <w:vMerge/>
            <w:tcBorders>
              <w:top w:val="single" w:sz="4" w:space="0" w:color="auto"/>
              <w:left w:val="single" w:sz="4" w:space="0" w:color="auto"/>
              <w:bottom w:val="single" w:sz="4" w:space="0" w:color="auto"/>
              <w:right w:val="single" w:sz="4" w:space="0" w:color="auto"/>
            </w:tcBorders>
            <w:vAlign w:val="center"/>
            <w:hideMark/>
          </w:tcPr>
          <w:p w14:paraId="6D1E2CB1" w14:textId="77777777" w:rsidR="00A17173" w:rsidRPr="00026419"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1725" w:type="pct"/>
            <w:gridSpan w:val="6"/>
            <w:vMerge/>
            <w:tcBorders>
              <w:top w:val="single" w:sz="4" w:space="0" w:color="auto"/>
              <w:left w:val="single" w:sz="4" w:space="0" w:color="auto"/>
              <w:bottom w:val="single" w:sz="4" w:space="0" w:color="auto"/>
              <w:right w:val="single" w:sz="4" w:space="0" w:color="auto"/>
            </w:tcBorders>
            <w:vAlign w:val="center"/>
            <w:hideMark/>
          </w:tcPr>
          <w:p w14:paraId="39A5753E" w14:textId="77777777" w:rsidR="00A17173" w:rsidRPr="00026419"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1636" w:type="pct"/>
            <w:gridSpan w:val="6"/>
            <w:vMerge/>
            <w:tcBorders>
              <w:top w:val="single" w:sz="4" w:space="0" w:color="auto"/>
              <w:left w:val="single" w:sz="4" w:space="0" w:color="auto"/>
              <w:bottom w:val="single" w:sz="4" w:space="0" w:color="auto"/>
              <w:right w:val="single" w:sz="4" w:space="0" w:color="auto"/>
            </w:tcBorders>
            <w:vAlign w:val="center"/>
            <w:hideMark/>
          </w:tcPr>
          <w:p w14:paraId="1B8F9794" w14:textId="77777777" w:rsidR="00A17173" w:rsidRPr="00026419"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72" w:type="pct"/>
            <w:tcBorders>
              <w:top w:val="nil"/>
              <w:left w:val="nil"/>
              <w:bottom w:val="nil"/>
              <w:right w:val="nil"/>
            </w:tcBorders>
            <w:shd w:val="clear" w:color="auto" w:fill="auto"/>
            <w:noWrap/>
            <w:vAlign w:val="bottom"/>
            <w:hideMark/>
          </w:tcPr>
          <w:p w14:paraId="6EB6CA40"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p>
        </w:tc>
      </w:tr>
      <w:tr w:rsidR="00A17173" w:rsidRPr="00026419" w14:paraId="352264C1" w14:textId="77777777" w:rsidTr="00E15165">
        <w:trPr>
          <w:trHeight w:val="288"/>
        </w:trPr>
        <w:tc>
          <w:tcPr>
            <w:tcW w:w="1568" w:type="pct"/>
            <w:vMerge/>
            <w:tcBorders>
              <w:top w:val="single" w:sz="4" w:space="0" w:color="auto"/>
              <w:left w:val="single" w:sz="4" w:space="0" w:color="auto"/>
              <w:bottom w:val="single" w:sz="4" w:space="0" w:color="auto"/>
              <w:right w:val="single" w:sz="4" w:space="0" w:color="auto"/>
            </w:tcBorders>
            <w:vAlign w:val="center"/>
            <w:hideMark/>
          </w:tcPr>
          <w:p w14:paraId="61F9792E" w14:textId="77777777" w:rsidR="00A17173" w:rsidRPr="00026419"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268" w:type="pct"/>
            <w:tcBorders>
              <w:top w:val="nil"/>
              <w:left w:val="nil"/>
              <w:bottom w:val="single" w:sz="4" w:space="0" w:color="auto"/>
              <w:right w:val="single" w:sz="4" w:space="0" w:color="auto"/>
            </w:tcBorders>
            <w:shd w:val="clear" w:color="000000" w:fill="F2F2F2"/>
            <w:vAlign w:val="center"/>
            <w:hideMark/>
          </w:tcPr>
          <w:p w14:paraId="3AAACEAD"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2016</w:t>
            </w:r>
          </w:p>
        </w:tc>
        <w:tc>
          <w:tcPr>
            <w:tcW w:w="268" w:type="pct"/>
            <w:tcBorders>
              <w:top w:val="nil"/>
              <w:left w:val="nil"/>
              <w:bottom w:val="single" w:sz="4" w:space="0" w:color="auto"/>
              <w:right w:val="single" w:sz="4" w:space="0" w:color="auto"/>
            </w:tcBorders>
            <w:shd w:val="clear" w:color="000000" w:fill="F2F2F2"/>
            <w:vAlign w:val="center"/>
            <w:hideMark/>
          </w:tcPr>
          <w:p w14:paraId="45C78B14"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2017</w:t>
            </w:r>
          </w:p>
        </w:tc>
        <w:tc>
          <w:tcPr>
            <w:tcW w:w="268" w:type="pct"/>
            <w:tcBorders>
              <w:top w:val="nil"/>
              <w:left w:val="nil"/>
              <w:bottom w:val="single" w:sz="4" w:space="0" w:color="auto"/>
              <w:right w:val="single" w:sz="4" w:space="0" w:color="auto"/>
            </w:tcBorders>
            <w:shd w:val="clear" w:color="000000" w:fill="F2F2F2"/>
            <w:vAlign w:val="center"/>
            <w:hideMark/>
          </w:tcPr>
          <w:p w14:paraId="132F5C01"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2018</w:t>
            </w:r>
          </w:p>
        </w:tc>
        <w:tc>
          <w:tcPr>
            <w:tcW w:w="301" w:type="pct"/>
            <w:tcBorders>
              <w:top w:val="nil"/>
              <w:left w:val="nil"/>
              <w:bottom w:val="single" w:sz="4" w:space="0" w:color="auto"/>
              <w:right w:val="single" w:sz="4" w:space="0" w:color="auto"/>
            </w:tcBorders>
            <w:shd w:val="clear" w:color="000000" w:fill="F2F2F2"/>
            <w:vAlign w:val="center"/>
            <w:hideMark/>
          </w:tcPr>
          <w:p w14:paraId="1AE94EC2"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2019</w:t>
            </w:r>
          </w:p>
        </w:tc>
        <w:tc>
          <w:tcPr>
            <w:tcW w:w="343" w:type="pct"/>
            <w:tcBorders>
              <w:top w:val="nil"/>
              <w:left w:val="nil"/>
              <w:bottom w:val="single" w:sz="4" w:space="0" w:color="auto"/>
              <w:right w:val="single" w:sz="4" w:space="0" w:color="auto"/>
            </w:tcBorders>
            <w:shd w:val="clear" w:color="000000" w:fill="F2F2F2"/>
            <w:vAlign w:val="center"/>
            <w:hideMark/>
          </w:tcPr>
          <w:p w14:paraId="037F2B64"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2020</w:t>
            </w:r>
          </w:p>
        </w:tc>
        <w:tc>
          <w:tcPr>
            <w:tcW w:w="277" w:type="pct"/>
            <w:tcBorders>
              <w:top w:val="nil"/>
              <w:left w:val="nil"/>
              <w:bottom w:val="single" w:sz="4" w:space="0" w:color="auto"/>
              <w:right w:val="single" w:sz="4" w:space="0" w:color="auto"/>
            </w:tcBorders>
            <w:shd w:val="clear" w:color="000000" w:fill="F2F2F2"/>
            <w:vAlign w:val="center"/>
            <w:hideMark/>
          </w:tcPr>
          <w:p w14:paraId="40B056AC"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2021</w:t>
            </w:r>
          </w:p>
        </w:tc>
        <w:tc>
          <w:tcPr>
            <w:tcW w:w="275" w:type="pct"/>
            <w:tcBorders>
              <w:top w:val="nil"/>
              <w:left w:val="nil"/>
              <w:bottom w:val="single" w:sz="4" w:space="0" w:color="auto"/>
              <w:right w:val="single" w:sz="4" w:space="0" w:color="auto"/>
            </w:tcBorders>
            <w:shd w:val="clear" w:color="000000" w:fill="F2F2F2"/>
            <w:vAlign w:val="center"/>
            <w:hideMark/>
          </w:tcPr>
          <w:p w14:paraId="47F9D8EE"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2016</w:t>
            </w:r>
          </w:p>
        </w:tc>
        <w:tc>
          <w:tcPr>
            <w:tcW w:w="275" w:type="pct"/>
            <w:tcBorders>
              <w:top w:val="nil"/>
              <w:left w:val="nil"/>
              <w:bottom w:val="single" w:sz="4" w:space="0" w:color="auto"/>
              <w:right w:val="single" w:sz="4" w:space="0" w:color="auto"/>
            </w:tcBorders>
            <w:shd w:val="clear" w:color="000000" w:fill="F2F2F2"/>
            <w:vAlign w:val="center"/>
            <w:hideMark/>
          </w:tcPr>
          <w:p w14:paraId="5703F122"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2017</w:t>
            </w:r>
          </w:p>
        </w:tc>
        <w:tc>
          <w:tcPr>
            <w:tcW w:w="275" w:type="pct"/>
            <w:tcBorders>
              <w:top w:val="nil"/>
              <w:left w:val="nil"/>
              <w:bottom w:val="single" w:sz="4" w:space="0" w:color="auto"/>
              <w:right w:val="single" w:sz="4" w:space="0" w:color="auto"/>
            </w:tcBorders>
            <w:shd w:val="clear" w:color="000000" w:fill="F2F2F2"/>
            <w:vAlign w:val="center"/>
            <w:hideMark/>
          </w:tcPr>
          <w:p w14:paraId="4D469AEA"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2018</w:t>
            </w:r>
          </w:p>
        </w:tc>
        <w:tc>
          <w:tcPr>
            <w:tcW w:w="270" w:type="pct"/>
            <w:tcBorders>
              <w:top w:val="nil"/>
              <w:left w:val="nil"/>
              <w:bottom w:val="single" w:sz="4" w:space="0" w:color="auto"/>
              <w:right w:val="single" w:sz="4" w:space="0" w:color="auto"/>
            </w:tcBorders>
            <w:shd w:val="clear" w:color="000000" w:fill="F2F2F2"/>
            <w:vAlign w:val="center"/>
            <w:hideMark/>
          </w:tcPr>
          <w:p w14:paraId="28B1DCA0"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2019</w:t>
            </w:r>
          </w:p>
        </w:tc>
        <w:tc>
          <w:tcPr>
            <w:tcW w:w="270" w:type="pct"/>
            <w:tcBorders>
              <w:top w:val="nil"/>
              <w:left w:val="nil"/>
              <w:bottom w:val="single" w:sz="4" w:space="0" w:color="auto"/>
              <w:right w:val="single" w:sz="4" w:space="0" w:color="auto"/>
            </w:tcBorders>
            <w:shd w:val="clear" w:color="000000" w:fill="F2F2F2"/>
            <w:vAlign w:val="center"/>
            <w:hideMark/>
          </w:tcPr>
          <w:p w14:paraId="4A69A2E4"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2020</w:t>
            </w:r>
          </w:p>
        </w:tc>
        <w:tc>
          <w:tcPr>
            <w:tcW w:w="271" w:type="pct"/>
            <w:tcBorders>
              <w:top w:val="nil"/>
              <w:left w:val="nil"/>
              <w:bottom w:val="single" w:sz="4" w:space="0" w:color="auto"/>
              <w:right w:val="single" w:sz="4" w:space="0" w:color="auto"/>
            </w:tcBorders>
            <w:shd w:val="clear" w:color="000000" w:fill="F2F2F2"/>
            <w:vAlign w:val="center"/>
            <w:hideMark/>
          </w:tcPr>
          <w:p w14:paraId="519AEA94" w14:textId="77777777" w:rsidR="00A17173" w:rsidRPr="00026419"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026419">
              <w:rPr>
                <w:rFonts w:ascii="Times New Roman" w:eastAsia="Times New Roman" w:hAnsi="Times New Roman" w:cs="Times New Roman"/>
                <w:b/>
                <w:bCs/>
                <w:color w:val="000000"/>
                <w:sz w:val="20"/>
                <w:szCs w:val="20"/>
                <w:lang w:eastAsia="pl-PL"/>
              </w:rPr>
              <w:t>2021</w:t>
            </w:r>
          </w:p>
        </w:tc>
        <w:tc>
          <w:tcPr>
            <w:tcW w:w="72" w:type="pct"/>
            <w:vAlign w:val="center"/>
            <w:hideMark/>
          </w:tcPr>
          <w:p w14:paraId="3F26233B" w14:textId="77777777" w:rsidR="00A17173" w:rsidRPr="00026419" w:rsidRDefault="00A17173" w:rsidP="00E15165">
            <w:pPr>
              <w:spacing w:after="0" w:line="240" w:lineRule="auto"/>
              <w:rPr>
                <w:rFonts w:ascii="Times New Roman" w:eastAsia="Times New Roman" w:hAnsi="Times New Roman" w:cs="Times New Roman"/>
                <w:sz w:val="20"/>
                <w:szCs w:val="20"/>
                <w:lang w:eastAsia="pl-PL"/>
              </w:rPr>
            </w:pPr>
          </w:p>
        </w:tc>
      </w:tr>
      <w:tr w:rsidR="00A671CB" w:rsidRPr="00026419" w14:paraId="7D2C7D2A" w14:textId="77777777" w:rsidTr="00E15165">
        <w:trPr>
          <w:trHeight w:val="340"/>
        </w:trPr>
        <w:tc>
          <w:tcPr>
            <w:tcW w:w="1568" w:type="pct"/>
            <w:tcBorders>
              <w:top w:val="nil"/>
              <w:left w:val="single" w:sz="4" w:space="0" w:color="auto"/>
              <w:bottom w:val="single" w:sz="4" w:space="0" w:color="auto"/>
              <w:right w:val="single" w:sz="4" w:space="0" w:color="auto"/>
            </w:tcBorders>
            <w:shd w:val="clear" w:color="auto" w:fill="auto"/>
            <w:noWrap/>
            <w:vAlign w:val="center"/>
            <w:hideMark/>
          </w:tcPr>
          <w:p w14:paraId="037FFD2F" w14:textId="19CD7F2E" w:rsidR="00A671CB" w:rsidRPr="00026419" w:rsidRDefault="00A671CB" w:rsidP="00A671CB">
            <w:pPr>
              <w:spacing w:after="0" w:line="240" w:lineRule="auto"/>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Bialskopodlaska LGD</w:t>
            </w:r>
          </w:p>
        </w:tc>
        <w:tc>
          <w:tcPr>
            <w:tcW w:w="268" w:type="pct"/>
            <w:tcBorders>
              <w:top w:val="nil"/>
              <w:left w:val="nil"/>
              <w:bottom w:val="single" w:sz="4" w:space="0" w:color="auto"/>
              <w:right w:val="single" w:sz="4" w:space="0" w:color="auto"/>
            </w:tcBorders>
            <w:shd w:val="clear" w:color="auto" w:fill="auto"/>
            <w:noWrap/>
            <w:vAlign w:val="center"/>
            <w:hideMark/>
          </w:tcPr>
          <w:p w14:paraId="6020A8F9" w14:textId="1702CDE7"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64</w:t>
            </w:r>
          </w:p>
        </w:tc>
        <w:tc>
          <w:tcPr>
            <w:tcW w:w="268" w:type="pct"/>
            <w:tcBorders>
              <w:top w:val="nil"/>
              <w:left w:val="nil"/>
              <w:bottom w:val="single" w:sz="4" w:space="0" w:color="auto"/>
              <w:right w:val="single" w:sz="4" w:space="0" w:color="auto"/>
            </w:tcBorders>
            <w:shd w:val="clear" w:color="auto" w:fill="auto"/>
            <w:noWrap/>
            <w:vAlign w:val="center"/>
            <w:hideMark/>
          </w:tcPr>
          <w:p w14:paraId="5FFF3B70" w14:textId="165FDC0E"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69</w:t>
            </w:r>
          </w:p>
        </w:tc>
        <w:tc>
          <w:tcPr>
            <w:tcW w:w="268" w:type="pct"/>
            <w:tcBorders>
              <w:top w:val="nil"/>
              <w:left w:val="nil"/>
              <w:bottom w:val="single" w:sz="4" w:space="0" w:color="auto"/>
              <w:right w:val="single" w:sz="4" w:space="0" w:color="auto"/>
            </w:tcBorders>
            <w:shd w:val="clear" w:color="auto" w:fill="auto"/>
            <w:noWrap/>
            <w:vAlign w:val="center"/>
            <w:hideMark/>
          </w:tcPr>
          <w:p w14:paraId="5D980F81" w14:textId="20964EA7"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73</w:t>
            </w:r>
          </w:p>
        </w:tc>
        <w:tc>
          <w:tcPr>
            <w:tcW w:w="301" w:type="pct"/>
            <w:tcBorders>
              <w:top w:val="nil"/>
              <w:left w:val="nil"/>
              <w:bottom w:val="single" w:sz="4" w:space="0" w:color="auto"/>
              <w:right w:val="single" w:sz="4" w:space="0" w:color="auto"/>
            </w:tcBorders>
            <w:shd w:val="clear" w:color="auto" w:fill="auto"/>
            <w:noWrap/>
            <w:vAlign w:val="center"/>
            <w:hideMark/>
          </w:tcPr>
          <w:p w14:paraId="2D979D35" w14:textId="54D900A0"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74</w:t>
            </w:r>
          </w:p>
        </w:tc>
        <w:tc>
          <w:tcPr>
            <w:tcW w:w="343" w:type="pct"/>
            <w:tcBorders>
              <w:top w:val="nil"/>
              <w:left w:val="nil"/>
              <w:bottom w:val="single" w:sz="4" w:space="0" w:color="auto"/>
              <w:right w:val="single" w:sz="4" w:space="0" w:color="auto"/>
            </w:tcBorders>
            <w:shd w:val="clear" w:color="auto" w:fill="auto"/>
            <w:noWrap/>
            <w:vAlign w:val="center"/>
            <w:hideMark/>
          </w:tcPr>
          <w:p w14:paraId="2C76CFD3" w14:textId="42793A13"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72</w:t>
            </w:r>
          </w:p>
        </w:tc>
        <w:tc>
          <w:tcPr>
            <w:tcW w:w="277" w:type="pct"/>
            <w:tcBorders>
              <w:top w:val="nil"/>
              <w:left w:val="nil"/>
              <w:bottom w:val="single" w:sz="4" w:space="0" w:color="auto"/>
              <w:right w:val="single" w:sz="4" w:space="0" w:color="auto"/>
            </w:tcBorders>
            <w:shd w:val="clear" w:color="auto" w:fill="auto"/>
            <w:noWrap/>
            <w:vAlign w:val="center"/>
            <w:hideMark/>
          </w:tcPr>
          <w:p w14:paraId="650F95C3" w14:textId="3B99FB13"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77</w:t>
            </w:r>
          </w:p>
        </w:tc>
        <w:tc>
          <w:tcPr>
            <w:tcW w:w="275" w:type="pct"/>
            <w:tcBorders>
              <w:top w:val="nil"/>
              <w:left w:val="nil"/>
              <w:bottom w:val="single" w:sz="4" w:space="0" w:color="auto"/>
              <w:right w:val="single" w:sz="4" w:space="0" w:color="auto"/>
            </w:tcBorders>
            <w:shd w:val="clear" w:color="auto" w:fill="auto"/>
            <w:noWrap/>
            <w:vAlign w:val="center"/>
            <w:hideMark/>
          </w:tcPr>
          <w:p w14:paraId="21F137F4" w14:textId="036148FE"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101</w:t>
            </w:r>
          </w:p>
        </w:tc>
        <w:tc>
          <w:tcPr>
            <w:tcW w:w="275" w:type="pct"/>
            <w:tcBorders>
              <w:top w:val="nil"/>
              <w:left w:val="nil"/>
              <w:bottom w:val="single" w:sz="4" w:space="0" w:color="auto"/>
              <w:right w:val="single" w:sz="4" w:space="0" w:color="auto"/>
            </w:tcBorders>
            <w:shd w:val="clear" w:color="auto" w:fill="auto"/>
            <w:noWrap/>
            <w:vAlign w:val="center"/>
            <w:hideMark/>
          </w:tcPr>
          <w:p w14:paraId="3DFC4483" w14:textId="3771F249"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96</w:t>
            </w:r>
          </w:p>
        </w:tc>
        <w:tc>
          <w:tcPr>
            <w:tcW w:w="275" w:type="pct"/>
            <w:tcBorders>
              <w:top w:val="nil"/>
              <w:left w:val="nil"/>
              <w:bottom w:val="single" w:sz="4" w:space="0" w:color="auto"/>
              <w:right w:val="single" w:sz="4" w:space="0" w:color="auto"/>
            </w:tcBorders>
            <w:shd w:val="clear" w:color="auto" w:fill="auto"/>
            <w:noWrap/>
            <w:vAlign w:val="center"/>
            <w:hideMark/>
          </w:tcPr>
          <w:p w14:paraId="11DD2A43" w14:textId="2E46DCD7"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112</w:t>
            </w:r>
          </w:p>
        </w:tc>
        <w:tc>
          <w:tcPr>
            <w:tcW w:w="270" w:type="pct"/>
            <w:tcBorders>
              <w:top w:val="nil"/>
              <w:left w:val="nil"/>
              <w:bottom w:val="single" w:sz="4" w:space="0" w:color="auto"/>
              <w:right w:val="single" w:sz="4" w:space="0" w:color="auto"/>
            </w:tcBorders>
            <w:shd w:val="clear" w:color="auto" w:fill="auto"/>
            <w:noWrap/>
            <w:vAlign w:val="center"/>
            <w:hideMark/>
          </w:tcPr>
          <w:p w14:paraId="6CAB098E" w14:textId="736492C2"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115</w:t>
            </w:r>
          </w:p>
        </w:tc>
        <w:tc>
          <w:tcPr>
            <w:tcW w:w="270" w:type="pct"/>
            <w:tcBorders>
              <w:top w:val="nil"/>
              <w:left w:val="nil"/>
              <w:bottom w:val="single" w:sz="4" w:space="0" w:color="auto"/>
              <w:right w:val="single" w:sz="4" w:space="0" w:color="auto"/>
            </w:tcBorders>
            <w:shd w:val="clear" w:color="auto" w:fill="auto"/>
            <w:noWrap/>
            <w:vAlign w:val="center"/>
            <w:hideMark/>
          </w:tcPr>
          <w:p w14:paraId="789A75C8" w14:textId="7E6C2182"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117</w:t>
            </w:r>
          </w:p>
        </w:tc>
        <w:tc>
          <w:tcPr>
            <w:tcW w:w="271" w:type="pct"/>
            <w:tcBorders>
              <w:top w:val="nil"/>
              <w:left w:val="nil"/>
              <w:bottom w:val="single" w:sz="4" w:space="0" w:color="auto"/>
              <w:right w:val="single" w:sz="4" w:space="0" w:color="auto"/>
            </w:tcBorders>
            <w:shd w:val="clear" w:color="auto" w:fill="auto"/>
            <w:noWrap/>
            <w:vAlign w:val="center"/>
            <w:hideMark/>
          </w:tcPr>
          <w:p w14:paraId="58A57AC2" w14:textId="7DFBEAE1" w:rsidR="00A671CB" w:rsidRPr="005F2596" w:rsidRDefault="00A671CB" w:rsidP="00A671CB">
            <w:pPr>
              <w:spacing w:after="0" w:line="240" w:lineRule="auto"/>
              <w:jc w:val="center"/>
              <w:rPr>
                <w:rFonts w:ascii="Times New Roman" w:eastAsia="Times New Roman" w:hAnsi="Times New Roman" w:cs="Times New Roman"/>
                <w:b/>
                <w:bCs/>
                <w:color w:val="000000"/>
                <w:sz w:val="20"/>
                <w:szCs w:val="20"/>
                <w:lang w:eastAsia="pl-PL"/>
              </w:rPr>
            </w:pPr>
            <w:r w:rsidRPr="003F46DC">
              <w:rPr>
                <w:rFonts w:ascii="Times New Roman" w:eastAsia="Times New Roman" w:hAnsi="Times New Roman" w:cs="Times New Roman"/>
                <w:b/>
                <w:bCs/>
                <w:color w:val="000000"/>
                <w:sz w:val="20"/>
                <w:szCs w:val="20"/>
                <w:lang w:eastAsia="pl-PL"/>
              </w:rPr>
              <w:t>117</w:t>
            </w:r>
          </w:p>
        </w:tc>
        <w:tc>
          <w:tcPr>
            <w:tcW w:w="72" w:type="pct"/>
            <w:vAlign w:val="center"/>
            <w:hideMark/>
          </w:tcPr>
          <w:p w14:paraId="5F633D1D" w14:textId="77777777" w:rsidR="00A671CB" w:rsidRPr="00026419" w:rsidRDefault="00A671CB" w:rsidP="00A671CB">
            <w:pPr>
              <w:spacing w:after="0" w:line="240" w:lineRule="auto"/>
              <w:rPr>
                <w:rFonts w:ascii="Times New Roman" w:eastAsia="Times New Roman" w:hAnsi="Times New Roman" w:cs="Times New Roman"/>
                <w:sz w:val="20"/>
                <w:szCs w:val="20"/>
                <w:lang w:eastAsia="pl-PL"/>
              </w:rPr>
            </w:pPr>
          </w:p>
        </w:tc>
      </w:tr>
      <w:tr w:rsidR="00A671CB" w:rsidRPr="00026419" w14:paraId="12928EB5" w14:textId="77777777" w:rsidTr="00E15165">
        <w:trPr>
          <w:trHeight w:val="340"/>
        </w:trPr>
        <w:tc>
          <w:tcPr>
            <w:tcW w:w="1568" w:type="pct"/>
            <w:tcBorders>
              <w:top w:val="nil"/>
              <w:left w:val="single" w:sz="4" w:space="0" w:color="auto"/>
              <w:bottom w:val="single" w:sz="4" w:space="0" w:color="auto"/>
              <w:right w:val="single" w:sz="4" w:space="0" w:color="auto"/>
            </w:tcBorders>
            <w:shd w:val="clear" w:color="auto" w:fill="auto"/>
            <w:noWrap/>
            <w:vAlign w:val="center"/>
            <w:hideMark/>
          </w:tcPr>
          <w:p w14:paraId="2ECAA939" w14:textId="63CF67AD" w:rsidR="00A671CB" w:rsidRPr="00026419" w:rsidRDefault="00A671CB" w:rsidP="00A671CB">
            <w:pPr>
              <w:spacing w:after="0" w:line="240" w:lineRule="auto"/>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województwo lubelskie</w:t>
            </w:r>
          </w:p>
        </w:tc>
        <w:tc>
          <w:tcPr>
            <w:tcW w:w="268" w:type="pct"/>
            <w:tcBorders>
              <w:top w:val="nil"/>
              <w:left w:val="nil"/>
              <w:bottom w:val="single" w:sz="4" w:space="0" w:color="auto"/>
              <w:right w:val="single" w:sz="4" w:space="0" w:color="auto"/>
            </w:tcBorders>
            <w:shd w:val="clear" w:color="auto" w:fill="auto"/>
            <w:noWrap/>
            <w:vAlign w:val="center"/>
            <w:hideMark/>
          </w:tcPr>
          <w:p w14:paraId="2FCAB804" w14:textId="136971BC"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79</w:t>
            </w:r>
          </w:p>
        </w:tc>
        <w:tc>
          <w:tcPr>
            <w:tcW w:w="268" w:type="pct"/>
            <w:tcBorders>
              <w:top w:val="nil"/>
              <w:left w:val="nil"/>
              <w:bottom w:val="single" w:sz="4" w:space="0" w:color="auto"/>
              <w:right w:val="single" w:sz="4" w:space="0" w:color="auto"/>
            </w:tcBorders>
            <w:shd w:val="clear" w:color="auto" w:fill="auto"/>
            <w:noWrap/>
            <w:vAlign w:val="center"/>
            <w:hideMark/>
          </w:tcPr>
          <w:p w14:paraId="0F022FCC" w14:textId="736D6A65"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82</w:t>
            </w:r>
          </w:p>
        </w:tc>
        <w:tc>
          <w:tcPr>
            <w:tcW w:w="268" w:type="pct"/>
            <w:tcBorders>
              <w:top w:val="nil"/>
              <w:left w:val="nil"/>
              <w:bottom w:val="single" w:sz="4" w:space="0" w:color="auto"/>
              <w:right w:val="single" w:sz="4" w:space="0" w:color="auto"/>
            </w:tcBorders>
            <w:shd w:val="clear" w:color="auto" w:fill="auto"/>
            <w:noWrap/>
            <w:vAlign w:val="center"/>
            <w:hideMark/>
          </w:tcPr>
          <w:p w14:paraId="61F05D61" w14:textId="1E58E5A1"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84</w:t>
            </w:r>
          </w:p>
        </w:tc>
        <w:tc>
          <w:tcPr>
            <w:tcW w:w="301" w:type="pct"/>
            <w:tcBorders>
              <w:top w:val="nil"/>
              <w:left w:val="nil"/>
              <w:bottom w:val="single" w:sz="4" w:space="0" w:color="auto"/>
              <w:right w:val="single" w:sz="4" w:space="0" w:color="auto"/>
            </w:tcBorders>
            <w:shd w:val="clear" w:color="auto" w:fill="auto"/>
            <w:noWrap/>
            <w:vAlign w:val="center"/>
            <w:hideMark/>
          </w:tcPr>
          <w:p w14:paraId="5D3B3BE3" w14:textId="4192C8F1"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85</w:t>
            </w:r>
          </w:p>
        </w:tc>
        <w:tc>
          <w:tcPr>
            <w:tcW w:w="343" w:type="pct"/>
            <w:tcBorders>
              <w:top w:val="nil"/>
              <w:left w:val="nil"/>
              <w:bottom w:val="single" w:sz="4" w:space="0" w:color="auto"/>
              <w:right w:val="single" w:sz="4" w:space="0" w:color="auto"/>
            </w:tcBorders>
            <w:shd w:val="clear" w:color="auto" w:fill="auto"/>
            <w:noWrap/>
            <w:vAlign w:val="center"/>
            <w:hideMark/>
          </w:tcPr>
          <w:p w14:paraId="447551A6" w14:textId="529BEF51"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83</w:t>
            </w:r>
          </w:p>
        </w:tc>
        <w:tc>
          <w:tcPr>
            <w:tcW w:w="277" w:type="pct"/>
            <w:tcBorders>
              <w:top w:val="nil"/>
              <w:left w:val="nil"/>
              <w:bottom w:val="single" w:sz="4" w:space="0" w:color="auto"/>
              <w:right w:val="single" w:sz="4" w:space="0" w:color="auto"/>
            </w:tcBorders>
            <w:shd w:val="clear" w:color="auto" w:fill="auto"/>
            <w:noWrap/>
            <w:vAlign w:val="center"/>
            <w:hideMark/>
          </w:tcPr>
          <w:p w14:paraId="63CA3381" w14:textId="79018B30"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86</w:t>
            </w:r>
          </w:p>
        </w:tc>
        <w:tc>
          <w:tcPr>
            <w:tcW w:w="275" w:type="pct"/>
            <w:tcBorders>
              <w:top w:val="nil"/>
              <w:left w:val="nil"/>
              <w:bottom w:val="single" w:sz="4" w:space="0" w:color="auto"/>
              <w:right w:val="single" w:sz="4" w:space="0" w:color="auto"/>
            </w:tcBorders>
            <w:shd w:val="clear" w:color="auto" w:fill="auto"/>
            <w:noWrap/>
            <w:vAlign w:val="center"/>
            <w:hideMark/>
          </w:tcPr>
          <w:p w14:paraId="5F26D2C6" w14:textId="485D5A5E"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94</w:t>
            </w:r>
          </w:p>
        </w:tc>
        <w:tc>
          <w:tcPr>
            <w:tcW w:w="275" w:type="pct"/>
            <w:tcBorders>
              <w:top w:val="nil"/>
              <w:left w:val="nil"/>
              <w:bottom w:val="single" w:sz="4" w:space="0" w:color="auto"/>
              <w:right w:val="single" w:sz="4" w:space="0" w:color="auto"/>
            </w:tcBorders>
            <w:shd w:val="clear" w:color="auto" w:fill="auto"/>
            <w:noWrap/>
            <w:vAlign w:val="center"/>
            <w:hideMark/>
          </w:tcPr>
          <w:p w14:paraId="6F70D9E2" w14:textId="5527E49C"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91</w:t>
            </w:r>
          </w:p>
        </w:tc>
        <w:tc>
          <w:tcPr>
            <w:tcW w:w="275" w:type="pct"/>
            <w:tcBorders>
              <w:top w:val="nil"/>
              <w:left w:val="nil"/>
              <w:bottom w:val="single" w:sz="4" w:space="0" w:color="auto"/>
              <w:right w:val="single" w:sz="4" w:space="0" w:color="auto"/>
            </w:tcBorders>
            <w:shd w:val="clear" w:color="auto" w:fill="auto"/>
            <w:noWrap/>
            <w:vAlign w:val="center"/>
            <w:hideMark/>
          </w:tcPr>
          <w:p w14:paraId="576398C7" w14:textId="436BEAAF"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86</w:t>
            </w:r>
          </w:p>
        </w:tc>
        <w:tc>
          <w:tcPr>
            <w:tcW w:w="270" w:type="pct"/>
            <w:tcBorders>
              <w:top w:val="nil"/>
              <w:left w:val="nil"/>
              <w:bottom w:val="single" w:sz="4" w:space="0" w:color="auto"/>
              <w:right w:val="single" w:sz="4" w:space="0" w:color="auto"/>
            </w:tcBorders>
            <w:shd w:val="clear" w:color="auto" w:fill="auto"/>
            <w:noWrap/>
            <w:vAlign w:val="center"/>
            <w:hideMark/>
          </w:tcPr>
          <w:p w14:paraId="22E8F6DE" w14:textId="779A49CC"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85</w:t>
            </w:r>
          </w:p>
        </w:tc>
        <w:tc>
          <w:tcPr>
            <w:tcW w:w="270" w:type="pct"/>
            <w:tcBorders>
              <w:top w:val="nil"/>
              <w:left w:val="nil"/>
              <w:bottom w:val="single" w:sz="4" w:space="0" w:color="auto"/>
              <w:right w:val="single" w:sz="4" w:space="0" w:color="auto"/>
            </w:tcBorders>
            <w:shd w:val="clear" w:color="auto" w:fill="auto"/>
            <w:noWrap/>
            <w:vAlign w:val="center"/>
            <w:hideMark/>
          </w:tcPr>
          <w:p w14:paraId="5E535DB1" w14:textId="35F50897"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89</w:t>
            </w:r>
          </w:p>
        </w:tc>
        <w:tc>
          <w:tcPr>
            <w:tcW w:w="271" w:type="pct"/>
            <w:tcBorders>
              <w:top w:val="nil"/>
              <w:left w:val="nil"/>
              <w:bottom w:val="single" w:sz="4" w:space="0" w:color="auto"/>
              <w:right w:val="single" w:sz="4" w:space="0" w:color="auto"/>
            </w:tcBorders>
            <w:shd w:val="clear" w:color="auto" w:fill="auto"/>
            <w:noWrap/>
            <w:vAlign w:val="center"/>
            <w:hideMark/>
          </w:tcPr>
          <w:p w14:paraId="3F3E2E3C" w14:textId="75F0E9AA"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89</w:t>
            </w:r>
          </w:p>
        </w:tc>
        <w:tc>
          <w:tcPr>
            <w:tcW w:w="72" w:type="pct"/>
            <w:vAlign w:val="center"/>
            <w:hideMark/>
          </w:tcPr>
          <w:p w14:paraId="4F8092F5" w14:textId="77777777" w:rsidR="00A671CB" w:rsidRPr="00026419" w:rsidRDefault="00A671CB" w:rsidP="00A671CB">
            <w:pPr>
              <w:spacing w:after="0" w:line="240" w:lineRule="auto"/>
              <w:rPr>
                <w:rFonts w:ascii="Times New Roman" w:eastAsia="Times New Roman" w:hAnsi="Times New Roman" w:cs="Times New Roman"/>
                <w:sz w:val="20"/>
                <w:szCs w:val="20"/>
                <w:lang w:eastAsia="pl-PL"/>
              </w:rPr>
            </w:pPr>
          </w:p>
        </w:tc>
      </w:tr>
      <w:tr w:rsidR="00A671CB" w:rsidRPr="00026419" w14:paraId="3BF7AB6B" w14:textId="77777777" w:rsidTr="00E15165">
        <w:trPr>
          <w:trHeight w:val="340"/>
        </w:trPr>
        <w:tc>
          <w:tcPr>
            <w:tcW w:w="1568" w:type="pct"/>
            <w:tcBorders>
              <w:top w:val="nil"/>
              <w:left w:val="single" w:sz="4" w:space="0" w:color="auto"/>
              <w:bottom w:val="single" w:sz="4" w:space="0" w:color="auto"/>
              <w:right w:val="single" w:sz="4" w:space="0" w:color="auto"/>
            </w:tcBorders>
            <w:shd w:val="clear" w:color="auto" w:fill="auto"/>
            <w:noWrap/>
            <w:vAlign w:val="center"/>
            <w:hideMark/>
          </w:tcPr>
          <w:p w14:paraId="1B797718" w14:textId="77C13DFA" w:rsidR="00A671CB" w:rsidRPr="00026419" w:rsidRDefault="00A671CB" w:rsidP="00A671CB">
            <w:pPr>
              <w:spacing w:after="0" w:line="240" w:lineRule="auto"/>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Polska</w:t>
            </w:r>
          </w:p>
        </w:tc>
        <w:tc>
          <w:tcPr>
            <w:tcW w:w="268" w:type="pct"/>
            <w:tcBorders>
              <w:top w:val="nil"/>
              <w:left w:val="nil"/>
              <w:bottom w:val="single" w:sz="4" w:space="0" w:color="auto"/>
              <w:right w:val="single" w:sz="4" w:space="0" w:color="auto"/>
            </w:tcBorders>
            <w:shd w:val="clear" w:color="auto" w:fill="auto"/>
            <w:noWrap/>
            <w:vAlign w:val="center"/>
            <w:hideMark/>
          </w:tcPr>
          <w:p w14:paraId="1DDA962F" w14:textId="2E78705F"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81</w:t>
            </w:r>
          </w:p>
        </w:tc>
        <w:tc>
          <w:tcPr>
            <w:tcW w:w="268" w:type="pct"/>
            <w:tcBorders>
              <w:top w:val="nil"/>
              <w:left w:val="nil"/>
              <w:bottom w:val="single" w:sz="4" w:space="0" w:color="auto"/>
              <w:right w:val="single" w:sz="4" w:space="0" w:color="auto"/>
            </w:tcBorders>
            <w:shd w:val="clear" w:color="auto" w:fill="auto"/>
            <w:noWrap/>
            <w:vAlign w:val="center"/>
            <w:hideMark/>
          </w:tcPr>
          <w:p w14:paraId="65C040F8" w14:textId="70895B76"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85</w:t>
            </w:r>
          </w:p>
        </w:tc>
        <w:tc>
          <w:tcPr>
            <w:tcW w:w="268" w:type="pct"/>
            <w:tcBorders>
              <w:top w:val="nil"/>
              <w:left w:val="nil"/>
              <w:bottom w:val="single" w:sz="4" w:space="0" w:color="auto"/>
              <w:right w:val="single" w:sz="4" w:space="0" w:color="auto"/>
            </w:tcBorders>
            <w:shd w:val="clear" w:color="auto" w:fill="auto"/>
            <w:noWrap/>
            <w:vAlign w:val="center"/>
            <w:hideMark/>
          </w:tcPr>
          <w:p w14:paraId="1B895744" w14:textId="27D29CC7"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87</w:t>
            </w:r>
          </w:p>
        </w:tc>
        <w:tc>
          <w:tcPr>
            <w:tcW w:w="301" w:type="pct"/>
            <w:tcBorders>
              <w:top w:val="nil"/>
              <w:left w:val="nil"/>
              <w:bottom w:val="single" w:sz="4" w:space="0" w:color="auto"/>
              <w:right w:val="single" w:sz="4" w:space="0" w:color="auto"/>
            </w:tcBorders>
            <w:shd w:val="clear" w:color="auto" w:fill="auto"/>
            <w:noWrap/>
            <w:vAlign w:val="center"/>
            <w:hideMark/>
          </w:tcPr>
          <w:p w14:paraId="7EE59820" w14:textId="749482AB"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88</w:t>
            </w:r>
          </w:p>
        </w:tc>
        <w:tc>
          <w:tcPr>
            <w:tcW w:w="343" w:type="pct"/>
            <w:tcBorders>
              <w:top w:val="nil"/>
              <w:left w:val="nil"/>
              <w:bottom w:val="single" w:sz="4" w:space="0" w:color="auto"/>
              <w:right w:val="single" w:sz="4" w:space="0" w:color="auto"/>
            </w:tcBorders>
            <w:shd w:val="clear" w:color="auto" w:fill="auto"/>
            <w:noWrap/>
            <w:vAlign w:val="center"/>
            <w:hideMark/>
          </w:tcPr>
          <w:p w14:paraId="490A0E51" w14:textId="5BBAF340"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85</w:t>
            </w:r>
          </w:p>
        </w:tc>
        <w:tc>
          <w:tcPr>
            <w:tcW w:w="277" w:type="pct"/>
            <w:tcBorders>
              <w:top w:val="nil"/>
              <w:left w:val="nil"/>
              <w:bottom w:val="single" w:sz="4" w:space="0" w:color="auto"/>
              <w:right w:val="single" w:sz="4" w:space="0" w:color="auto"/>
            </w:tcBorders>
            <w:shd w:val="clear" w:color="auto" w:fill="auto"/>
            <w:noWrap/>
            <w:vAlign w:val="center"/>
            <w:hideMark/>
          </w:tcPr>
          <w:p w14:paraId="21D41BA9" w14:textId="1FB44456"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88</w:t>
            </w:r>
          </w:p>
        </w:tc>
        <w:tc>
          <w:tcPr>
            <w:tcW w:w="275" w:type="pct"/>
            <w:tcBorders>
              <w:top w:val="nil"/>
              <w:left w:val="nil"/>
              <w:bottom w:val="single" w:sz="4" w:space="0" w:color="auto"/>
              <w:right w:val="single" w:sz="4" w:space="0" w:color="auto"/>
            </w:tcBorders>
            <w:shd w:val="clear" w:color="auto" w:fill="auto"/>
            <w:noWrap/>
            <w:vAlign w:val="center"/>
            <w:hideMark/>
          </w:tcPr>
          <w:p w14:paraId="6135DAE4" w14:textId="7B23F095"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86</w:t>
            </w:r>
          </w:p>
        </w:tc>
        <w:tc>
          <w:tcPr>
            <w:tcW w:w="275" w:type="pct"/>
            <w:tcBorders>
              <w:top w:val="nil"/>
              <w:left w:val="nil"/>
              <w:bottom w:val="single" w:sz="4" w:space="0" w:color="auto"/>
              <w:right w:val="single" w:sz="4" w:space="0" w:color="auto"/>
            </w:tcBorders>
            <w:shd w:val="clear" w:color="auto" w:fill="auto"/>
            <w:noWrap/>
            <w:vAlign w:val="center"/>
            <w:hideMark/>
          </w:tcPr>
          <w:p w14:paraId="6A1B3504" w14:textId="7DEB15E5"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83</w:t>
            </w:r>
          </w:p>
        </w:tc>
        <w:tc>
          <w:tcPr>
            <w:tcW w:w="275" w:type="pct"/>
            <w:tcBorders>
              <w:top w:val="nil"/>
              <w:left w:val="nil"/>
              <w:bottom w:val="single" w:sz="4" w:space="0" w:color="auto"/>
              <w:right w:val="single" w:sz="4" w:space="0" w:color="auto"/>
            </w:tcBorders>
            <w:shd w:val="clear" w:color="auto" w:fill="auto"/>
            <w:noWrap/>
            <w:vAlign w:val="center"/>
            <w:hideMark/>
          </w:tcPr>
          <w:p w14:paraId="30CDD2A4" w14:textId="16C61145"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80</w:t>
            </w:r>
          </w:p>
        </w:tc>
        <w:tc>
          <w:tcPr>
            <w:tcW w:w="270" w:type="pct"/>
            <w:tcBorders>
              <w:top w:val="nil"/>
              <w:left w:val="nil"/>
              <w:bottom w:val="single" w:sz="4" w:space="0" w:color="auto"/>
              <w:right w:val="single" w:sz="4" w:space="0" w:color="auto"/>
            </w:tcBorders>
            <w:shd w:val="clear" w:color="auto" w:fill="auto"/>
            <w:noWrap/>
            <w:vAlign w:val="center"/>
            <w:hideMark/>
          </w:tcPr>
          <w:p w14:paraId="63169E8A" w14:textId="28A245F4"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80</w:t>
            </w:r>
          </w:p>
        </w:tc>
        <w:tc>
          <w:tcPr>
            <w:tcW w:w="270" w:type="pct"/>
            <w:tcBorders>
              <w:top w:val="nil"/>
              <w:left w:val="nil"/>
              <w:bottom w:val="single" w:sz="4" w:space="0" w:color="auto"/>
              <w:right w:val="single" w:sz="4" w:space="0" w:color="auto"/>
            </w:tcBorders>
            <w:shd w:val="clear" w:color="auto" w:fill="auto"/>
            <w:noWrap/>
            <w:vAlign w:val="center"/>
            <w:hideMark/>
          </w:tcPr>
          <w:p w14:paraId="75CD007A" w14:textId="00F151D1"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83</w:t>
            </w:r>
          </w:p>
        </w:tc>
        <w:tc>
          <w:tcPr>
            <w:tcW w:w="271" w:type="pct"/>
            <w:tcBorders>
              <w:top w:val="nil"/>
              <w:left w:val="nil"/>
              <w:bottom w:val="single" w:sz="4" w:space="0" w:color="auto"/>
              <w:right w:val="single" w:sz="4" w:space="0" w:color="auto"/>
            </w:tcBorders>
            <w:shd w:val="clear" w:color="auto" w:fill="auto"/>
            <w:noWrap/>
            <w:vAlign w:val="center"/>
            <w:hideMark/>
          </w:tcPr>
          <w:p w14:paraId="54983B2F" w14:textId="584BA905" w:rsidR="00A671CB" w:rsidRPr="005F2596" w:rsidRDefault="00A671CB" w:rsidP="00A671CB">
            <w:pPr>
              <w:spacing w:after="0" w:line="240" w:lineRule="auto"/>
              <w:jc w:val="center"/>
              <w:rPr>
                <w:rFonts w:ascii="Times New Roman" w:eastAsia="Times New Roman" w:hAnsi="Times New Roman" w:cs="Times New Roman"/>
                <w:color w:val="000000"/>
                <w:sz w:val="20"/>
                <w:szCs w:val="20"/>
                <w:lang w:eastAsia="pl-PL"/>
              </w:rPr>
            </w:pPr>
            <w:r w:rsidRPr="003F46DC">
              <w:rPr>
                <w:rFonts w:ascii="Times New Roman" w:eastAsia="Times New Roman" w:hAnsi="Times New Roman" w:cs="Times New Roman"/>
                <w:color w:val="000000"/>
                <w:sz w:val="20"/>
                <w:szCs w:val="20"/>
                <w:lang w:eastAsia="pl-PL"/>
              </w:rPr>
              <w:t>82</w:t>
            </w:r>
          </w:p>
        </w:tc>
        <w:tc>
          <w:tcPr>
            <w:tcW w:w="72" w:type="pct"/>
            <w:vAlign w:val="center"/>
            <w:hideMark/>
          </w:tcPr>
          <w:p w14:paraId="6F236572" w14:textId="77777777" w:rsidR="00A671CB" w:rsidRPr="00026419" w:rsidRDefault="00A671CB" w:rsidP="00A671CB">
            <w:pPr>
              <w:spacing w:after="0" w:line="240" w:lineRule="auto"/>
              <w:rPr>
                <w:rFonts w:ascii="Times New Roman" w:eastAsia="Times New Roman" w:hAnsi="Times New Roman" w:cs="Times New Roman"/>
                <w:sz w:val="20"/>
                <w:szCs w:val="20"/>
                <w:lang w:eastAsia="pl-PL"/>
              </w:rPr>
            </w:pPr>
          </w:p>
        </w:tc>
      </w:tr>
    </w:tbl>
    <w:p w14:paraId="2777FC04" w14:textId="77777777" w:rsidR="00A17173" w:rsidRDefault="00A17173" w:rsidP="00E860C3">
      <w:pPr>
        <w:spacing w:after="0" w:line="276" w:lineRule="auto"/>
        <w:ind w:firstLine="708"/>
        <w:jc w:val="center"/>
        <w:rPr>
          <w:rFonts w:ascii="Times New Roman" w:hAnsi="Times New Roman" w:cs="Times New Roman"/>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w:t>
      </w:r>
      <w:r w:rsidRPr="001F75C9">
        <w:rPr>
          <w:rFonts w:ascii="Times New Roman" w:hAnsi="Times New Roman" w:cs="Times New Roman"/>
          <w:i/>
          <w:iCs/>
          <w:sz w:val="20"/>
          <w:szCs w:val="20"/>
        </w:rPr>
        <w:t>pracowanie własne</w:t>
      </w:r>
      <w:r>
        <w:rPr>
          <w:rFonts w:ascii="Times New Roman" w:hAnsi="Times New Roman" w:cs="Times New Roman"/>
          <w:i/>
          <w:iCs/>
          <w:sz w:val="20"/>
          <w:szCs w:val="20"/>
        </w:rPr>
        <w:t xml:space="preserve"> na podstawie danych GUS</w:t>
      </w:r>
    </w:p>
    <w:bookmarkEnd w:id="76"/>
    <w:p w14:paraId="410BFE9E" w14:textId="757E16A5" w:rsidR="00A17173" w:rsidRDefault="00A30EA5" w:rsidP="00A17173">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Analizując dostęp do infrastruktury i usług publicznych nie sposób pominąć kwestię oferty usług związanych z kulturą, sportem i rekreacją. </w:t>
      </w:r>
      <w:r w:rsidRPr="00BD5BA4">
        <w:rPr>
          <w:rFonts w:ascii="Times New Roman" w:hAnsi="Times New Roman" w:cs="Times New Roman"/>
          <w:color w:val="000000" w:themeColor="text1"/>
        </w:rPr>
        <w:t xml:space="preserve">Mieszkańcy obszaru wchodzącego w skład Lokalnej Grupy Działania mają dostęp do </w:t>
      </w:r>
      <w:r>
        <w:rPr>
          <w:rFonts w:ascii="Times New Roman" w:hAnsi="Times New Roman" w:cs="Times New Roman"/>
          <w:color w:val="000000" w:themeColor="text1"/>
        </w:rPr>
        <w:t>40 bibliotek i filii, które znajdują się w każdej z gmin członkowskich, z czego najwięcej w Gminie Biała Podlaska – 7. W przeliczeniu na 10 tys. mieszkańców średnia ilość bibliotek i filii na terenie LGD jest wyższa (3,8) niż średnio w województwie lubelskim (2,8) i Polsce (2,0)</w:t>
      </w:r>
      <w:r>
        <w:rPr>
          <w:rStyle w:val="Odwoanieprzypisudolnego"/>
          <w:color w:val="000000" w:themeColor="text1"/>
        </w:rPr>
        <w:footnoteReference w:id="17"/>
      </w:r>
      <w:r>
        <w:rPr>
          <w:rFonts w:ascii="Times New Roman" w:hAnsi="Times New Roman" w:cs="Times New Roman"/>
          <w:color w:val="000000" w:themeColor="text1"/>
        </w:rPr>
        <w:t xml:space="preserve">. Na obszarze prawie wszystkich gmin (poza Gminą Tuczna) </w:t>
      </w:r>
      <w:r w:rsidRPr="00386CF3">
        <w:rPr>
          <w:rFonts w:ascii="Times New Roman" w:hAnsi="Times New Roman" w:cs="Times New Roman"/>
          <w:color w:val="000000" w:themeColor="text1"/>
        </w:rPr>
        <w:t>zlokalizowane są domy i</w:t>
      </w:r>
      <w:r>
        <w:rPr>
          <w:rFonts w:ascii="Times New Roman" w:hAnsi="Times New Roman" w:cs="Times New Roman"/>
          <w:color w:val="000000" w:themeColor="text1"/>
        </w:rPr>
        <w:t> </w:t>
      </w:r>
      <w:r w:rsidRPr="00386CF3">
        <w:rPr>
          <w:rFonts w:ascii="Times New Roman" w:hAnsi="Times New Roman" w:cs="Times New Roman"/>
          <w:color w:val="000000" w:themeColor="text1"/>
        </w:rPr>
        <w:t>ośrodki kultury, kluby lub świetlice wiejskie.</w:t>
      </w:r>
    </w:p>
    <w:p w14:paraId="26CB64CA" w14:textId="2C1CB6AF" w:rsidR="008C573B" w:rsidRDefault="008C573B" w:rsidP="008C573B">
      <w:pPr>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Średni udział wydatków z budżetów gmin z obszaru Bialskopodlask</w:t>
      </w:r>
      <w:r w:rsidR="001C7EFF">
        <w:rPr>
          <w:rFonts w:ascii="Times New Roman" w:hAnsi="Times New Roman" w:cs="Times New Roman"/>
          <w:color w:val="000000" w:themeColor="text1"/>
        </w:rPr>
        <w:t>iej</w:t>
      </w:r>
      <w:r>
        <w:rPr>
          <w:rFonts w:ascii="Times New Roman" w:hAnsi="Times New Roman" w:cs="Times New Roman"/>
          <w:color w:val="000000" w:themeColor="text1"/>
        </w:rPr>
        <w:t xml:space="preserve"> LGD na kulturę i ochronę dziedzictwa narodowego w wydatkach ogółem w 2021 r. wyniósł 4,2% i był znacznie wyższy od średniej krajowej, która wynosiła 2,9% oraz wyższy od średniej wojewódzkiej – 3,0%. Biorąc pod uwagę sumę tego wskaźnika w latach 2016–2021, najwyższy udział wydatków na kulturę i dziedzictwo narodowe charakteryzuje Gminę Kodeń (4,5%), najniższy poziom wskaźnika wystąpił natomiast w gminach Piszczac i Tuczna – po 2,1%. </w:t>
      </w:r>
    </w:p>
    <w:p w14:paraId="0BD96905" w14:textId="162E4E18" w:rsidR="00A671CB" w:rsidRDefault="00A671CB" w:rsidP="00511B36">
      <w:pPr>
        <w:pStyle w:val="podnagowek"/>
        <w:numPr>
          <w:ilvl w:val="0"/>
          <w:numId w:val="0"/>
        </w:numPr>
        <w:spacing w:after="0" w:line="276" w:lineRule="auto"/>
        <w:ind w:firstLine="709"/>
        <w:outlineLvl w:val="9"/>
        <w:rPr>
          <w:b w:val="0"/>
          <w:bCs w:val="0"/>
          <w:sz w:val="22"/>
          <w:szCs w:val="22"/>
        </w:rPr>
      </w:pPr>
      <w:r w:rsidRPr="00A671CB">
        <w:rPr>
          <w:b w:val="0"/>
          <w:bCs w:val="0"/>
          <w:sz w:val="22"/>
          <w:szCs w:val="22"/>
        </w:rPr>
        <w:t>Dostępność usług publicznych należy rozważyć także w kontekście ochrony zdrowia. Według danych GUS</w:t>
      </w:r>
      <w:r w:rsidR="00C320F4">
        <w:rPr>
          <w:rStyle w:val="Odwoanieprzypisudolnego"/>
          <w:b w:val="0"/>
          <w:bCs w:val="0"/>
          <w:sz w:val="22"/>
          <w:szCs w:val="22"/>
        </w:rPr>
        <w:footnoteReference w:id="18"/>
      </w:r>
      <w:r w:rsidR="00C320F4">
        <w:rPr>
          <w:b w:val="0"/>
          <w:bCs w:val="0"/>
          <w:sz w:val="22"/>
          <w:szCs w:val="22"/>
        </w:rPr>
        <w:t xml:space="preserve"> </w:t>
      </w:r>
      <w:r w:rsidRPr="00A671CB">
        <w:rPr>
          <w:b w:val="0"/>
          <w:bCs w:val="0"/>
          <w:sz w:val="22"/>
          <w:szCs w:val="22"/>
        </w:rPr>
        <w:t xml:space="preserve">jedynie w Mieście Międzyrzec Podlaski funkcjonują przychodnie podległe samorządowi. Na terenie pozostałych gmin obszaru występują placówki prywatne, które mają podpisane umowy z NFZ, dlatego też ubezpieczeni mieszkańcy gminy mogą korzystać bezpłatnie z ich usług. Na ogół przychodnie świadczą szeroki katalog usług, takich jak udzielanie porad lekarskich (w tym specjalistycznych) i stomatologicznych, wykonywanie drobnych zabiegów, usług rehabilitacyjnych. Wskaźnik </w:t>
      </w:r>
      <w:r w:rsidRPr="008546D9">
        <w:rPr>
          <w:b w:val="0"/>
          <w:bCs w:val="0"/>
          <w:i/>
          <w:iCs/>
          <w:sz w:val="22"/>
          <w:szCs w:val="22"/>
        </w:rPr>
        <w:t>porady lekarskie na 100 mieszkańców</w:t>
      </w:r>
      <w:r w:rsidRPr="00A671CB">
        <w:rPr>
          <w:b w:val="0"/>
          <w:bCs w:val="0"/>
          <w:sz w:val="22"/>
          <w:szCs w:val="22"/>
        </w:rPr>
        <w:t xml:space="preserve"> określa poziom dostępności usług medycznych. Średnio na obszarze LGD w 2021 r. wyniósł 398 porad, co stanowiło wartość zdecydowanie niższą od średniej dla województwa (512) i Polski (450). Najwyższą wartość na obszarze zanotowano dla Miasta Międzyrzec Podlaski (780), natomiast najniższy wskaźnik charakteryzował Gminę Biała Podlaska (18).</w:t>
      </w:r>
    </w:p>
    <w:p w14:paraId="000247DE" w14:textId="64992E30" w:rsidR="00E75D94" w:rsidRPr="00471DF4" w:rsidRDefault="00E75D94" w:rsidP="00E75D94">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Równie istotne są zasoby instytucjonalne dotyczące pomocy społecznej. Na obszarze LGD znajdują się cztery domy pomocy społecznej oraz Powiatowy Ośrodek Wsparcia Osób z Zaburzeniami Psychicznymi. Mieszkańcy obszaru maj</w:t>
      </w:r>
      <w:r w:rsidR="001C7EFF">
        <w:rPr>
          <w:rFonts w:ascii="Times New Roman" w:hAnsi="Times New Roman" w:cs="Times New Roman"/>
          <w:color w:val="000000" w:themeColor="text1"/>
        </w:rPr>
        <w:t>ą</w:t>
      </w:r>
      <w:r>
        <w:rPr>
          <w:rFonts w:ascii="Times New Roman" w:hAnsi="Times New Roman" w:cs="Times New Roman"/>
          <w:color w:val="000000" w:themeColor="text1"/>
        </w:rPr>
        <w:t xml:space="preserve"> również dostęp do warsztatów terapii zajęciowej w zakresie rehabilitacji zawodowej </w:t>
      </w:r>
      <w:r w:rsidR="00511B36">
        <w:rPr>
          <w:rFonts w:ascii="Times New Roman" w:hAnsi="Times New Roman" w:cs="Times New Roman"/>
          <w:color w:val="000000" w:themeColor="text1"/>
        </w:rPr>
        <w:br/>
      </w:r>
      <w:r>
        <w:rPr>
          <w:rFonts w:ascii="Times New Roman" w:hAnsi="Times New Roman" w:cs="Times New Roman"/>
          <w:color w:val="000000" w:themeColor="text1"/>
        </w:rPr>
        <w:t>i społecznej</w:t>
      </w:r>
      <w:r>
        <w:rPr>
          <w:rStyle w:val="Odwoanieprzypisudolnego"/>
          <w:rFonts w:ascii="Times New Roman" w:hAnsi="Times New Roman" w:cs="Times New Roman"/>
          <w:color w:val="000000" w:themeColor="text1"/>
        </w:rPr>
        <w:footnoteReference w:id="19"/>
      </w:r>
      <w:r w:rsidR="001C7EFF">
        <w:rPr>
          <w:rFonts w:ascii="Times New Roman" w:hAnsi="Times New Roman" w:cs="Times New Roman"/>
          <w:color w:val="000000" w:themeColor="text1"/>
        </w:rPr>
        <w:t>.</w:t>
      </w:r>
    </w:p>
    <w:p w14:paraId="3A0ADF9A" w14:textId="638DE6BD" w:rsidR="00A45CF9" w:rsidRDefault="00A45CF9" w:rsidP="00E860C3">
      <w:pPr>
        <w:pStyle w:val="podnagowek"/>
        <w:numPr>
          <w:ilvl w:val="0"/>
          <w:numId w:val="0"/>
        </w:numPr>
        <w:spacing w:after="0" w:line="276" w:lineRule="auto"/>
        <w:ind w:firstLine="709"/>
        <w:outlineLvl w:val="9"/>
        <w:rPr>
          <w:b w:val="0"/>
          <w:bCs w:val="0"/>
          <w:sz w:val="22"/>
          <w:szCs w:val="22"/>
        </w:rPr>
      </w:pPr>
      <w:r>
        <w:rPr>
          <w:b w:val="0"/>
          <w:bCs w:val="0"/>
          <w:sz w:val="22"/>
          <w:szCs w:val="22"/>
        </w:rPr>
        <w:t xml:space="preserve">Podczas spotkań z mieszkańcami został </w:t>
      </w:r>
      <w:r w:rsidR="000B0033">
        <w:rPr>
          <w:b w:val="0"/>
          <w:bCs w:val="0"/>
          <w:sz w:val="22"/>
          <w:szCs w:val="22"/>
        </w:rPr>
        <w:t xml:space="preserve">również </w:t>
      </w:r>
      <w:r>
        <w:rPr>
          <w:b w:val="0"/>
          <w:bCs w:val="0"/>
          <w:sz w:val="22"/>
          <w:szCs w:val="22"/>
        </w:rPr>
        <w:t xml:space="preserve">poruszony temat niewystarczającej oferty </w:t>
      </w:r>
      <w:r w:rsidR="001C7EFF">
        <w:rPr>
          <w:b w:val="0"/>
          <w:bCs w:val="0"/>
          <w:sz w:val="22"/>
          <w:szCs w:val="22"/>
        </w:rPr>
        <w:t xml:space="preserve">spędzania </w:t>
      </w:r>
      <w:r>
        <w:rPr>
          <w:b w:val="0"/>
          <w:bCs w:val="0"/>
          <w:sz w:val="22"/>
          <w:szCs w:val="22"/>
        </w:rPr>
        <w:t>czasu wolnego</w:t>
      </w:r>
      <w:r w:rsidR="001C7EFF">
        <w:rPr>
          <w:b w:val="0"/>
          <w:bCs w:val="0"/>
          <w:sz w:val="22"/>
          <w:szCs w:val="22"/>
        </w:rPr>
        <w:t>,</w:t>
      </w:r>
      <w:r>
        <w:rPr>
          <w:b w:val="0"/>
          <w:bCs w:val="0"/>
          <w:sz w:val="22"/>
          <w:szCs w:val="22"/>
        </w:rPr>
        <w:t xml:space="preserve"> skierowanej do dzieci oraz do dorosłych mieszkańców, w tym różnorodnych zajęć edukacyjnych, dających możliwość do rozwijania pasji i talentów. Uczestnicy spotkań zwrócili uwagę, że nie ma wystarczającej ilości miejsc, gdzie mieszkańcy mogliby wspólnie spędzać czas i się integrować oraz jest zbyt mała ilość wydarzeń kulturalnych </w:t>
      </w:r>
      <w:r>
        <w:rPr>
          <w:b w:val="0"/>
          <w:bCs w:val="0"/>
          <w:sz w:val="22"/>
          <w:szCs w:val="22"/>
        </w:rPr>
        <w:br/>
        <w:t>i sportowych. Mieszkańcy podkreślali, że chcieliby</w:t>
      </w:r>
      <w:r w:rsidR="001C7EFF">
        <w:rPr>
          <w:b w:val="0"/>
          <w:bCs w:val="0"/>
          <w:sz w:val="22"/>
          <w:szCs w:val="22"/>
        </w:rPr>
        <w:t>,</w:t>
      </w:r>
      <w:r>
        <w:rPr>
          <w:b w:val="0"/>
          <w:bCs w:val="0"/>
          <w:sz w:val="22"/>
          <w:szCs w:val="22"/>
        </w:rPr>
        <w:t xml:space="preserve"> aby w kolejnych latach część środków przeznaczyć na uporządkowanie przestrzeni, a szczególnie zwiększyć ilość miejsc z ogólnodostępną infrastrukturą publiczną oraz poprawić dostęp do już istniejącej</w:t>
      </w:r>
      <w:r w:rsidR="004D67A3">
        <w:rPr>
          <w:b w:val="0"/>
          <w:bCs w:val="0"/>
          <w:sz w:val="22"/>
          <w:szCs w:val="22"/>
        </w:rPr>
        <w:t xml:space="preserve">. </w:t>
      </w:r>
    </w:p>
    <w:p w14:paraId="4BFDFE3D" w14:textId="77777777" w:rsidR="00A17173" w:rsidRDefault="00A17173" w:rsidP="00A62189">
      <w:pPr>
        <w:pStyle w:val="podnagowek"/>
        <w:numPr>
          <w:ilvl w:val="1"/>
          <w:numId w:val="16"/>
        </w:numPr>
        <w:spacing w:after="80" w:line="276" w:lineRule="auto"/>
        <w:outlineLvl w:val="9"/>
        <w:rPr>
          <w:sz w:val="22"/>
          <w:szCs w:val="22"/>
        </w:rPr>
      </w:pPr>
      <w:r>
        <w:rPr>
          <w:sz w:val="22"/>
          <w:szCs w:val="22"/>
        </w:rPr>
        <w:t>Charakterystyka edukacji</w:t>
      </w:r>
    </w:p>
    <w:p w14:paraId="0A7F211A" w14:textId="77777777" w:rsidR="00935659" w:rsidRDefault="00A17173" w:rsidP="00935659">
      <w:pPr>
        <w:pStyle w:val="Akapitzlist"/>
        <w:spacing w:line="276" w:lineRule="auto"/>
        <w:ind w:left="0" w:firstLine="709"/>
        <w:jc w:val="both"/>
        <w:rPr>
          <w:rFonts w:ascii="Times New Roman" w:hAnsi="Times New Roman" w:cs="Times New Roman"/>
          <w:szCs w:val="20"/>
        </w:rPr>
      </w:pPr>
      <w:r w:rsidRPr="009C3848">
        <w:rPr>
          <w:rFonts w:ascii="Times New Roman" w:hAnsi="Times New Roman" w:cs="Times New Roman"/>
          <w:szCs w:val="20"/>
        </w:rPr>
        <w:t xml:space="preserve">Na obszarze </w:t>
      </w:r>
      <w:r w:rsidR="00D577E5">
        <w:rPr>
          <w:rFonts w:ascii="Times New Roman" w:hAnsi="Times New Roman" w:cs="Times New Roman"/>
          <w:szCs w:val="20"/>
        </w:rPr>
        <w:t xml:space="preserve">Bialskopodlaskiej </w:t>
      </w:r>
      <w:r w:rsidRPr="009C3848">
        <w:rPr>
          <w:rFonts w:ascii="Times New Roman" w:hAnsi="Times New Roman" w:cs="Times New Roman"/>
          <w:szCs w:val="20"/>
        </w:rPr>
        <w:t xml:space="preserve">LGD </w:t>
      </w:r>
      <w:r w:rsidR="00935659">
        <w:rPr>
          <w:rFonts w:ascii="Times New Roman" w:hAnsi="Times New Roman" w:cs="Times New Roman"/>
          <w:szCs w:val="20"/>
        </w:rPr>
        <w:t>zlokalizowanych jest łącznie 58</w:t>
      </w:r>
      <w:r w:rsidRPr="009C3848">
        <w:rPr>
          <w:rFonts w:ascii="Times New Roman" w:hAnsi="Times New Roman" w:cs="Times New Roman"/>
          <w:szCs w:val="20"/>
        </w:rPr>
        <w:t xml:space="preserve"> placów</w:t>
      </w:r>
      <w:r w:rsidR="00935659">
        <w:rPr>
          <w:rFonts w:ascii="Times New Roman" w:hAnsi="Times New Roman" w:cs="Times New Roman"/>
          <w:szCs w:val="20"/>
        </w:rPr>
        <w:t xml:space="preserve">ek </w:t>
      </w:r>
      <w:r w:rsidRPr="009C3848">
        <w:rPr>
          <w:rFonts w:ascii="Times New Roman" w:hAnsi="Times New Roman" w:cs="Times New Roman"/>
          <w:szCs w:val="20"/>
        </w:rPr>
        <w:t>oświatow</w:t>
      </w:r>
      <w:r w:rsidR="00935659">
        <w:rPr>
          <w:rFonts w:ascii="Times New Roman" w:hAnsi="Times New Roman" w:cs="Times New Roman"/>
          <w:szCs w:val="20"/>
        </w:rPr>
        <w:t>ych. Szkoły znajdują się na terenie wszystkich gmin obszaru, najwięcej, bo aż 10 znajduje się w Gminie Biała Podlaska</w:t>
      </w:r>
      <w:r w:rsidRPr="003602C0">
        <w:rPr>
          <w:rStyle w:val="Odwoanieprzypisudolnego"/>
          <w:rFonts w:ascii="Times New Roman" w:hAnsi="Times New Roman" w:cs="Times New Roman"/>
          <w:szCs w:val="20"/>
        </w:rPr>
        <w:footnoteReference w:id="20"/>
      </w:r>
      <w:r w:rsidR="00935659">
        <w:rPr>
          <w:rFonts w:ascii="Times New Roman" w:hAnsi="Times New Roman" w:cs="Times New Roman"/>
          <w:szCs w:val="20"/>
        </w:rPr>
        <w:t>.</w:t>
      </w:r>
    </w:p>
    <w:p w14:paraId="55F8088F" w14:textId="205289F4" w:rsidR="00E860C3" w:rsidRDefault="00A17173" w:rsidP="008546D9">
      <w:pPr>
        <w:pStyle w:val="Akapitzlist"/>
        <w:spacing w:after="0" w:line="276" w:lineRule="auto"/>
        <w:ind w:left="0" w:firstLine="709"/>
        <w:jc w:val="both"/>
        <w:rPr>
          <w:rFonts w:ascii="Times New Roman" w:hAnsi="Times New Roman" w:cs="Times New Roman"/>
          <w:color w:val="000000" w:themeColor="text1"/>
        </w:rPr>
      </w:pPr>
      <w:r w:rsidRPr="009C3848">
        <w:rPr>
          <w:rFonts w:ascii="Times New Roman" w:hAnsi="Times New Roman" w:cs="Times New Roman"/>
          <w:szCs w:val="20"/>
        </w:rPr>
        <w:t>W tabeli 1</w:t>
      </w:r>
      <w:r w:rsidR="008844D2">
        <w:rPr>
          <w:rFonts w:ascii="Times New Roman" w:hAnsi="Times New Roman" w:cs="Times New Roman"/>
          <w:szCs w:val="20"/>
        </w:rPr>
        <w:t>3</w:t>
      </w:r>
      <w:r w:rsidRPr="009C3848">
        <w:rPr>
          <w:rFonts w:ascii="Times New Roman" w:hAnsi="Times New Roman" w:cs="Times New Roman"/>
          <w:szCs w:val="20"/>
        </w:rPr>
        <w:t xml:space="preserve"> przedstawiony został </w:t>
      </w:r>
      <w:r w:rsidRPr="009C3848">
        <w:rPr>
          <w:rFonts w:ascii="Times New Roman" w:hAnsi="Times New Roman" w:cs="Times New Roman"/>
          <w:i/>
          <w:iCs/>
          <w:szCs w:val="20"/>
        </w:rPr>
        <w:t>współczynnik skolaryzacji brutto</w:t>
      </w:r>
      <w:r w:rsidRPr="009C3848">
        <w:rPr>
          <w:rFonts w:ascii="Times New Roman" w:hAnsi="Times New Roman" w:cs="Times New Roman"/>
          <w:szCs w:val="20"/>
        </w:rPr>
        <w:t xml:space="preserve"> oraz </w:t>
      </w:r>
      <w:r w:rsidRPr="009C3848">
        <w:rPr>
          <w:rFonts w:ascii="Times New Roman" w:hAnsi="Times New Roman" w:cs="Times New Roman"/>
          <w:i/>
          <w:iCs/>
          <w:szCs w:val="20"/>
        </w:rPr>
        <w:t xml:space="preserve">liczba uczniów w przeliczeniu na 1 000 mieszkańców. </w:t>
      </w:r>
      <w:r w:rsidRPr="009C3848">
        <w:rPr>
          <w:rFonts w:ascii="Times New Roman" w:hAnsi="Times New Roman" w:cs="Times New Roman"/>
          <w:szCs w:val="20"/>
        </w:rPr>
        <w:t>Współczynnik skolaryzacji jest miarą powszechności nauczania, tj. służy do oceny aktywności edukacyjnej ludności.</w:t>
      </w:r>
      <w:r w:rsidR="001C7EFF">
        <w:rPr>
          <w:rFonts w:ascii="Times New Roman" w:hAnsi="Times New Roman" w:cs="Times New Roman"/>
          <w:color w:val="000000" w:themeColor="text1"/>
        </w:rPr>
        <w:t xml:space="preserve"> </w:t>
      </w:r>
      <w:r w:rsidR="008844D2" w:rsidRPr="00445F88">
        <w:rPr>
          <w:rFonts w:ascii="Times New Roman" w:hAnsi="Times New Roman" w:cs="Times New Roman"/>
          <w:color w:val="000000" w:themeColor="text1"/>
        </w:rPr>
        <w:t>Ze względu na to, że w Polsce nauka w szkołach podstawowych jest obowiązkowa</w:t>
      </w:r>
      <w:r w:rsidR="008844D2">
        <w:rPr>
          <w:rFonts w:ascii="Times New Roman" w:hAnsi="Times New Roman" w:cs="Times New Roman"/>
          <w:color w:val="000000" w:themeColor="text1"/>
        </w:rPr>
        <w:t>,</w:t>
      </w:r>
      <w:r w:rsidR="008844D2" w:rsidRPr="00445F88">
        <w:rPr>
          <w:rFonts w:ascii="Times New Roman" w:hAnsi="Times New Roman" w:cs="Times New Roman"/>
          <w:color w:val="000000" w:themeColor="text1"/>
        </w:rPr>
        <w:t xml:space="preserve"> </w:t>
      </w:r>
      <w:r w:rsidR="008844D2">
        <w:rPr>
          <w:rFonts w:ascii="Times New Roman" w:hAnsi="Times New Roman" w:cs="Times New Roman"/>
          <w:color w:val="000000" w:themeColor="text1"/>
        </w:rPr>
        <w:t>współczynnik</w:t>
      </w:r>
      <w:r w:rsidR="008844D2" w:rsidRPr="00445F88">
        <w:rPr>
          <w:rFonts w:ascii="Times New Roman" w:hAnsi="Times New Roman" w:cs="Times New Roman"/>
          <w:color w:val="000000" w:themeColor="text1"/>
        </w:rPr>
        <w:t xml:space="preserve"> </w:t>
      </w:r>
      <w:r w:rsidR="008844D2">
        <w:rPr>
          <w:rFonts w:ascii="Times New Roman" w:hAnsi="Times New Roman" w:cs="Times New Roman"/>
          <w:color w:val="000000" w:themeColor="text1"/>
        </w:rPr>
        <w:t xml:space="preserve">skolaryzacji </w:t>
      </w:r>
      <w:r w:rsidR="008844D2" w:rsidRPr="00445F88">
        <w:rPr>
          <w:rFonts w:ascii="Times New Roman" w:hAnsi="Times New Roman" w:cs="Times New Roman"/>
          <w:color w:val="000000" w:themeColor="text1"/>
        </w:rPr>
        <w:t>osiąga dość wysokie wartości, ponieważ wszystkie dzieci w wieku szkolnym powinny być objęte nauką. Wartość wskaźnika poniżej 100% nie oznacza, że dzieci nie uczęszczają do szkół w ogóle, ale może wynikać z faktu, że kształcą się w szkołach zlokalizowanych na obszarze innych jednostek terytorialnych lub też kształcą się za granicą.</w:t>
      </w:r>
      <w:r w:rsidR="008844D2">
        <w:rPr>
          <w:rFonts w:ascii="Times New Roman" w:hAnsi="Times New Roman" w:cs="Times New Roman"/>
          <w:color w:val="000000" w:themeColor="text1"/>
        </w:rPr>
        <w:t xml:space="preserve"> W drugą stronę – współczynnik powyżej 100% oznacza, że do szkół na terenie gminy uczęszczają osoby zameldowane poza nią (najczęściej z gmin sąsiednich) i jest to charakterystyczne dla miast, ale może też oznaczać, </w:t>
      </w:r>
      <w:r w:rsidR="008844D2" w:rsidRPr="00A671A3">
        <w:rPr>
          <w:rFonts w:ascii="Times New Roman" w:hAnsi="Times New Roman" w:cs="Times New Roman"/>
          <w:color w:val="000000" w:themeColor="text1"/>
        </w:rPr>
        <w:t>że w tych szkołach uczą się osoby, które przekroczyły wiek nominalnie przypisany temu poziomowi edukacji.</w:t>
      </w:r>
      <w:r w:rsidR="008844D2">
        <w:rPr>
          <w:rFonts w:ascii="Times New Roman" w:hAnsi="Times New Roman" w:cs="Times New Roman"/>
          <w:color w:val="000000" w:themeColor="text1"/>
        </w:rPr>
        <w:t xml:space="preserve"> Im niższy współczynnik skolaryzacji, tym mniej dzieci, które w danej gminie powinny realizować obowiązek szkolny. Można założyć, że jeśli dzieci z danej gminy nie uczęszczają w niej do szkoły, to istnieje duże prawdopodobieństwo, że w ogóle fizycznie ich tam nie ma, a co za tym idzie – nie ma też rodziców (wyjazd za granicę, praca i nauka w większych ośrodkach miejskich). </w:t>
      </w:r>
      <w:r w:rsidR="00E860C3">
        <w:rPr>
          <w:rFonts w:ascii="Times New Roman" w:hAnsi="Times New Roman" w:cs="Times New Roman"/>
          <w:color w:val="000000" w:themeColor="text1"/>
        </w:rPr>
        <w:br w:type="page"/>
      </w:r>
    </w:p>
    <w:p w14:paraId="3E9D109E" w14:textId="56574F29" w:rsidR="00A17173" w:rsidRPr="00FA7B3C" w:rsidRDefault="00A17173" w:rsidP="00A17173">
      <w:pPr>
        <w:pStyle w:val="Legenda"/>
        <w:spacing w:after="0"/>
        <w:jc w:val="center"/>
        <w:rPr>
          <w:rFonts w:ascii="Times New Roman" w:hAnsi="Times New Roman" w:cs="Times New Roman"/>
          <w:color w:val="000000" w:themeColor="text1"/>
        </w:rPr>
      </w:pPr>
      <w:bookmarkStart w:id="80" w:name="_Toc135896555"/>
      <w:r w:rsidRPr="009C3848">
        <w:rPr>
          <w:rFonts w:ascii="Times New Roman" w:hAnsi="Times New Roman" w:cs="Times New Roman"/>
          <w:b/>
          <w:bCs/>
          <w:i w:val="0"/>
          <w:iCs w:val="0"/>
          <w:color w:val="000000" w:themeColor="text1"/>
          <w:sz w:val="20"/>
          <w:szCs w:val="20"/>
        </w:rPr>
        <w:lastRenderedPageBreak/>
        <w:t xml:space="preserve">Tabela </w:t>
      </w:r>
      <w:r w:rsidRPr="009C3848">
        <w:rPr>
          <w:rFonts w:ascii="Times New Roman" w:hAnsi="Times New Roman" w:cs="Times New Roman"/>
          <w:b/>
          <w:bCs/>
          <w:i w:val="0"/>
          <w:iCs w:val="0"/>
          <w:color w:val="000000" w:themeColor="text1"/>
          <w:sz w:val="20"/>
          <w:szCs w:val="20"/>
        </w:rPr>
        <w:fldChar w:fldCharType="begin"/>
      </w:r>
      <w:r w:rsidRPr="009C3848">
        <w:rPr>
          <w:rFonts w:ascii="Times New Roman" w:hAnsi="Times New Roman" w:cs="Times New Roman"/>
          <w:b/>
          <w:bCs/>
          <w:i w:val="0"/>
          <w:iCs w:val="0"/>
          <w:color w:val="000000" w:themeColor="text1"/>
          <w:sz w:val="20"/>
          <w:szCs w:val="20"/>
        </w:rPr>
        <w:instrText xml:space="preserve"> SEQ Tabela \* ARABIC </w:instrText>
      </w:r>
      <w:r w:rsidRPr="009C3848">
        <w:rPr>
          <w:rFonts w:ascii="Times New Roman" w:hAnsi="Times New Roman" w:cs="Times New Roman"/>
          <w:b/>
          <w:bCs/>
          <w:i w:val="0"/>
          <w:iCs w:val="0"/>
          <w:color w:val="000000" w:themeColor="text1"/>
          <w:sz w:val="20"/>
          <w:szCs w:val="20"/>
        </w:rPr>
        <w:fldChar w:fldCharType="separate"/>
      </w:r>
      <w:r w:rsidR="008844D2">
        <w:rPr>
          <w:rFonts w:ascii="Times New Roman" w:hAnsi="Times New Roman" w:cs="Times New Roman"/>
          <w:b/>
          <w:bCs/>
          <w:i w:val="0"/>
          <w:iCs w:val="0"/>
          <w:noProof/>
          <w:color w:val="000000" w:themeColor="text1"/>
          <w:sz w:val="20"/>
          <w:szCs w:val="20"/>
        </w:rPr>
        <w:t>13</w:t>
      </w:r>
      <w:r w:rsidRPr="009C3848">
        <w:rPr>
          <w:rFonts w:ascii="Times New Roman" w:hAnsi="Times New Roman" w:cs="Times New Roman"/>
          <w:b/>
          <w:bCs/>
          <w:i w:val="0"/>
          <w:iCs w:val="0"/>
          <w:color w:val="000000" w:themeColor="text1"/>
          <w:sz w:val="20"/>
          <w:szCs w:val="20"/>
        </w:rPr>
        <w:fldChar w:fldCharType="end"/>
      </w:r>
      <w:r w:rsidRPr="009C3848">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Ws</w:t>
      </w:r>
      <w:r w:rsidRPr="00530E48">
        <w:rPr>
          <w:rFonts w:ascii="Times New Roman" w:hAnsi="Times New Roman" w:cs="Times New Roman"/>
          <w:b/>
          <w:bCs/>
          <w:i w:val="0"/>
          <w:iCs w:val="0"/>
          <w:color w:val="000000" w:themeColor="text1"/>
          <w:sz w:val="20"/>
          <w:szCs w:val="20"/>
        </w:rPr>
        <w:t xml:space="preserve">półczynnik skolaryzacji </w:t>
      </w:r>
      <w:r>
        <w:rPr>
          <w:rFonts w:ascii="Times New Roman" w:hAnsi="Times New Roman" w:cs="Times New Roman"/>
          <w:b/>
          <w:bCs/>
          <w:i w:val="0"/>
          <w:iCs w:val="0"/>
          <w:color w:val="000000" w:themeColor="text1"/>
          <w:sz w:val="20"/>
          <w:szCs w:val="20"/>
        </w:rPr>
        <w:t>brutto</w:t>
      </w:r>
      <w:r w:rsidRPr="00530E48">
        <w:rPr>
          <w:rFonts w:ascii="Times New Roman" w:hAnsi="Times New Roman" w:cs="Times New Roman"/>
          <w:b/>
          <w:bCs/>
          <w:i w:val="0"/>
          <w:iCs w:val="0"/>
          <w:color w:val="000000" w:themeColor="text1"/>
          <w:sz w:val="20"/>
          <w:szCs w:val="20"/>
        </w:rPr>
        <w:t xml:space="preserve"> oraz liczba uczniów w przeliczeniu na 1 000 mieszkańców</w:t>
      </w:r>
      <w:r w:rsidRPr="005B5A78">
        <w:rPr>
          <w:rFonts w:ascii="Times New Roman" w:hAnsi="Times New Roman" w:cs="Times New Roman"/>
          <w:b/>
          <w:bCs/>
          <w:i w:val="0"/>
          <w:iCs w:val="0"/>
          <w:color w:val="000000" w:themeColor="text1"/>
          <w:sz w:val="20"/>
          <w:szCs w:val="20"/>
        </w:rPr>
        <w:t xml:space="preserve"> </w:t>
      </w:r>
      <w:r w:rsidR="001C7EFF">
        <w:rPr>
          <w:rFonts w:ascii="Times New Roman" w:hAnsi="Times New Roman" w:cs="Times New Roman"/>
          <w:b/>
          <w:bCs/>
          <w:i w:val="0"/>
          <w:iCs w:val="0"/>
          <w:color w:val="000000" w:themeColor="text1"/>
          <w:sz w:val="20"/>
          <w:szCs w:val="20"/>
        </w:rPr>
        <w:t xml:space="preserve">– </w:t>
      </w:r>
      <w:r w:rsidRPr="00394BEE">
        <w:rPr>
          <w:rFonts w:ascii="Times New Roman" w:hAnsi="Times New Roman" w:cs="Times New Roman"/>
          <w:b/>
          <w:bCs/>
          <w:i w:val="0"/>
          <w:iCs w:val="0"/>
          <w:color w:val="000000" w:themeColor="text1"/>
          <w:sz w:val="20"/>
          <w:szCs w:val="20"/>
        </w:rPr>
        <w:t xml:space="preserve">porównanie średniej </w:t>
      </w:r>
      <w:r>
        <w:rPr>
          <w:rFonts w:ascii="Times New Roman" w:hAnsi="Times New Roman" w:cs="Times New Roman"/>
          <w:b/>
          <w:bCs/>
          <w:i w:val="0"/>
          <w:iCs w:val="0"/>
          <w:color w:val="000000" w:themeColor="text1"/>
          <w:sz w:val="20"/>
          <w:szCs w:val="20"/>
        </w:rPr>
        <w:t xml:space="preserve">obszaru </w:t>
      </w:r>
      <w:r w:rsidRPr="00394BEE">
        <w:rPr>
          <w:rFonts w:ascii="Times New Roman" w:hAnsi="Times New Roman" w:cs="Times New Roman"/>
          <w:b/>
          <w:bCs/>
          <w:i w:val="0"/>
          <w:iCs w:val="0"/>
          <w:color w:val="000000" w:themeColor="text1"/>
          <w:sz w:val="20"/>
          <w:szCs w:val="20"/>
        </w:rPr>
        <w:t>LGD do</w:t>
      </w:r>
      <w:r>
        <w:rPr>
          <w:rFonts w:ascii="Times New Roman" w:hAnsi="Times New Roman" w:cs="Times New Roman"/>
          <w:b/>
          <w:bCs/>
          <w:i w:val="0"/>
          <w:iCs w:val="0"/>
          <w:color w:val="000000" w:themeColor="text1"/>
          <w:sz w:val="20"/>
          <w:szCs w:val="20"/>
        </w:rPr>
        <w:t> </w:t>
      </w:r>
      <w:r w:rsidRPr="00394BEE">
        <w:rPr>
          <w:rFonts w:ascii="Times New Roman" w:hAnsi="Times New Roman" w:cs="Times New Roman"/>
          <w:b/>
          <w:bCs/>
          <w:i w:val="0"/>
          <w:iCs w:val="0"/>
          <w:color w:val="000000" w:themeColor="text1"/>
          <w:sz w:val="20"/>
          <w:szCs w:val="20"/>
        </w:rPr>
        <w:t>województwa i</w:t>
      </w:r>
      <w:r>
        <w:rPr>
          <w:rFonts w:ascii="Times New Roman" w:hAnsi="Times New Roman" w:cs="Times New Roman"/>
          <w:b/>
          <w:bCs/>
          <w:i w:val="0"/>
          <w:iCs w:val="0"/>
          <w:color w:val="000000" w:themeColor="text1"/>
          <w:sz w:val="20"/>
          <w:szCs w:val="20"/>
        </w:rPr>
        <w:t> </w:t>
      </w:r>
      <w:r w:rsidRPr="00394BEE">
        <w:rPr>
          <w:rFonts w:ascii="Times New Roman" w:hAnsi="Times New Roman" w:cs="Times New Roman"/>
          <w:b/>
          <w:bCs/>
          <w:i w:val="0"/>
          <w:iCs w:val="0"/>
          <w:color w:val="000000" w:themeColor="text1"/>
          <w:sz w:val="20"/>
          <w:szCs w:val="20"/>
        </w:rPr>
        <w:t>kraju w latach 201</w:t>
      </w:r>
      <w:r>
        <w:rPr>
          <w:rFonts w:ascii="Times New Roman" w:hAnsi="Times New Roman" w:cs="Times New Roman"/>
          <w:b/>
          <w:bCs/>
          <w:i w:val="0"/>
          <w:iCs w:val="0"/>
          <w:color w:val="000000" w:themeColor="text1"/>
          <w:sz w:val="20"/>
          <w:szCs w:val="20"/>
        </w:rPr>
        <w:t>6</w:t>
      </w:r>
      <w:r w:rsidRPr="00394BEE">
        <w:rPr>
          <w:rFonts w:ascii="Times New Roman" w:hAnsi="Times New Roman" w:cs="Times New Roman"/>
          <w:b/>
          <w:bCs/>
          <w:i w:val="0"/>
          <w:iCs w:val="0"/>
          <w:color w:val="000000" w:themeColor="text1"/>
          <w:sz w:val="20"/>
          <w:szCs w:val="20"/>
        </w:rPr>
        <w:t>–202</w:t>
      </w:r>
      <w:r>
        <w:rPr>
          <w:rFonts w:ascii="Times New Roman" w:hAnsi="Times New Roman" w:cs="Times New Roman"/>
          <w:b/>
          <w:bCs/>
          <w:i w:val="0"/>
          <w:iCs w:val="0"/>
          <w:color w:val="000000" w:themeColor="text1"/>
          <w:sz w:val="20"/>
          <w:szCs w:val="20"/>
        </w:rPr>
        <w:t>0</w:t>
      </w:r>
      <w:bookmarkEnd w:id="80"/>
    </w:p>
    <w:tbl>
      <w:tblPr>
        <w:tblW w:w="5017" w:type="pct"/>
        <w:tblLayout w:type="fixed"/>
        <w:tblCellMar>
          <w:left w:w="70" w:type="dxa"/>
          <w:right w:w="70" w:type="dxa"/>
        </w:tblCellMar>
        <w:tblLook w:val="04A0" w:firstRow="1" w:lastRow="0" w:firstColumn="1" w:lastColumn="0" w:noHBand="0" w:noVBand="1"/>
      </w:tblPr>
      <w:tblGrid>
        <w:gridCol w:w="2687"/>
        <w:gridCol w:w="650"/>
        <w:gridCol w:w="696"/>
        <w:gridCol w:w="810"/>
        <w:gridCol w:w="808"/>
        <w:gridCol w:w="810"/>
        <w:gridCol w:w="675"/>
        <w:gridCol w:w="673"/>
        <w:gridCol w:w="808"/>
        <w:gridCol w:w="810"/>
        <w:gridCol w:w="802"/>
      </w:tblGrid>
      <w:tr w:rsidR="00A17173" w:rsidRPr="00FA7B3C" w14:paraId="40820AED" w14:textId="77777777" w:rsidTr="005B4DB2">
        <w:trPr>
          <w:trHeight w:val="335"/>
        </w:trPr>
        <w:tc>
          <w:tcPr>
            <w:tcW w:w="131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A935E48"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Jednostka terytorialna</w:t>
            </w:r>
          </w:p>
        </w:tc>
        <w:tc>
          <w:tcPr>
            <w:tcW w:w="1844" w:type="pct"/>
            <w:gridSpan w:val="5"/>
            <w:tcBorders>
              <w:top w:val="single" w:sz="4" w:space="0" w:color="auto"/>
              <w:left w:val="nil"/>
              <w:bottom w:val="single" w:sz="4" w:space="0" w:color="auto"/>
              <w:right w:val="single" w:sz="4" w:space="0" w:color="auto"/>
            </w:tcBorders>
            <w:shd w:val="clear" w:color="000000" w:fill="F2F2F2"/>
            <w:noWrap/>
            <w:vAlign w:val="center"/>
            <w:hideMark/>
          </w:tcPr>
          <w:p w14:paraId="7294C4AC"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Współczynnik skolaryzacji brutto</w:t>
            </w:r>
          </w:p>
        </w:tc>
        <w:tc>
          <w:tcPr>
            <w:tcW w:w="1842" w:type="pct"/>
            <w:gridSpan w:val="5"/>
            <w:tcBorders>
              <w:top w:val="single" w:sz="4" w:space="0" w:color="auto"/>
              <w:left w:val="nil"/>
              <w:bottom w:val="single" w:sz="4" w:space="0" w:color="auto"/>
              <w:right w:val="single" w:sz="4" w:space="0" w:color="auto"/>
            </w:tcBorders>
            <w:shd w:val="clear" w:color="000000" w:fill="F2F2F2"/>
            <w:noWrap/>
            <w:vAlign w:val="center"/>
            <w:hideMark/>
          </w:tcPr>
          <w:p w14:paraId="5049F67D"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Liczba uczniów w przeliczeniu na 1 000 mieszkańców</w:t>
            </w:r>
          </w:p>
        </w:tc>
      </w:tr>
      <w:tr w:rsidR="00A17173" w:rsidRPr="00FA7B3C" w14:paraId="45CBD116" w14:textId="77777777" w:rsidTr="005B4DB2">
        <w:trPr>
          <w:trHeight w:val="335"/>
        </w:trPr>
        <w:tc>
          <w:tcPr>
            <w:tcW w:w="1313" w:type="pct"/>
            <w:vMerge/>
            <w:tcBorders>
              <w:top w:val="single" w:sz="4" w:space="0" w:color="auto"/>
              <w:left w:val="single" w:sz="4" w:space="0" w:color="auto"/>
              <w:bottom w:val="single" w:sz="4" w:space="0" w:color="auto"/>
              <w:right w:val="single" w:sz="4" w:space="0" w:color="auto"/>
            </w:tcBorders>
            <w:vAlign w:val="center"/>
            <w:hideMark/>
          </w:tcPr>
          <w:p w14:paraId="57EA070E" w14:textId="77777777" w:rsidR="00A17173" w:rsidRPr="00FA7B3C" w:rsidRDefault="00A17173" w:rsidP="00E15165">
            <w:pPr>
              <w:spacing w:after="0" w:line="240" w:lineRule="auto"/>
              <w:rPr>
                <w:rFonts w:ascii="Times New Roman" w:eastAsia="Times New Roman" w:hAnsi="Times New Roman" w:cs="Times New Roman"/>
                <w:b/>
                <w:bCs/>
                <w:color w:val="000000"/>
                <w:sz w:val="20"/>
                <w:szCs w:val="20"/>
                <w:lang w:eastAsia="pl-PL"/>
              </w:rPr>
            </w:pPr>
          </w:p>
        </w:tc>
        <w:tc>
          <w:tcPr>
            <w:tcW w:w="317" w:type="pct"/>
            <w:tcBorders>
              <w:top w:val="nil"/>
              <w:left w:val="nil"/>
              <w:bottom w:val="single" w:sz="4" w:space="0" w:color="auto"/>
              <w:right w:val="single" w:sz="4" w:space="0" w:color="auto"/>
            </w:tcBorders>
            <w:shd w:val="clear" w:color="000000" w:fill="F2F2F2"/>
            <w:noWrap/>
            <w:vAlign w:val="center"/>
            <w:hideMark/>
          </w:tcPr>
          <w:p w14:paraId="481D7F93"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2016</w:t>
            </w:r>
          </w:p>
        </w:tc>
        <w:tc>
          <w:tcPr>
            <w:tcW w:w="340" w:type="pct"/>
            <w:tcBorders>
              <w:top w:val="nil"/>
              <w:left w:val="nil"/>
              <w:bottom w:val="single" w:sz="4" w:space="0" w:color="auto"/>
              <w:right w:val="single" w:sz="4" w:space="0" w:color="auto"/>
            </w:tcBorders>
            <w:shd w:val="clear" w:color="000000" w:fill="F2F2F2"/>
            <w:noWrap/>
            <w:vAlign w:val="center"/>
            <w:hideMark/>
          </w:tcPr>
          <w:p w14:paraId="2EB3FBED"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2017</w:t>
            </w:r>
          </w:p>
        </w:tc>
        <w:tc>
          <w:tcPr>
            <w:tcW w:w="396" w:type="pct"/>
            <w:tcBorders>
              <w:top w:val="nil"/>
              <w:left w:val="nil"/>
              <w:bottom w:val="single" w:sz="4" w:space="0" w:color="auto"/>
              <w:right w:val="single" w:sz="4" w:space="0" w:color="auto"/>
            </w:tcBorders>
            <w:shd w:val="clear" w:color="000000" w:fill="F2F2F2"/>
            <w:noWrap/>
            <w:vAlign w:val="center"/>
            <w:hideMark/>
          </w:tcPr>
          <w:p w14:paraId="49D47E8D"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2018</w:t>
            </w:r>
          </w:p>
        </w:tc>
        <w:tc>
          <w:tcPr>
            <w:tcW w:w="395" w:type="pct"/>
            <w:tcBorders>
              <w:top w:val="nil"/>
              <w:left w:val="nil"/>
              <w:bottom w:val="single" w:sz="4" w:space="0" w:color="auto"/>
              <w:right w:val="single" w:sz="4" w:space="0" w:color="auto"/>
            </w:tcBorders>
            <w:shd w:val="clear" w:color="000000" w:fill="F2F2F2"/>
            <w:noWrap/>
            <w:vAlign w:val="center"/>
            <w:hideMark/>
          </w:tcPr>
          <w:p w14:paraId="7807BDB0"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2019</w:t>
            </w:r>
          </w:p>
        </w:tc>
        <w:tc>
          <w:tcPr>
            <w:tcW w:w="396" w:type="pct"/>
            <w:tcBorders>
              <w:top w:val="nil"/>
              <w:left w:val="nil"/>
              <w:bottom w:val="single" w:sz="4" w:space="0" w:color="auto"/>
              <w:right w:val="single" w:sz="4" w:space="0" w:color="auto"/>
            </w:tcBorders>
            <w:shd w:val="clear" w:color="000000" w:fill="F2F2F2"/>
            <w:noWrap/>
            <w:vAlign w:val="center"/>
            <w:hideMark/>
          </w:tcPr>
          <w:p w14:paraId="5C04FA4D"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2020</w:t>
            </w:r>
          </w:p>
        </w:tc>
        <w:tc>
          <w:tcPr>
            <w:tcW w:w="330" w:type="pct"/>
            <w:tcBorders>
              <w:top w:val="nil"/>
              <w:left w:val="nil"/>
              <w:bottom w:val="single" w:sz="4" w:space="0" w:color="auto"/>
              <w:right w:val="single" w:sz="4" w:space="0" w:color="auto"/>
            </w:tcBorders>
            <w:shd w:val="clear" w:color="000000" w:fill="F2F2F2"/>
            <w:noWrap/>
            <w:vAlign w:val="center"/>
            <w:hideMark/>
          </w:tcPr>
          <w:p w14:paraId="4603556E"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2016</w:t>
            </w:r>
          </w:p>
        </w:tc>
        <w:tc>
          <w:tcPr>
            <w:tcW w:w="329" w:type="pct"/>
            <w:tcBorders>
              <w:top w:val="nil"/>
              <w:left w:val="nil"/>
              <w:bottom w:val="single" w:sz="4" w:space="0" w:color="auto"/>
              <w:right w:val="single" w:sz="4" w:space="0" w:color="auto"/>
            </w:tcBorders>
            <w:shd w:val="clear" w:color="000000" w:fill="F2F2F2"/>
            <w:noWrap/>
            <w:vAlign w:val="center"/>
            <w:hideMark/>
          </w:tcPr>
          <w:p w14:paraId="08F147AA"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2017</w:t>
            </w:r>
          </w:p>
        </w:tc>
        <w:tc>
          <w:tcPr>
            <w:tcW w:w="395" w:type="pct"/>
            <w:tcBorders>
              <w:top w:val="nil"/>
              <w:left w:val="nil"/>
              <w:bottom w:val="single" w:sz="4" w:space="0" w:color="auto"/>
              <w:right w:val="single" w:sz="4" w:space="0" w:color="auto"/>
            </w:tcBorders>
            <w:shd w:val="clear" w:color="000000" w:fill="F2F2F2"/>
            <w:noWrap/>
            <w:vAlign w:val="center"/>
            <w:hideMark/>
          </w:tcPr>
          <w:p w14:paraId="2B56EB0C"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2018</w:t>
            </w:r>
          </w:p>
        </w:tc>
        <w:tc>
          <w:tcPr>
            <w:tcW w:w="396" w:type="pct"/>
            <w:tcBorders>
              <w:top w:val="nil"/>
              <w:left w:val="nil"/>
              <w:bottom w:val="single" w:sz="4" w:space="0" w:color="auto"/>
              <w:right w:val="single" w:sz="4" w:space="0" w:color="auto"/>
            </w:tcBorders>
            <w:shd w:val="clear" w:color="000000" w:fill="F2F2F2"/>
            <w:noWrap/>
            <w:vAlign w:val="center"/>
            <w:hideMark/>
          </w:tcPr>
          <w:p w14:paraId="4083FE3B"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2019</w:t>
            </w:r>
          </w:p>
        </w:tc>
        <w:tc>
          <w:tcPr>
            <w:tcW w:w="392" w:type="pct"/>
            <w:tcBorders>
              <w:top w:val="nil"/>
              <w:left w:val="nil"/>
              <w:bottom w:val="single" w:sz="4" w:space="0" w:color="auto"/>
              <w:right w:val="single" w:sz="4" w:space="0" w:color="auto"/>
            </w:tcBorders>
            <w:shd w:val="clear" w:color="000000" w:fill="F2F2F2"/>
            <w:noWrap/>
            <w:vAlign w:val="center"/>
            <w:hideMark/>
          </w:tcPr>
          <w:p w14:paraId="22BCF33B" w14:textId="77777777" w:rsidR="00A17173" w:rsidRPr="00FA7B3C" w:rsidRDefault="00A17173" w:rsidP="00E15165">
            <w:pPr>
              <w:spacing w:after="0" w:line="240" w:lineRule="auto"/>
              <w:jc w:val="center"/>
              <w:rPr>
                <w:rFonts w:ascii="Times New Roman" w:eastAsia="Times New Roman" w:hAnsi="Times New Roman" w:cs="Times New Roman"/>
                <w:b/>
                <w:bCs/>
                <w:color w:val="000000"/>
                <w:sz w:val="20"/>
                <w:szCs w:val="20"/>
                <w:lang w:eastAsia="pl-PL"/>
              </w:rPr>
            </w:pPr>
            <w:r w:rsidRPr="00FA7B3C">
              <w:rPr>
                <w:rFonts w:ascii="Times New Roman" w:eastAsia="Times New Roman" w:hAnsi="Times New Roman" w:cs="Times New Roman"/>
                <w:b/>
                <w:bCs/>
                <w:color w:val="000000"/>
                <w:sz w:val="20"/>
                <w:szCs w:val="20"/>
                <w:lang w:eastAsia="pl-PL"/>
              </w:rPr>
              <w:t>2020</w:t>
            </w:r>
          </w:p>
        </w:tc>
      </w:tr>
      <w:tr w:rsidR="005B4DB2" w:rsidRPr="00FA7B3C" w14:paraId="116226EA" w14:textId="77777777" w:rsidTr="005B4DB2">
        <w:trPr>
          <w:trHeight w:val="335"/>
        </w:trPr>
        <w:tc>
          <w:tcPr>
            <w:tcW w:w="1313" w:type="pct"/>
            <w:tcBorders>
              <w:top w:val="nil"/>
              <w:left w:val="single" w:sz="4" w:space="0" w:color="auto"/>
              <w:bottom w:val="single" w:sz="4" w:space="0" w:color="auto"/>
              <w:right w:val="single" w:sz="4" w:space="0" w:color="auto"/>
            </w:tcBorders>
            <w:shd w:val="clear" w:color="auto" w:fill="auto"/>
            <w:noWrap/>
            <w:vAlign w:val="center"/>
            <w:hideMark/>
          </w:tcPr>
          <w:p w14:paraId="37210ABD" w14:textId="5572523F" w:rsidR="005B4DB2" w:rsidRPr="00FA7B3C" w:rsidRDefault="005B4DB2" w:rsidP="005B4DB2">
            <w:pPr>
              <w:spacing w:after="0" w:line="240" w:lineRule="auto"/>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Bialskopodlaska LGD</w:t>
            </w:r>
          </w:p>
        </w:tc>
        <w:tc>
          <w:tcPr>
            <w:tcW w:w="317" w:type="pct"/>
            <w:tcBorders>
              <w:top w:val="nil"/>
              <w:left w:val="nil"/>
              <w:bottom w:val="single" w:sz="4" w:space="0" w:color="auto"/>
              <w:right w:val="single" w:sz="4" w:space="0" w:color="auto"/>
            </w:tcBorders>
            <w:shd w:val="clear" w:color="auto" w:fill="auto"/>
            <w:noWrap/>
            <w:vAlign w:val="center"/>
            <w:hideMark/>
          </w:tcPr>
          <w:p w14:paraId="09A5D506" w14:textId="702A6B78" w:rsidR="005B4DB2" w:rsidRPr="00FA7B3C" w:rsidRDefault="005B4DB2" w:rsidP="005B4DB2">
            <w:pPr>
              <w:spacing w:after="0" w:line="240" w:lineRule="auto"/>
              <w:jc w:val="center"/>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91,2</w:t>
            </w:r>
          </w:p>
        </w:tc>
        <w:tc>
          <w:tcPr>
            <w:tcW w:w="340" w:type="pct"/>
            <w:tcBorders>
              <w:top w:val="nil"/>
              <w:left w:val="nil"/>
              <w:bottom w:val="single" w:sz="4" w:space="0" w:color="auto"/>
              <w:right w:val="single" w:sz="4" w:space="0" w:color="auto"/>
            </w:tcBorders>
            <w:shd w:val="clear" w:color="auto" w:fill="auto"/>
            <w:noWrap/>
            <w:vAlign w:val="center"/>
            <w:hideMark/>
          </w:tcPr>
          <w:p w14:paraId="39E9EAEC" w14:textId="41E824BA" w:rsidR="005B4DB2" w:rsidRPr="00FA7B3C" w:rsidRDefault="005B4DB2" w:rsidP="005B4DB2">
            <w:pPr>
              <w:spacing w:after="0" w:line="240" w:lineRule="auto"/>
              <w:jc w:val="center"/>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90,4</w:t>
            </w:r>
          </w:p>
        </w:tc>
        <w:tc>
          <w:tcPr>
            <w:tcW w:w="396" w:type="pct"/>
            <w:tcBorders>
              <w:top w:val="nil"/>
              <w:left w:val="nil"/>
              <w:bottom w:val="single" w:sz="4" w:space="0" w:color="auto"/>
              <w:right w:val="single" w:sz="4" w:space="0" w:color="auto"/>
            </w:tcBorders>
            <w:shd w:val="clear" w:color="auto" w:fill="auto"/>
            <w:noWrap/>
            <w:vAlign w:val="center"/>
            <w:hideMark/>
          </w:tcPr>
          <w:p w14:paraId="5DE62BDC" w14:textId="021C27FC" w:rsidR="005B4DB2" w:rsidRPr="00FA7B3C" w:rsidRDefault="005B4DB2" w:rsidP="005B4DB2">
            <w:pPr>
              <w:spacing w:after="0" w:line="240" w:lineRule="auto"/>
              <w:jc w:val="center"/>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89,2</w:t>
            </w:r>
          </w:p>
        </w:tc>
        <w:tc>
          <w:tcPr>
            <w:tcW w:w="395" w:type="pct"/>
            <w:tcBorders>
              <w:top w:val="nil"/>
              <w:left w:val="nil"/>
              <w:bottom w:val="single" w:sz="4" w:space="0" w:color="auto"/>
              <w:right w:val="single" w:sz="4" w:space="0" w:color="auto"/>
            </w:tcBorders>
            <w:shd w:val="clear" w:color="auto" w:fill="auto"/>
            <w:noWrap/>
            <w:vAlign w:val="center"/>
            <w:hideMark/>
          </w:tcPr>
          <w:p w14:paraId="622D85BD" w14:textId="03B08BD4" w:rsidR="005B4DB2" w:rsidRPr="00FA7B3C" w:rsidRDefault="005B4DB2" w:rsidP="005B4DB2">
            <w:pPr>
              <w:spacing w:after="0" w:line="240" w:lineRule="auto"/>
              <w:jc w:val="center"/>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88,9</w:t>
            </w:r>
          </w:p>
        </w:tc>
        <w:tc>
          <w:tcPr>
            <w:tcW w:w="396" w:type="pct"/>
            <w:tcBorders>
              <w:top w:val="nil"/>
              <w:left w:val="nil"/>
              <w:bottom w:val="single" w:sz="4" w:space="0" w:color="auto"/>
              <w:right w:val="single" w:sz="4" w:space="0" w:color="auto"/>
            </w:tcBorders>
            <w:shd w:val="clear" w:color="auto" w:fill="auto"/>
            <w:noWrap/>
            <w:vAlign w:val="center"/>
            <w:hideMark/>
          </w:tcPr>
          <w:p w14:paraId="0770964E" w14:textId="0576A4DD" w:rsidR="005B4DB2" w:rsidRPr="00FA7B3C" w:rsidRDefault="005B4DB2" w:rsidP="005B4DB2">
            <w:pPr>
              <w:spacing w:after="0" w:line="240" w:lineRule="auto"/>
              <w:jc w:val="center"/>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88,5</w:t>
            </w:r>
          </w:p>
        </w:tc>
        <w:tc>
          <w:tcPr>
            <w:tcW w:w="330" w:type="pct"/>
            <w:tcBorders>
              <w:top w:val="nil"/>
              <w:left w:val="nil"/>
              <w:bottom w:val="single" w:sz="4" w:space="0" w:color="auto"/>
              <w:right w:val="single" w:sz="4" w:space="0" w:color="auto"/>
            </w:tcBorders>
            <w:shd w:val="clear" w:color="auto" w:fill="auto"/>
            <w:noWrap/>
            <w:vAlign w:val="center"/>
            <w:hideMark/>
          </w:tcPr>
          <w:p w14:paraId="0542DE5E" w14:textId="077C9F95" w:rsidR="005B4DB2" w:rsidRPr="00FA7B3C" w:rsidRDefault="005B4DB2" w:rsidP="005B4DB2">
            <w:pPr>
              <w:spacing w:after="0" w:line="240" w:lineRule="auto"/>
              <w:jc w:val="center"/>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59</w:t>
            </w:r>
          </w:p>
        </w:tc>
        <w:tc>
          <w:tcPr>
            <w:tcW w:w="329" w:type="pct"/>
            <w:tcBorders>
              <w:top w:val="nil"/>
              <w:left w:val="nil"/>
              <w:bottom w:val="single" w:sz="4" w:space="0" w:color="auto"/>
              <w:right w:val="single" w:sz="4" w:space="0" w:color="auto"/>
            </w:tcBorders>
            <w:shd w:val="clear" w:color="auto" w:fill="auto"/>
            <w:noWrap/>
            <w:vAlign w:val="center"/>
            <w:hideMark/>
          </w:tcPr>
          <w:p w14:paraId="7159802E" w14:textId="2BE73C35" w:rsidR="005B4DB2" w:rsidRPr="00FA7B3C" w:rsidRDefault="005B4DB2" w:rsidP="005B4DB2">
            <w:pPr>
              <w:spacing w:after="0" w:line="240" w:lineRule="auto"/>
              <w:jc w:val="center"/>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68</w:t>
            </w:r>
          </w:p>
        </w:tc>
        <w:tc>
          <w:tcPr>
            <w:tcW w:w="395" w:type="pct"/>
            <w:tcBorders>
              <w:top w:val="nil"/>
              <w:left w:val="nil"/>
              <w:bottom w:val="single" w:sz="4" w:space="0" w:color="auto"/>
              <w:right w:val="single" w:sz="4" w:space="0" w:color="auto"/>
            </w:tcBorders>
            <w:shd w:val="clear" w:color="auto" w:fill="auto"/>
            <w:noWrap/>
            <w:vAlign w:val="center"/>
            <w:hideMark/>
          </w:tcPr>
          <w:p w14:paraId="11976238" w14:textId="7A7AD252" w:rsidR="005B4DB2" w:rsidRPr="00FA7B3C" w:rsidRDefault="005B4DB2" w:rsidP="005B4DB2">
            <w:pPr>
              <w:spacing w:after="0" w:line="240" w:lineRule="auto"/>
              <w:jc w:val="center"/>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77</w:t>
            </w:r>
          </w:p>
        </w:tc>
        <w:tc>
          <w:tcPr>
            <w:tcW w:w="396" w:type="pct"/>
            <w:tcBorders>
              <w:top w:val="nil"/>
              <w:left w:val="nil"/>
              <w:bottom w:val="single" w:sz="4" w:space="0" w:color="auto"/>
              <w:right w:val="single" w:sz="4" w:space="0" w:color="auto"/>
            </w:tcBorders>
            <w:shd w:val="clear" w:color="auto" w:fill="auto"/>
            <w:noWrap/>
            <w:vAlign w:val="center"/>
            <w:hideMark/>
          </w:tcPr>
          <w:p w14:paraId="779FBB68" w14:textId="38249ADE" w:rsidR="005B4DB2" w:rsidRPr="00FA7B3C" w:rsidRDefault="005B4DB2" w:rsidP="005B4DB2">
            <w:pPr>
              <w:spacing w:after="0" w:line="240" w:lineRule="auto"/>
              <w:jc w:val="center"/>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77</w:t>
            </w:r>
          </w:p>
        </w:tc>
        <w:tc>
          <w:tcPr>
            <w:tcW w:w="392" w:type="pct"/>
            <w:tcBorders>
              <w:top w:val="nil"/>
              <w:left w:val="nil"/>
              <w:bottom w:val="single" w:sz="4" w:space="0" w:color="auto"/>
              <w:right w:val="single" w:sz="4" w:space="0" w:color="auto"/>
            </w:tcBorders>
            <w:shd w:val="clear" w:color="auto" w:fill="auto"/>
            <w:noWrap/>
            <w:vAlign w:val="center"/>
            <w:hideMark/>
          </w:tcPr>
          <w:p w14:paraId="45E58668" w14:textId="53BABD78" w:rsidR="005B4DB2" w:rsidRPr="00FA7B3C" w:rsidRDefault="005B4DB2" w:rsidP="005B4DB2">
            <w:pPr>
              <w:spacing w:after="0" w:line="240" w:lineRule="auto"/>
              <w:jc w:val="center"/>
              <w:rPr>
                <w:rFonts w:ascii="Times New Roman" w:eastAsia="Times New Roman" w:hAnsi="Times New Roman" w:cs="Times New Roman"/>
                <w:b/>
                <w:bCs/>
                <w:color w:val="000000"/>
                <w:sz w:val="20"/>
                <w:szCs w:val="20"/>
                <w:lang w:eastAsia="pl-PL"/>
              </w:rPr>
            </w:pPr>
            <w:r w:rsidRPr="007A443D">
              <w:rPr>
                <w:rFonts w:ascii="Times New Roman" w:eastAsia="Times New Roman" w:hAnsi="Times New Roman" w:cs="Times New Roman"/>
                <w:b/>
                <w:bCs/>
                <w:color w:val="000000"/>
                <w:sz w:val="20"/>
                <w:szCs w:val="20"/>
                <w:lang w:eastAsia="pl-PL"/>
              </w:rPr>
              <w:t>79</w:t>
            </w:r>
          </w:p>
        </w:tc>
      </w:tr>
      <w:tr w:rsidR="005B4DB2" w:rsidRPr="00FA7B3C" w14:paraId="23D4415A" w14:textId="77777777" w:rsidTr="005B4DB2">
        <w:trPr>
          <w:trHeight w:val="335"/>
        </w:trPr>
        <w:tc>
          <w:tcPr>
            <w:tcW w:w="1313" w:type="pct"/>
            <w:tcBorders>
              <w:top w:val="nil"/>
              <w:left w:val="single" w:sz="4" w:space="0" w:color="auto"/>
              <w:bottom w:val="single" w:sz="4" w:space="0" w:color="auto"/>
              <w:right w:val="single" w:sz="4" w:space="0" w:color="auto"/>
            </w:tcBorders>
            <w:shd w:val="clear" w:color="auto" w:fill="auto"/>
            <w:noWrap/>
            <w:vAlign w:val="center"/>
            <w:hideMark/>
          </w:tcPr>
          <w:p w14:paraId="7D7B9E65" w14:textId="28E2254E" w:rsidR="005B4DB2" w:rsidRPr="00FA7B3C" w:rsidRDefault="005B4DB2" w:rsidP="005B4DB2">
            <w:pPr>
              <w:spacing w:after="0" w:line="240" w:lineRule="auto"/>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województwo lubelskie</w:t>
            </w:r>
          </w:p>
        </w:tc>
        <w:tc>
          <w:tcPr>
            <w:tcW w:w="317" w:type="pct"/>
            <w:tcBorders>
              <w:top w:val="nil"/>
              <w:left w:val="nil"/>
              <w:bottom w:val="single" w:sz="4" w:space="0" w:color="auto"/>
              <w:right w:val="single" w:sz="4" w:space="0" w:color="auto"/>
            </w:tcBorders>
            <w:shd w:val="clear" w:color="auto" w:fill="auto"/>
            <w:noWrap/>
            <w:vAlign w:val="center"/>
            <w:hideMark/>
          </w:tcPr>
          <w:p w14:paraId="0A787C29" w14:textId="40348C36"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96,1</w:t>
            </w:r>
          </w:p>
        </w:tc>
        <w:tc>
          <w:tcPr>
            <w:tcW w:w="340" w:type="pct"/>
            <w:tcBorders>
              <w:top w:val="nil"/>
              <w:left w:val="nil"/>
              <w:bottom w:val="single" w:sz="4" w:space="0" w:color="auto"/>
              <w:right w:val="single" w:sz="4" w:space="0" w:color="auto"/>
            </w:tcBorders>
            <w:shd w:val="clear" w:color="auto" w:fill="auto"/>
            <w:noWrap/>
            <w:vAlign w:val="center"/>
            <w:hideMark/>
          </w:tcPr>
          <w:p w14:paraId="4B3FE0EC" w14:textId="35CD56CC"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95,1</w:t>
            </w:r>
          </w:p>
        </w:tc>
        <w:tc>
          <w:tcPr>
            <w:tcW w:w="396" w:type="pct"/>
            <w:tcBorders>
              <w:top w:val="nil"/>
              <w:left w:val="nil"/>
              <w:bottom w:val="single" w:sz="4" w:space="0" w:color="auto"/>
              <w:right w:val="single" w:sz="4" w:space="0" w:color="auto"/>
            </w:tcBorders>
            <w:shd w:val="clear" w:color="auto" w:fill="auto"/>
            <w:noWrap/>
            <w:vAlign w:val="center"/>
            <w:hideMark/>
          </w:tcPr>
          <w:p w14:paraId="6CA4A821" w14:textId="6C89E135"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95,6</w:t>
            </w:r>
          </w:p>
        </w:tc>
        <w:tc>
          <w:tcPr>
            <w:tcW w:w="395" w:type="pct"/>
            <w:tcBorders>
              <w:top w:val="nil"/>
              <w:left w:val="nil"/>
              <w:bottom w:val="single" w:sz="4" w:space="0" w:color="auto"/>
              <w:right w:val="single" w:sz="4" w:space="0" w:color="auto"/>
            </w:tcBorders>
            <w:shd w:val="clear" w:color="auto" w:fill="auto"/>
            <w:noWrap/>
            <w:vAlign w:val="center"/>
            <w:hideMark/>
          </w:tcPr>
          <w:p w14:paraId="03D2F77F" w14:textId="6B49C503"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95,4</w:t>
            </w:r>
          </w:p>
        </w:tc>
        <w:tc>
          <w:tcPr>
            <w:tcW w:w="396" w:type="pct"/>
            <w:tcBorders>
              <w:top w:val="nil"/>
              <w:left w:val="nil"/>
              <w:bottom w:val="single" w:sz="4" w:space="0" w:color="auto"/>
              <w:right w:val="single" w:sz="4" w:space="0" w:color="auto"/>
            </w:tcBorders>
            <w:shd w:val="clear" w:color="auto" w:fill="auto"/>
            <w:noWrap/>
            <w:vAlign w:val="center"/>
            <w:hideMark/>
          </w:tcPr>
          <w:p w14:paraId="4F6D8034" w14:textId="1C66AE97"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96,6</w:t>
            </w:r>
          </w:p>
        </w:tc>
        <w:tc>
          <w:tcPr>
            <w:tcW w:w="330" w:type="pct"/>
            <w:tcBorders>
              <w:top w:val="nil"/>
              <w:left w:val="nil"/>
              <w:bottom w:val="single" w:sz="4" w:space="0" w:color="auto"/>
              <w:right w:val="single" w:sz="4" w:space="0" w:color="auto"/>
            </w:tcBorders>
            <w:shd w:val="clear" w:color="auto" w:fill="auto"/>
            <w:noWrap/>
            <w:vAlign w:val="center"/>
            <w:hideMark/>
          </w:tcPr>
          <w:p w14:paraId="36DC2627" w14:textId="22E04C07"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58</w:t>
            </w:r>
          </w:p>
        </w:tc>
        <w:tc>
          <w:tcPr>
            <w:tcW w:w="329" w:type="pct"/>
            <w:tcBorders>
              <w:top w:val="nil"/>
              <w:left w:val="nil"/>
              <w:bottom w:val="single" w:sz="4" w:space="0" w:color="auto"/>
              <w:right w:val="single" w:sz="4" w:space="0" w:color="auto"/>
            </w:tcBorders>
            <w:shd w:val="clear" w:color="auto" w:fill="auto"/>
            <w:noWrap/>
            <w:vAlign w:val="center"/>
            <w:hideMark/>
          </w:tcPr>
          <w:p w14:paraId="36B08926" w14:textId="29144E5C"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67</w:t>
            </w:r>
          </w:p>
        </w:tc>
        <w:tc>
          <w:tcPr>
            <w:tcW w:w="395" w:type="pct"/>
            <w:tcBorders>
              <w:top w:val="nil"/>
              <w:left w:val="nil"/>
              <w:bottom w:val="single" w:sz="4" w:space="0" w:color="auto"/>
              <w:right w:val="single" w:sz="4" w:space="0" w:color="auto"/>
            </w:tcBorders>
            <w:shd w:val="clear" w:color="auto" w:fill="auto"/>
            <w:noWrap/>
            <w:vAlign w:val="center"/>
            <w:hideMark/>
          </w:tcPr>
          <w:p w14:paraId="2D8A4E9F" w14:textId="5527976C"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77</w:t>
            </w:r>
          </w:p>
        </w:tc>
        <w:tc>
          <w:tcPr>
            <w:tcW w:w="396" w:type="pct"/>
            <w:tcBorders>
              <w:top w:val="nil"/>
              <w:left w:val="nil"/>
              <w:bottom w:val="single" w:sz="4" w:space="0" w:color="auto"/>
              <w:right w:val="single" w:sz="4" w:space="0" w:color="auto"/>
            </w:tcBorders>
            <w:shd w:val="clear" w:color="auto" w:fill="auto"/>
            <w:noWrap/>
            <w:vAlign w:val="center"/>
            <w:hideMark/>
          </w:tcPr>
          <w:p w14:paraId="2DF6FF1B" w14:textId="02E465B1"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77</w:t>
            </w:r>
          </w:p>
        </w:tc>
        <w:tc>
          <w:tcPr>
            <w:tcW w:w="392" w:type="pct"/>
            <w:tcBorders>
              <w:top w:val="nil"/>
              <w:left w:val="nil"/>
              <w:bottom w:val="single" w:sz="4" w:space="0" w:color="auto"/>
              <w:right w:val="single" w:sz="4" w:space="0" w:color="auto"/>
            </w:tcBorders>
            <w:shd w:val="clear" w:color="auto" w:fill="auto"/>
            <w:noWrap/>
            <w:vAlign w:val="center"/>
            <w:hideMark/>
          </w:tcPr>
          <w:p w14:paraId="77A58460" w14:textId="092F2CB2"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78</w:t>
            </w:r>
          </w:p>
        </w:tc>
      </w:tr>
      <w:tr w:rsidR="005B4DB2" w:rsidRPr="00FA7B3C" w14:paraId="3E19065C" w14:textId="77777777" w:rsidTr="005B4DB2">
        <w:trPr>
          <w:trHeight w:val="335"/>
        </w:trPr>
        <w:tc>
          <w:tcPr>
            <w:tcW w:w="1313" w:type="pct"/>
            <w:tcBorders>
              <w:top w:val="nil"/>
              <w:left w:val="single" w:sz="4" w:space="0" w:color="auto"/>
              <w:bottom w:val="single" w:sz="4" w:space="0" w:color="auto"/>
              <w:right w:val="single" w:sz="4" w:space="0" w:color="auto"/>
            </w:tcBorders>
            <w:shd w:val="clear" w:color="auto" w:fill="auto"/>
            <w:noWrap/>
            <w:vAlign w:val="center"/>
            <w:hideMark/>
          </w:tcPr>
          <w:p w14:paraId="20DBD185" w14:textId="2F25773E" w:rsidR="005B4DB2" w:rsidRPr="00FA7B3C" w:rsidRDefault="005B4DB2" w:rsidP="005B4DB2">
            <w:pPr>
              <w:spacing w:after="0" w:line="240" w:lineRule="auto"/>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Polska</w:t>
            </w:r>
          </w:p>
        </w:tc>
        <w:tc>
          <w:tcPr>
            <w:tcW w:w="317" w:type="pct"/>
            <w:tcBorders>
              <w:top w:val="nil"/>
              <w:left w:val="nil"/>
              <w:bottom w:val="single" w:sz="4" w:space="0" w:color="auto"/>
              <w:right w:val="single" w:sz="4" w:space="0" w:color="auto"/>
            </w:tcBorders>
            <w:shd w:val="clear" w:color="auto" w:fill="auto"/>
            <w:noWrap/>
            <w:vAlign w:val="center"/>
            <w:hideMark/>
          </w:tcPr>
          <w:p w14:paraId="2C019B28" w14:textId="2E7BEA39"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96,6</w:t>
            </w:r>
          </w:p>
        </w:tc>
        <w:tc>
          <w:tcPr>
            <w:tcW w:w="340" w:type="pct"/>
            <w:tcBorders>
              <w:top w:val="nil"/>
              <w:left w:val="nil"/>
              <w:bottom w:val="single" w:sz="4" w:space="0" w:color="auto"/>
              <w:right w:val="single" w:sz="4" w:space="0" w:color="auto"/>
            </w:tcBorders>
            <w:shd w:val="clear" w:color="auto" w:fill="auto"/>
            <w:noWrap/>
            <w:vAlign w:val="center"/>
            <w:hideMark/>
          </w:tcPr>
          <w:p w14:paraId="54AA1E14" w14:textId="2C174536"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95,2</w:t>
            </w:r>
          </w:p>
        </w:tc>
        <w:tc>
          <w:tcPr>
            <w:tcW w:w="396" w:type="pct"/>
            <w:tcBorders>
              <w:top w:val="nil"/>
              <w:left w:val="nil"/>
              <w:bottom w:val="single" w:sz="4" w:space="0" w:color="auto"/>
              <w:right w:val="single" w:sz="4" w:space="0" w:color="auto"/>
            </w:tcBorders>
            <w:shd w:val="clear" w:color="auto" w:fill="auto"/>
            <w:noWrap/>
            <w:vAlign w:val="center"/>
            <w:hideMark/>
          </w:tcPr>
          <w:p w14:paraId="1D50C939" w14:textId="517A396C"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95,5</w:t>
            </w:r>
          </w:p>
        </w:tc>
        <w:tc>
          <w:tcPr>
            <w:tcW w:w="395" w:type="pct"/>
            <w:tcBorders>
              <w:top w:val="nil"/>
              <w:left w:val="nil"/>
              <w:bottom w:val="single" w:sz="4" w:space="0" w:color="auto"/>
              <w:right w:val="single" w:sz="4" w:space="0" w:color="auto"/>
            </w:tcBorders>
            <w:shd w:val="clear" w:color="auto" w:fill="auto"/>
            <w:noWrap/>
            <w:vAlign w:val="center"/>
            <w:hideMark/>
          </w:tcPr>
          <w:p w14:paraId="3F444F06" w14:textId="7F90757C"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95,1</w:t>
            </w:r>
          </w:p>
        </w:tc>
        <w:tc>
          <w:tcPr>
            <w:tcW w:w="396" w:type="pct"/>
            <w:tcBorders>
              <w:top w:val="nil"/>
              <w:left w:val="nil"/>
              <w:bottom w:val="single" w:sz="4" w:space="0" w:color="auto"/>
              <w:right w:val="single" w:sz="4" w:space="0" w:color="auto"/>
            </w:tcBorders>
            <w:shd w:val="clear" w:color="auto" w:fill="auto"/>
            <w:noWrap/>
            <w:vAlign w:val="center"/>
            <w:hideMark/>
          </w:tcPr>
          <w:p w14:paraId="3A985F50" w14:textId="3FE1E257"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96,0</w:t>
            </w:r>
          </w:p>
        </w:tc>
        <w:tc>
          <w:tcPr>
            <w:tcW w:w="330" w:type="pct"/>
            <w:tcBorders>
              <w:top w:val="nil"/>
              <w:left w:val="nil"/>
              <w:bottom w:val="single" w:sz="4" w:space="0" w:color="auto"/>
              <w:right w:val="single" w:sz="4" w:space="0" w:color="auto"/>
            </w:tcBorders>
            <w:shd w:val="clear" w:color="auto" w:fill="auto"/>
            <w:noWrap/>
            <w:vAlign w:val="center"/>
            <w:hideMark/>
          </w:tcPr>
          <w:p w14:paraId="028D5A81" w14:textId="57295C0A"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60</w:t>
            </w:r>
          </w:p>
        </w:tc>
        <w:tc>
          <w:tcPr>
            <w:tcW w:w="329" w:type="pct"/>
            <w:tcBorders>
              <w:top w:val="nil"/>
              <w:left w:val="nil"/>
              <w:bottom w:val="single" w:sz="4" w:space="0" w:color="auto"/>
              <w:right w:val="single" w:sz="4" w:space="0" w:color="auto"/>
            </w:tcBorders>
            <w:shd w:val="clear" w:color="auto" w:fill="auto"/>
            <w:noWrap/>
            <w:vAlign w:val="center"/>
            <w:hideMark/>
          </w:tcPr>
          <w:p w14:paraId="03D5C38F" w14:textId="2EE1CE42"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69</w:t>
            </w:r>
          </w:p>
        </w:tc>
        <w:tc>
          <w:tcPr>
            <w:tcW w:w="395" w:type="pct"/>
            <w:tcBorders>
              <w:top w:val="nil"/>
              <w:left w:val="nil"/>
              <w:bottom w:val="single" w:sz="4" w:space="0" w:color="auto"/>
              <w:right w:val="single" w:sz="4" w:space="0" w:color="auto"/>
            </w:tcBorders>
            <w:shd w:val="clear" w:color="auto" w:fill="auto"/>
            <w:noWrap/>
            <w:vAlign w:val="center"/>
            <w:hideMark/>
          </w:tcPr>
          <w:p w14:paraId="3ABBFD60" w14:textId="0570D20C"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79</w:t>
            </w:r>
          </w:p>
        </w:tc>
        <w:tc>
          <w:tcPr>
            <w:tcW w:w="396" w:type="pct"/>
            <w:tcBorders>
              <w:top w:val="nil"/>
              <w:left w:val="nil"/>
              <w:bottom w:val="single" w:sz="4" w:space="0" w:color="auto"/>
              <w:right w:val="single" w:sz="4" w:space="0" w:color="auto"/>
            </w:tcBorders>
            <w:shd w:val="clear" w:color="auto" w:fill="auto"/>
            <w:noWrap/>
            <w:vAlign w:val="center"/>
            <w:hideMark/>
          </w:tcPr>
          <w:p w14:paraId="58F40DBA" w14:textId="537CD8D6"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80</w:t>
            </w:r>
          </w:p>
        </w:tc>
        <w:tc>
          <w:tcPr>
            <w:tcW w:w="392" w:type="pct"/>
            <w:tcBorders>
              <w:top w:val="nil"/>
              <w:left w:val="nil"/>
              <w:bottom w:val="single" w:sz="4" w:space="0" w:color="auto"/>
              <w:right w:val="single" w:sz="4" w:space="0" w:color="auto"/>
            </w:tcBorders>
            <w:shd w:val="clear" w:color="auto" w:fill="auto"/>
            <w:noWrap/>
            <w:vAlign w:val="center"/>
            <w:hideMark/>
          </w:tcPr>
          <w:p w14:paraId="25BF7C87" w14:textId="09749308" w:rsidR="005B4DB2" w:rsidRPr="00FA7B3C" w:rsidRDefault="005B4DB2" w:rsidP="005B4DB2">
            <w:pPr>
              <w:spacing w:after="0" w:line="240" w:lineRule="auto"/>
              <w:jc w:val="center"/>
              <w:rPr>
                <w:rFonts w:ascii="Times New Roman" w:eastAsia="Times New Roman" w:hAnsi="Times New Roman" w:cs="Times New Roman"/>
                <w:color w:val="000000"/>
                <w:sz w:val="20"/>
                <w:szCs w:val="20"/>
                <w:lang w:eastAsia="pl-PL"/>
              </w:rPr>
            </w:pPr>
            <w:r w:rsidRPr="007A443D">
              <w:rPr>
                <w:rFonts w:ascii="Times New Roman" w:eastAsia="Times New Roman" w:hAnsi="Times New Roman" w:cs="Times New Roman"/>
                <w:color w:val="000000"/>
                <w:sz w:val="20"/>
                <w:szCs w:val="20"/>
                <w:lang w:eastAsia="pl-PL"/>
              </w:rPr>
              <w:t>81</w:t>
            </w:r>
          </w:p>
        </w:tc>
      </w:tr>
    </w:tbl>
    <w:p w14:paraId="6115BD8E" w14:textId="77777777" w:rsidR="00A17173" w:rsidRPr="00120BC3" w:rsidRDefault="00A17173" w:rsidP="00A62189">
      <w:pPr>
        <w:spacing w:after="80" w:line="276" w:lineRule="auto"/>
        <w:jc w:val="center"/>
        <w:rPr>
          <w:rFonts w:ascii="Times New Roman" w:hAnsi="Times New Roman" w:cs="Times New Roman"/>
          <w:color w:val="000000" w:themeColor="text1"/>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w:t>
      </w:r>
      <w:r w:rsidRPr="001F75C9">
        <w:rPr>
          <w:rFonts w:ascii="Times New Roman" w:hAnsi="Times New Roman" w:cs="Times New Roman"/>
          <w:i/>
          <w:iCs/>
          <w:sz w:val="20"/>
          <w:szCs w:val="20"/>
        </w:rPr>
        <w:t>pracowanie własne</w:t>
      </w:r>
      <w:r>
        <w:rPr>
          <w:rFonts w:ascii="Times New Roman" w:hAnsi="Times New Roman" w:cs="Times New Roman"/>
          <w:i/>
          <w:iCs/>
          <w:sz w:val="20"/>
          <w:szCs w:val="20"/>
        </w:rPr>
        <w:t xml:space="preserve"> na podstawie danych GUS</w:t>
      </w:r>
    </w:p>
    <w:p w14:paraId="52E28CC6" w14:textId="53E1DFD5" w:rsidR="00154170" w:rsidRPr="00154170" w:rsidRDefault="00154170" w:rsidP="00154170">
      <w:pPr>
        <w:spacing w:after="0" w:line="276" w:lineRule="auto"/>
        <w:ind w:firstLine="709"/>
        <w:jc w:val="both"/>
        <w:rPr>
          <w:rFonts w:ascii="Times New Roman" w:hAnsi="Times New Roman" w:cs="Times New Roman"/>
        </w:rPr>
      </w:pPr>
      <w:r w:rsidRPr="00154170">
        <w:rPr>
          <w:rFonts w:ascii="Times New Roman" w:hAnsi="Times New Roman" w:cs="Times New Roman"/>
        </w:rPr>
        <w:t>Poza nauką na poziomie podstawowym, na obszarze Bialskopodlask</w:t>
      </w:r>
      <w:r w:rsidR="001C7EFF">
        <w:rPr>
          <w:rFonts w:ascii="Times New Roman" w:hAnsi="Times New Roman" w:cs="Times New Roman"/>
        </w:rPr>
        <w:t>iej</w:t>
      </w:r>
      <w:r w:rsidRPr="00154170">
        <w:rPr>
          <w:rFonts w:ascii="Times New Roman" w:hAnsi="Times New Roman" w:cs="Times New Roman"/>
        </w:rPr>
        <w:t xml:space="preserve"> LGD mieszkańcy mają dostęp do kształcenia na szczeblu średnim, tj. w liceum, technikum oraz szkołach zawodowych. Na terenie obszaru LGD w 6 gminach funkcjonuje łącznie 9 szkół ponadpodstawow</w:t>
      </w:r>
      <w:r w:rsidR="001C7EFF">
        <w:rPr>
          <w:rFonts w:ascii="Times New Roman" w:hAnsi="Times New Roman" w:cs="Times New Roman"/>
        </w:rPr>
        <w:t>ych</w:t>
      </w:r>
      <w:r w:rsidRPr="00313758">
        <w:rPr>
          <w:vertAlign w:val="superscript"/>
        </w:rPr>
        <w:footnoteReference w:id="21"/>
      </w:r>
      <w:r w:rsidRPr="00154170">
        <w:rPr>
          <w:rFonts w:ascii="Times New Roman" w:hAnsi="Times New Roman" w:cs="Times New Roman"/>
        </w:rPr>
        <w:t>.</w:t>
      </w:r>
    </w:p>
    <w:p w14:paraId="25D1AC78" w14:textId="6BAD4307" w:rsidR="00A17173" w:rsidRDefault="00A17173" w:rsidP="00154170">
      <w:pPr>
        <w:pStyle w:val="podnagowek"/>
        <w:numPr>
          <w:ilvl w:val="1"/>
          <w:numId w:val="16"/>
        </w:numPr>
        <w:spacing w:after="80" w:line="276" w:lineRule="auto"/>
        <w:outlineLvl w:val="9"/>
        <w:rPr>
          <w:sz w:val="22"/>
          <w:szCs w:val="22"/>
        </w:rPr>
      </w:pPr>
      <w:r w:rsidRPr="00E54070">
        <w:rPr>
          <w:sz w:val="22"/>
          <w:szCs w:val="22"/>
        </w:rPr>
        <w:t xml:space="preserve">Innowacyjność </w:t>
      </w:r>
      <w:bookmarkStart w:id="81" w:name="_Toc132578928"/>
    </w:p>
    <w:p w14:paraId="460ACC4F" w14:textId="77777777" w:rsidR="00587E23" w:rsidRPr="00587E23" w:rsidRDefault="00587E23" w:rsidP="00587E23">
      <w:pPr>
        <w:spacing w:after="0" w:line="276" w:lineRule="auto"/>
        <w:ind w:firstLine="709"/>
        <w:jc w:val="both"/>
        <w:rPr>
          <w:rFonts w:ascii="Times New Roman" w:hAnsi="Times New Roman" w:cs="Times New Roman"/>
          <w:szCs w:val="20"/>
        </w:rPr>
      </w:pPr>
      <w:r w:rsidRPr="00587E23">
        <w:rPr>
          <w:rFonts w:ascii="Times New Roman" w:hAnsi="Times New Roman" w:cs="Times New Roman"/>
          <w:szCs w:val="20"/>
        </w:rPr>
        <w:t xml:space="preserve">Elementem bazowym oceniającym innowacyjność regionu jest ilość podjętych działań w kierunku rozwoju nowoczesnych technologii, infrastruktury, sfery badań i rozwoju (B+R) oraz społeczeństwa informacyjnego. Każde </w:t>
      </w:r>
      <w:r w:rsidRPr="00587E23">
        <w:rPr>
          <w:rFonts w:ascii="Times New Roman" w:hAnsi="Times New Roman" w:cs="Times New Roman"/>
          <w:szCs w:val="20"/>
        </w:rPr>
        <w:br/>
        <w:t xml:space="preserve">z wymienionych działań mogło być w ostatnich latach realizowane przy dofinansowaniu w ramach Programu Operacyjnego Inteligentny Rozwój (POIR) na lata 2014–2020. W 2021 roku na terenie województwa lubelskiego podpisano umowy/wydano decyzje o dofinansowanie 501 projektów ze wsparciem w ramach ww. programu. Na obszarze LGD podpisano 15 umów, z czego trzy w Gminie Janów Podlaski, po dwie w gminach Międzyrzec Podlaski, Drelów, Biała Podlaska oraz w Mieście Międzyrzec Podlaski, oraz po jednej w gminach Rokitno, Rossosz, Zalesie oraz w Mieście Terespol. Na terenie pozostałych gmin nie zrealizowano żadnego projektu w ramach ww. programu. Średni udział przedsiębiorstw innowacyjnych w ogólnej liczbie przedsiębiorstw w 2020 roku </w:t>
      </w:r>
      <w:r w:rsidRPr="00587E23">
        <w:rPr>
          <w:rFonts w:ascii="Times New Roman" w:hAnsi="Times New Roman" w:cs="Times New Roman"/>
          <w:szCs w:val="20"/>
        </w:rPr>
        <w:br/>
        <w:t>w województwie lubelskim wyniósł 30,9% – był to wzrost w stosunku do 2016 r. o 8 pp. Wynik dla województwa był niższy niż średnia dla Polski – 31,1%, z wzrostem w stosunku do 2016 r. o 15,1 pp. (dane GUS).</w:t>
      </w:r>
    </w:p>
    <w:p w14:paraId="274CCEA3" w14:textId="77777777" w:rsidR="00587E23" w:rsidRPr="00587E23" w:rsidRDefault="00587E23" w:rsidP="00587E23">
      <w:pPr>
        <w:spacing w:after="0" w:line="276" w:lineRule="auto"/>
        <w:ind w:firstLine="709"/>
        <w:jc w:val="both"/>
        <w:rPr>
          <w:rFonts w:ascii="Times New Roman" w:hAnsi="Times New Roman" w:cs="Times New Roman"/>
          <w:color w:val="000000"/>
          <w:szCs w:val="20"/>
        </w:rPr>
      </w:pPr>
      <w:r w:rsidRPr="00587E23">
        <w:rPr>
          <w:rFonts w:ascii="Times New Roman" w:hAnsi="Times New Roman" w:cs="Times New Roman"/>
          <w:color w:val="000000"/>
          <w:szCs w:val="20"/>
        </w:rPr>
        <w:t xml:space="preserve">Innowacyjność ma znaczący wpływ na rozwój gospodarki. Innowacyjna gospodarka jest istotnym instrumentem kształtowania wysokiej jakości życia mieszkańców oraz wzmacniania konkurencyjności regionu. W czerwcu 2021 r. Komisja Europejska opublikowała </w:t>
      </w:r>
      <w:r w:rsidRPr="00587E23">
        <w:rPr>
          <w:rFonts w:ascii="Times New Roman" w:hAnsi="Times New Roman" w:cs="Times New Roman"/>
          <w:i/>
          <w:iCs/>
          <w:color w:val="000000"/>
          <w:szCs w:val="20"/>
        </w:rPr>
        <w:t>Europejski Ranking Innowacyjności 2021</w:t>
      </w:r>
      <w:r w:rsidRPr="00587E23">
        <w:rPr>
          <w:rFonts w:ascii="Times New Roman" w:hAnsi="Times New Roman" w:cs="Times New Roman"/>
          <w:color w:val="000000"/>
          <w:szCs w:val="20"/>
        </w:rPr>
        <w:t xml:space="preserve">, który pokazuje, że wyniki Europy w zakresie innowacji poprawiają się w całej Unii Europejskiej. Od 2014 r. wyniki w zakresie innowacji wzrosły średnio o 12,5%. Zgodnie z ww. opracowaniem, najwyższą pozycję w kraju zajął region „Warszawski stołeczny” – 137. miejsce w rankingu 240 regionów Unii Europejskiej. Gminy znajdujące się na obszarze LGD terytorialnie zaklasyfikowane są do regionu województwa lubelskiego, które w rankingu uplasowało się na 194. pozycji. Najgorzej w Polsce prezentował się region „Mazowiecki Regionalny” – 228. pozycja. </w:t>
      </w:r>
    </w:p>
    <w:p w14:paraId="48A0182F" w14:textId="77777777" w:rsidR="00587E23" w:rsidRPr="00587E23" w:rsidRDefault="00587E23" w:rsidP="00587E23">
      <w:pPr>
        <w:spacing w:after="0" w:line="276" w:lineRule="auto"/>
        <w:ind w:firstLine="709"/>
        <w:jc w:val="both"/>
        <w:rPr>
          <w:rFonts w:ascii="Times New Roman" w:hAnsi="Times New Roman" w:cs="Times New Roman"/>
          <w:szCs w:val="20"/>
        </w:rPr>
      </w:pPr>
      <w:r w:rsidRPr="00587E23">
        <w:rPr>
          <w:rFonts w:ascii="Times New Roman" w:hAnsi="Times New Roman" w:cs="Times New Roman"/>
          <w:szCs w:val="20"/>
        </w:rPr>
        <w:t>W kontekście innowacyjności i warunków do jej rozwoju warto przeanalizować kwestię cyfryzacji, w tym dostępu do wysokiej jakości Internetu. Zgodnie z danymi Urzędu Komunikacji Elektronicznej, aktualna</w:t>
      </w:r>
      <w:r w:rsidRPr="00587E23">
        <w:rPr>
          <w:rFonts w:ascii="Times New Roman" w:hAnsi="Times New Roman" w:cs="Times New Roman"/>
          <w:vertAlign w:val="superscript"/>
        </w:rPr>
        <w:footnoteReference w:id="22"/>
      </w:r>
      <w:r w:rsidRPr="00587E23">
        <w:rPr>
          <w:rFonts w:ascii="Times New Roman" w:hAnsi="Times New Roman" w:cs="Times New Roman"/>
          <w:szCs w:val="20"/>
        </w:rPr>
        <w:t xml:space="preserve"> penetracja lokalowa 100 Mb/s</w:t>
      </w:r>
      <w:r w:rsidRPr="00587E23">
        <w:rPr>
          <w:rFonts w:ascii="Times New Roman" w:hAnsi="Times New Roman" w:cs="Times New Roman"/>
          <w:vertAlign w:val="superscript"/>
        </w:rPr>
        <w:footnoteReference w:id="23"/>
      </w:r>
      <w:r w:rsidRPr="00587E23">
        <w:rPr>
          <w:rFonts w:ascii="Times New Roman" w:hAnsi="Times New Roman" w:cs="Times New Roman"/>
          <w:szCs w:val="20"/>
        </w:rPr>
        <w:t xml:space="preserve"> dla gmin obszaru LGD jest najwyższa dla miast Międzyrzec Podlaski (93%), Terespol (85%) oraz gmin Międzyrzec Podlaski (81%) oraz Zalesie (80%) – są to gminy obszaru LGD, których wartość przekracza średnią dla Polski (75%). Najgorzej wygląda sytuacja w Gminie Sławatycze (14%), natomiast w pozostałych gminach oscyluje poniżej średniej krajowej: Gmina Biała Podlaska – 43%, Gmina Drelów – 35%, Gmina Janów Podlaski – 48%, Gmina Kodeń – 38%, Gmina Konstantynów – 48%, Gmina Leśna Podlaska – 56%, Gmina Łomazy – 34%, Gmina Piszczac – 56%, Gmina Rokitno – 48%, Gmina Rossosz – 38%, Gmina Sosnówka – 56%, Gmina Terespol – 61%, Gmina Tuczna – 54%, Gmina Wisznice – 39%</w:t>
      </w:r>
      <w:r w:rsidRPr="00587E23">
        <w:rPr>
          <w:rStyle w:val="Odwoanieprzypisudolnego"/>
          <w:rFonts w:ascii="Times New Roman" w:hAnsi="Times New Roman" w:cs="Times New Roman"/>
          <w:szCs w:val="20"/>
        </w:rPr>
        <w:footnoteReference w:id="24"/>
      </w:r>
      <w:r w:rsidRPr="00587E23">
        <w:rPr>
          <w:rFonts w:ascii="Times New Roman" w:hAnsi="Times New Roman" w:cs="Times New Roman"/>
          <w:szCs w:val="20"/>
        </w:rPr>
        <w:t>.</w:t>
      </w:r>
    </w:p>
    <w:p w14:paraId="275D48F6" w14:textId="5DBEC559" w:rsidR="00CD0B7F" w:rsidRPr="00587E23" w:rsidRDefault="00587E23" w:rsidP="00CD0B7F">
      <w:pPr>
        <w:spacing w:after="120" w:line="276" w:lineRule="auto"/>
        <w:ind w:firstLine="709"/>
        <w:jc w:val="both"/>
        <w:rPr>
          <w:rFonts w:ascii="Times New Roman" w:hAnsi="Times New Roman" w:cs="Times New Roman"/>
          <w:color w:val="000000"/>
        </w:rPr>
      </w:pPr>
      <w:r w:rsidRPr="00587E23">
        <w:rPr>
          <w:rFonts w:ascii="Times New Roman" w:hAnsi="Times New Roman" w:cs="Times New Roman"/>
          <w:color w:val="000000"/>
        </w:rPr>
        <w:t xml:space="preserve">Biorąc pod uwagę penetrację budynkową zasięgami Internetu stacjonarnego o przepustowości co najmniej 30 Mb/s, najlepiej wygląda sytuacja w </w:t>
      </w:r>
      <w:bookmarkStart w:id="82" w:name="_Hlk135844847"/>
      <w:r w:rsidRPr="00587E23">
        <w:rPr>
          <w:rFonts w:ascii="Times New Roman" w:hAnsi="Times New Roman" w:cs="Times New Roman"/>
          <w:color w:val="000000"/>
        </w:rPr>
        <w:t xml:space="preserve">Gminie Zalesie oraz </w:t>
      </w:r>
      <w:r w:rsidR="00EF4A59">
        <w:rPr>
          <w:rFonts w:ascii="Times New Roman" w:hAnsi="Times New Roman" w:cs="Times New Roman"/>
          <w:color w:val="000000"/>
        </w:rPr>
        <w:t xml:space="preserve">w </w:t>
      </w:r>
      <w:r w:rsidRPr="00587E23">
        <w:rPr>
          <w:rFonts w:ascii="Times New Roman" w:hAnsi="Times New Roman" w:cs="Times New Roman"/>
          <w:color w:val="000000"/>
        </w:rPr>
        <w:t xml:space="preserve">miastach Terespol </w:t>
      </w:r>
      <w:r w:rsidR="00EF4A59">
        <w:rPr>
          <w:rFonts w:ascii="Times New Roman" w:hAnsi="Times New Roman" w:cs="Times New Roman"/>
          <w:color w:val="000000"/>
        </w:rPr>
        <w:t>i</w:t>
      </w:r>
      <w:r w:rsidRPr="00587E23">
        <w:rPr>
          <w:rFonts w:ascii="Times New Roman" w:hAnsi="Times New Roman" w:cs="Times New Roman"/>
          <w:color w:val="000000"/>
        </w:rPr>
        <w:t xml:space="preserve"> Międzyrzec Podlaski, gdzie </w:t>
      </w:r>
      <w:r w:rsidRPr="00587E23">
        <w:rPr>
          <w:rFonts w:ascii="Times New Roman" w:hAnsi="Times New Roman" w:cs="Times New Roman"/>
          <w:color w:val="000000"/>
        </w:rPr>
        <w:lastRenderedPageBreak/>
        <w:t xml:space="preserve">wartość wskaźnika oscyluje w granicach 80,1–100,0%. Korzystna sytuacja w tym zakresie występuje również na terenie gmin, </w:t>
      </w:r>
      <w:r w:rsidR="00EF4A59">
        <w:rPr>
          <w:rFonts w:ascii="Times New Roman" w:hAnsi="Times New Roman" w:cs="Times New Roman"/>
          <w:color w:val="000000"/>
        </w:rPr>
        <w:t>w których</w:t>
      </w:r>
      <w:r w:rsidRPr="00587E23">
        <w:rPr>
          <w:rFonts w:ascii="Times New Roman" w:hAnsi="Times New Roman" w:cs="Times New Roman"/>
          <w:color w:val="000000"/>
        </w:rPr>
        <w:t xml:space="preserve"> wartość wskaźnika mieści się w przedziale 60,1–80,0%</w:t>
      </w:r>
      <w:r w:rsidR="00EF4A59">
        <w:rPr>
          <w:rFonts w:ascii="Times New Roman" w:hAnsi="Times New Roman" w:cs="Times New Roman"/>
          <w:color w:val="000000"/>
        </w:rPr>
        <w:t>, s</w:t>
      </w:r>
      <w:r w:rsidRPr="00587E23">
        <w:rPr>
          <w:rFonts w:ascii="Times New Roman" w:hAnsi="Times New Roman" w:cs="Times New Roman"/>
          <w:color w:val="000000"/>
        </w:rPr>
        <w:t xml:space="preserve">ą to gminy Międzyrzec Podlaski </w:t>
      </w:r>
      <w:r w:rsidRPr="00587E23">
        <w:rPr>
          <w:rFonts w:ascii="Times New Roman" w:hAnsi="Times New Roman" w:cs="Times New Roman"/>
          <w:color w:val="000000"/>
        </w:rPr>
        <w:br/>
        <w:t xml:space="preserve">i Leśna Podlaska. Średnia wartość wskaźnika, która mieści się w przedziale 40,1–60,0% występuje w największej części gmin obszaru: Konstantynów, Janów Podlaski, Kodeń, Piszczac, </w:t>
      </w:r>
      <w:r w:rsidR="006A4E5D">
        <w:rPr>
          <w:rFonts w:ascii="Times New Roman" w:hAnsi="Times New Roman" w:cs="Times New Roman"/>
          <w:color w:val="000000"/>
        </w:rPr>
        <w:t xml:space="preserve">Rokitno, </w:t>
      </w:r>
      <w:r w:rsidRPr="00587E23">
        <w:rPr>
          <w:rFonts w:ascii="Times New Roman" w:hAnsi="Times New Roman" w:cs="Times New Roman"/>
          <w:color w:val="000000"/>
        </w:rPr>
        <w:t>Tuczna, Biała Podlaska, Rossosz, Wisznice, Sosnówka, Terespol. Najmniej korzystna wartość wskaźnika, która mieści się w przedziale 20,1–40,0% występuje w gminach Drelów, Łomazy, Sławatycze</w:t>
      </w:r>
      <w:r w:rsidR="00154170">
        <w:rPr>
          <w:rStyle w:val="Odwoanieprzypisudolnego"/>
          <w:rFonts w:ascii="Times New Roman" w:hAnsi="Times New Roman" w:cs="Times New Roman"/>
          <w:color w:val="000000"/>
        </w:rPr>
        <w:footnoteReference w:id="25"/>
      </w:r>
      <w:r w:rsidR="00EF4A59">
        <w:rPr>
          <w:rFonts w:ascii="Times New Roman" w:hAnsi="Times New Roman" w:cs="Times New Roman"/>
          <w:color w:val="000000"/>
        </w:rPr>
        <w:t>.</w:t>
      </w:r>
      <w:r w:rsidRPr="00587E23">
        <w:rPr>
          <w:rFonts w:ascii="Times New Roman" w:hAnsi="Times New Roman" w:cs="Times New Roman"/>
          <w:color w:val="000000"/>
        </w:rPr>
        <w:t xml:space="preserve"> </w:t>
      </w:r>
    </w:p>
    <w:bookmarkEnd w:id="82"/>
    <w:p w14:paraId="6C12D742" w14:textId="77777777" w:rsidR="00A17173" w:rsidRPr="006822F6" w:rsidRDefault="00A17173" w:rsidP="00524BFE">
      <w:pPr>
        <w:pStyle w:val="podnagowek"/>
        <w:numPr>
          <w:ilvl w:val="1"/>
          <w:numId w:val="16"/>
        </w:numPr>
        <w:spacing w:after="80" w:line="276" w:lineRule="auto"/>
        <w:outlineLvl w:val="9"/>
        <w:rPr>
          <w:sz w:val="22"/>
          <w:szCs w:val="22"/>
        </w:rPr>
      </w:pPr>
      <w:r w:rsidRPr="006822F6">
        <w:rPr>
          <w:sz w:val="22"/>
          <w:szCs w:val="22"/>
        </w:rPr>
        <w:t>Dziedzictwo kulturowe, tożsamość lokalna, potencjał turystyczny</w:t>
      </w:r>
      <w:bookmarkEnd w:id="81"/>
    </w:p>
    <w:p w14:paraId="06BC45C8" w14:textId="77777777" w:rsidR="004044FC" w:rsidRPr="004044FC" w:rsidRDefault="004044FC" w:rsidP="004044FC">
      <w:pPr>
        <w:spacing w:after="0" w:line="276" w:lineRule="auto"/>
        <w:ind w:firstLine="709"/>
        <w:jc w:val="both"/>
        <w:rPr>
          <w:rFonts w:ascii="Times New Roman" w:hAnsi="Times New Roman" w:cs="Times New Roman"/>
          <w:color w:val="000000" w:themeColor="text1"/>
        </w:rPr>
      </w:pPr>
      <w:r w:rsidRPr="004044FC">
        <w:rPr>
          <w:rFonts w:ascii="Times New Roman" w:hAnsi="Times New Roman" w:cs="Times New Roman"/>
          <w:color w:val="000000" w:themeColor="text1"/>
        </w:rPr>
        <w:t>Obszar LGD położony jest na terenach wschodnich kraju, co już w najwcześniejszych czasach determinowało jego historię i dzieje. Historycznie powiat bialski, na terenie którego znajdują się wszystkie gminy LGD, a więc można go utożsamić z obszarem LGD, był częścią ziem południowego Podlasia i Polesia.</w:t>
      </w:r>
    </w:p>
    <w:p w14:paraId="7FCDAB38" w14:textId="77777777" w:rsidR="004044FC" w:rsidRPr="004044FC" w:rsidRDefault="004044FC" w:rsidP="004044FC">
      <w:pPr>
        <w:spacing w:after="0" w:line="276" w:lineRule="auto"/>
        <w:ind w:firstLine="709"/>
        <w:jc w:val="both"/>
        <w:rPr>
          <w:rFonts w:ascii="Times New Roman" w:hAnsi="Times New Roman" w:cs="Times New Roman"/>
        </w:rPr>
      </w:pPr>
      <w:r w:rsidRPr="004044FC">
        <w:rPr>
          <w:rFonts w:ascii="Times New Roman" w:hAnsi="Times New Roman" w:cs="Times New Roman"/>
        </w:rPr>
        <w:t xml:space="preserve">Tereny obecnego powiatu bialskiego w czasach piastowskich wchodziły w skład Podlasia i miały istotne znaczenie strategiczne ze względu na położenie pomiędzy Polską, Rusią a Litwą. Był to obszar, na którym stykały się wpływy Polski, Rusi, Litwy oraz Krzyżaków, a także zapomnianego szczepu Jadźwingów. Pierwotnie tereny te były bezludne, ale w X w. ziemie nad Bugiem zajmowały plemiona Bużan i Dulębów, a od zachodu plemiona mazurskie. Natomiast z biegiem czasu ludy te były stopniowo wypierane przez Jadźwingów – jeden z licznych szczepów litewskich. Był to lud barbarzyński, który zajmował się kradzieżami i grabieżami, dlatego też pospolite ruszenie pod dowództwem Bolesława Wstydliwego zmusiło lud Jadźwingów do wycofania się z tych terenów. </w:t>
      </w:r>
    </w:p>
    <w:p w14:paraId="102E91EF" w14:textId="2770EE31" w:rsidR="004044FC" w:rsidRPr="004044FC" w:rsidRDefault="004044FC" w:rsidP="004044FC">
      <w:pPr>
        <w:spacing w:after="0" w:line="276" w:lineRule="auto"/>
        <w:ind w:firstLine="709"/>
        <w:jc w:val="both"/>
        <w:rPr>
          <w:rFonts w:ascii="Times New Roman" w:hAnsi="Times New Roman" w:cs="Times New Roman"/>
        </w:rPr>
      </w:pPr>
      <w:r w:rsidRPr="004044FC">
        <w:rPr>
          <w:rFonts w:ascii="Times New Roman" w:hAnsi="Times New Roman" w:cs="Times New Roman"/>
        </w:rPr>
        <w:t xml:space="preserve">Na ziemiach tych toczyły się liczne walki pomiędzy Polakami, Rusinami oraz Litwinami, czego efektem było przechodzenie wpływów na obszarze z jednej strony na drugą. W 1038 r., w wyniku sytuacji w Polsce, ziemie te zostały podbite przez księcia kijowskiego Jarosława Mądrego, natomiast już w 1071 roku na pewien czas wróciły do Polski. Następnie panowanie nad ziemią brzeską, w skład której wchodził wówczas dzisiejszy powiat bialski, pozostawało w rękach książąt ruskich. Kazimierz Sprawiedliwy w roku 1182 ponownie odzyskał teren ziemi brzeskiej i oddał władzę nad nią starostom. W czasie rozbicia dzielnicowego i osłabienia Polski, ziemiami powiatu na przemian władali różni książęta ruscy. Do walk pomiędzy Polską a Rusią, ok. 1240 r. dołączyli Tatarzy, którzy wykorzystując osłabienie obydwu krajów, w wielkim marszu w 1241 r. zniszczyli wszystko, co stało na ich drodze, zabijając lub biorąc w jasyr miejscową ludność. Po nawale tatarskich zagonów, na teren powiatu w 1242 r. weszli Litwini, zagarniając dla siebie Podlasie wraz z ziemią brzeską i powiatem bialskim, jednak w połowie XIII w. Leszek Czarny z powrotem przywrócił je dla Polski. </w:t>
      </w:r>
    </w:p>
    <w:p w14:paraId="65A14AC6" w14:textId="125217D8" w:rsidR="004044FC" w:rsidRPr="004044FC" w:rsidRDefault="004044FC" w:rsidP="004044FC">
      <w:pPr>
        <w:spacing w:after="0" w:line="276" w:lineRule="auto"/>
        <w:ind w:firstLine="709"/>
        <w:jc w:val="both"/>
        <w:rPr>
          <w:rFonts w:ascii="Times New Roman" w:hAnsi="Times New Roman" w:cs="Times New Roman"/>
        </w:rPr>
      </w:pPr>
      <w:r w:rsidRPr="004044FC">
        <w:rPr>
          <w:rFonts w:ascii="Times New Roman" w:hAnsi="Times New Roman" w:cs="Times New Roman"/>
        </w:rPr>
        <w:t xml:space="preserve">O prawo do całego Podlasia, w tym również ziem powiatu bialskiego, rościli sobie także Krzyżacy, jednak bulla papieża Urbana IV z 1264 r. przyznała je w całości Polakom na zasadzie praw wojennych. W wyniku tego Krzyżacy dokonali najazdu w sierpniu 1379 r., podczas którego zniszczyli i zrabowali Brześć. Końcem odwiecznych walk pomiędzy Polakami a Litwinami o te ziemie miała być unia polsko-litewska, która została zawarta w 1385 r., wówczas ziemia brzeska została terenem wspólnotowym. </w:t>
      </w:r>
      <w:r w:rsidRPr="004044FC">
        <w:rPr>
          <w:rFonts w:ascii="Times New Roman" w:hAnsi="Times New Roman" w:cs="Times New Roman"/>
          <w:color w:val="000000"/>
          <w:shd w:val="clear" w:color="auto" w:fill="FFFFFF"/>
        </w:rPr>
        <w:t xml:space="preserve">Ostatecznie status tych ziem został określony w roku 1452, kiedy to Księstwo Brzeskie zostało włączone wraz z całym Podlasiem do województwa trockiego, a następnie </w:t>
      </w:r>
      <w:r w:rsidRPr="004044FC">
        <w:rPr>
          <w:rFonts w:ascii="Times New Roman" w:hAnsi="Times New Roman" w:cs="Times New Roman"/>
          <w:color w:val="000000"/>
          <w:shd w:val="clear" w:color="auto" w:fill="FFFFFF"/>
        </w:rPr>
        <w:br/>
        <w:t>w 1460 roku przyznane Wielkiemu Księstwu Litewskiemu przez Kazimierza Jagiellończyka</w:t>
      </w:r>
      <w:r w:rsidRPr="004044FC">
        <w:rPr>
          <w:rStyle w:val="Odwoanieprzypisudolnego"/>
          <w:rFonts w:ascii="Times New Roman" w:hAnsi="Times New Roman" w:cs="Times New Roman"/>
          <w:color w:val="000000"/>
          <w:shd w:val="clear" w:color="auto" w:fill="FFFFFF"/>
        </w:rPr>
        <w:footnoteReference w:id="26"/>
      </w:r>
      <w:r w:rsidRPr="004044FC">
        <w:rPr>
          <w:rFonts w:ascii="Times New Roman" w:hAnsi="Times New Roman" w:cs="Times New Roman"/>
          <w:color w:val="000000"/>
          <w:shd w:val="clear" w:color="auto" w:fill="FFFFFF"/>
        </w:rPr>
        <w:t xml:space="preserve">. </w:t>
      </w:r>
    </w:p>
    <w:p w14:paraId="77BE7CAC" w14:textId="72697136" w:rsidR="004044FC" w:rsidRPr="004044FC" w:rsidRDefault="004044FC" w:rsidP="004044FC">
      <w:pPr>
        <w:spacing w:after="0" w:line="276" w:lineRule="auto"/>
        <w:ind w:firstLine="709"/>
        <w:jc w:val="both"/>
        <w:rPr>
          <w:rFonts w:ascii="Times New Roman" w:hAnsi="Times New Roman" w:cs="Times New Roman"/>
        </w:rPr>
      </w:pPr>
      <w:r w:rsidRPr="004044FC">
        <w:rPr>
          <w:rFonts w:ascii="Times New Roman" w:hAnsi="Times New Roman" w:cs="Times New Roman"/>
        </w:rPr>
        <w:t>Druga połowa XVI wieku to czas wewnętrznej stabilizacji Rzeczypospolitej Obojga Narodów. Ważniejszym wydarzeniem jakie miało miejsce na tym terytorium w końcu XVI w., była Unia brzeska zawarta w 1596 r. między Kościołem Rzymskokatolickim a Cerkwią Prawosławną. Znaczenie obszaru obecnego LGD rosło ze względu na położenie na skrzyżowaniu ważnych szlaków komunikacyjnych, w pobliżu przeprawy przez Bug.</w:t>
      </w:r>
    </w:p>
    <w:p w14:paraId="61C1BE28" w14:textId="52292A37" w:rsidR="004044FC" w:rsidRPr="004044FC" w:rsidRDefault="004044FC" w:rsidP="004044FC">
      <w:pPr>
        <w:spacing w:after="0" w:line="276" w:lineRule="auto"/>
        <w:ind w:firstLine="709"/>
        <w:jc w:val="both"/>
        <w:rPr>
          <w:rFonts w:ascii="Times New Roman" w:hAnsi="Times New Roman" w:cs="Times New Roman"/>
        </w:rPr>
      </w:pPr>
      <w:r w:rsidRPr="004044FC">
        <w:rPr>
          <w:rFonts w:ascii="Times New Roman" w:hAnsi="Times New Roman" w:cs="Times New Roman"/>
        </w:rPr>
        <w:t xml:space="preserve">Kolejnym istotnym wydarzeniem w XVI wieku był potop szwedzki i zniszczenie części obszaru w jego wyniku, co zahamowało rozwój miejscowości. Insurekcja kościuszkowska przyniosła kolejne straty w dziejach historycznych miast. W Gminie Janów Podlaski zniszczeniu uległ główny gmach pałacu biskupiego. Ludność ziem obecnego powiatu bialskiego aktywnie brała udział w powstaniu styczniowym w 1863 r., czego konsekwencją były późniejsze represje – np. część miast obszaru straciła wówczas prawa miejskie (Janów Podlaski, Łomazy). </w:t>
      </w:r>
    </w:p>
    <w:p w14:paraId="60A8DF1E" w14:textId="104554BA" w:rsidR="004044FC" w:rsidRPr="004044FC" w:rsidRDefault="004044FC" w:rsidP="004044FC">
      <w:pPr>
        <w:spacing w:after="0" w:line="276" w:lineRule="auto"/>
        <w:ind w:firstLine="709"/>
        <w:jc w:val="both"/>
        <w:rPr>
          <w:rFonts w:ascii="Times New Roman" w:hAnsi="Times New Roman" w:cs="Times New Roman"/>
          <w:color w:val="000000" w:themeColor="text1"/>
        </w:rPr>
      </w:pPr>
      <w:r w:rsidRPr="004044FC">
        <w:rPr>
          <w:rFonts w:ascii="Times New Roman" w:hAnsi="Times New Roman" w:cs="Times New Roman"/>
        </w:rPr>
        <w:t xml:space="preserve">Czas II wojny światowej był trudny, szczególnie dla ludności żydowskiej obszaru, która w tamtym czasie była dość liczna. Część ludności żydowskiej została umieszczona w obozie pracy w Studziance – Żydów zmuszano do prac przy budowie mostu na rzece Zielawie, tamy wodnej czy kanałów nawadniających. Latem 1942 r., po </w:t>
      </w:r>
      <w:r w:rsidRPr="004044FC">
        <w:rPr>
          <w:rFonts w:ascii="Times New Roman" w:hAnsi="Times New Roman" w:cs="Times New Roman"/>
        </w:rPr>
        <w:lastRenderedPageBreak/>
        <w:t>zakończeniu prac, zostali rozstrzelani i zakopani na pobliskim polu. 17 sierpnia 1942 r. nastąpiła również likwidacja getta w Łomazach, która była częścią niemieckiej Akcji „Reinhardt”, podczas której Niemcy wymordowali ponad 1,5 mln Żydów, w tym również mieszkających na terenie powiatu bialskiego. Po zakończeniu wojny szczątki zamordowanych przeniesiono na kirkut w Łomazach, gdzie obecnie stoi pomnik upamiętniający ofiary</w:t>
      </w:r>
      <w:r w:rsidRPr="004044FC">
        <w:rPr>
          <w:rStyle w:val="Odwoanieprzypisudolnego"/>
          <w:rFonts w:ascii="Times New Roman" w:hAnsi="Times New Roman" w:cs="Times New Roman"/>
        </w:rPr>
        <w:footnoteReference w:id="27"/>
      </w:r>
      <w:r w:rsidRPr="004044FC">
        <w:rPr>
          <w:rFonts w:ascii="Times New Roman" w:hAnsi="Times New Roman" w:cs="Times New Roman"/>
        </w:rPr>
        <w:t xml:space="preserve">. </w:t>
      </w:r>
    </w:p>
    <w:p w14:paraId="5B9A5964" w14:textId="55E0A143" w:rsidR="00CF706F" w:rsidRDefault="004044FC" w:rsidP="00CF706F">
      <w:pPr>
        <w:spacing w:after="0" w:line="276" w:lineRule="auto"/>
        <w:ind w:firstLine="709"/>
        <w:jc w:val="both"/>
        <w:rPr>
          <w:rStyle w:val="Pogrubienie"/>
          <w:rFonts w:ascii="Times New Roman" w:hAnsi="Times New Roman" w:cs="Times New Roman"/>
          <w:b w:val="0"/>
          <w:bCs w:val="0"/>
        </w:rPr>
      </w:pPr>
      <w:r w:rsidRPr="004044FC">
        <w:rPr>
          <w:rFonts w:ascii="Times New Roman" w:hAnsi="Times New Roman" w:cs="Times New Roman"/>
        </w:rPr>
        <w:t xml:space="preserve">Historia regionu wynikająca z przeszłych wydarzeń powoduje, że obszar charakteryzuje się wyjątkowym dziedzictwem kulturowym, którego wyraz widoczny jest w obiektach kultury materialnej. Są to zarówno elementy architektury, obiekty sakralne, kapliczki oraz cmentarze. </w:t>
      </w:r>
      <w:r w:rsidRPr="004044FC">
        <w:rPr>
          <w:rFonts w:ascii="Times New Roman" w:hAnsi="Times New Roman" w:cs="Times New Roman"/>
          <w:color w:val="000000" w:themeColor="text1"/>
        </w:rPr>
        <w:t>W rejestrze zabytków Narodowego Instytutu Dziedzictwa</w:t>
      </w:r>
      <w:r w:rsidRPr="004044FC">
        <w:rPr>
          <w:rStyle w:val="Odwoanieprzypisudolnego"/>
          <w:rFonts w:ascii="Times New Roman" w:hAnsi="Times New Roman" w:cs="Times New Roman"/>
          <w:color w:val="000000" w:themeColor="text1"/>
        </w:rPr>
        <w:footnoteReference w:id="28"/>
      </w:r>
      <w:r w:rsidRPr="004044FC">
        <w:rPr>
          <w:rFonts w:ascii="Times New Roman" w:hAnsi="Times New Roman" w:cs="Times New Roman"/>
          <w:color w:val="000000" w:themeColor="text1"/>
        </w:rPr>
        <w:t xml:space="preserve"> znajduje się wiele cennych zabytków, w tym</w:t>
      </w:r>
      <w:r w:rsidR="00CF706F">
        <w:rPr>
          <w:rFonts w:ascii="Times New Roman" w:hAnsi="Times New Roman" w:cs="Times New Roman"/>
          <w:color w:val="000000" w:themeColor="text1"/>
        </w:rPr>
        <w:t xml:space="preserve"> m.in.</w:t>
      </w:r>
      <w:r w:rsidRPr="004044FC">
        <w:rPr>
          <w:rFonts w:ascii="Times New Roman" w:hAnsi="Times New Roman" w:cs="Times New Roman"/>
          <w:color w:val="000000" w:themeColor="text1"/>
        </w:rPr>
        <w:t xml:space="preserve">: </w:t>
      </w:r>
      <w:r w:rsidR="00CF706F" w:rsidRPr="004044FC">
        <w:rPr>
          <w:rStyle w:val="Pogrubienie"/>
          <w:rFonts w:ascii="Times New Roman" w:hAnsi="Times New Roman" w:cs="Times New Roman"/>
          <w:b w:val="0"/>
          <w:bCs w:val="0"/>
        </w:rPr>
        <w:t xml:space="preserve">cerkiew unicka (obecnie kaplica rzymsko-katolicka pw. św. Anny) z 1655 r. w miejscowości Cicibór Duży, cmentarz unicki z początku XIX w. w miejscowości Cicibór Duży, </w:t>
      </w:r>
      <w:r w:rsidR="00CF706F">
        <w:rPr>
          <w:rStyle w:val="Pogrubienie"/>
          <w:rFonts w:ascii="Times New Roman" w:hAnsi="Times New Roman" w:cs="Times New Roman"/>
          <w:b w:val="0"/>
          <w:bCs w:val="0"/>
        </w:rPr>
        <w:t xml:space="preserve">(Gmina Biała Podlaska), </w:t>
      </w:r>
      <w:r w:rsidR="00CF706F" w:rsidRPr="004044FC">
        <w:rPr>
          <w:rStyle w:val="Pogrubienie"/>
          <w:rFonts w:ascii="Times New Roman" w:hAnsi="Times New Roman" w:cs="Times New Roman"/>
          <w:b w:val="0"/>
          <w:bCs w:val="0"/>
        </w:rPr>
        <w:t>kościół pw. Niepokalanego Poczęcia NMP z 1835 r. z dzwonnicą i cmentarzem kościelnym w Drelowie, cerkiew prawosławna (obecnie kościół rzymsko-katolicki pw. św. Onufrego) z 1914 r. z cmentarzem kościelnym w miejscowości Drelów-Horodek, układ urbanistyczny w Janowie Podlaskim, kościół dominikanów (obecnie kościół filialny pw. św. Jana Chrzciciela) z XVIII–XIX w. z dzwonnicą-bramą, cmentarzem i ogrodzeniem w Janowie Podlaskim, zespół seminaryjny z XVIII–XIX w. (kościół pw. Świętej Trójcy, dzwonnica, seminarium, altana, ogród, ogrodzenie) w Janowie Podlaskim,</w:t>
      </w:r>
      <w:r w:rsidR="00CF706F" w:rsidRPr="00CF706F">
        <w:rPr>
          <w:rStyle w:val="Pogrubienie"/>
          <w:rFonts w:ascii="Times New Roman" w:hAnsi="Times New Roman" w:cs="Times New Roman"/>
          <w:b w:val="0"/>
          <w:bCs w:val="0"/>
        </w:rPr>
        <w:t xml:space="preserve"> </w:t>
      </w:r>
      <w:r w:rsidR="00CF706F" w:rsidRPr="004044FC">
        <w:rPr>
          <w:rStyle w:val="Pogrubienie"/>
          <w:rFonts w:ascii="Times New Roman" w:hAnsi="Times New Roman" w:cs="Times New Roman"/>
          <w:b w:val="0"/>
          <w:bCs w:val="0"/>
        </w:rPr>
        <w:t xml:space="preserve">kościół parafialny pw. św. Anny z 1709 r. z cmentarzem kościelnym w Kodniu, kaplica cmentarna pw. św. Wawrzyńca z XVIII–XIX w. w Kodniu, cerkiew prawosławna </w:t>
      </w:r>
      <w:r w:rsidR="001F4863">
        <w:rPr>
          <w:rStyle w:val="Pogrubienie"/>
          <w:rFonts w:ascii="Times New Roman" w:hAnsi="Times New Roman" w:cs="Times New Roman"/>
          <w:b w:val="0"/>
          <w:bCs w:val="0"/>
        </w:rPr>
        <w:br/>
      </w:r>
      <w:r w:rsidR="00CF706F" w:rsidRPr="004044FC">
        <w:rPr>
          <w:rStyle w:val="Pogrubienie"/>
          <w:rFonts w:ascii="Times New Roman" w:hAnsi="Times New Roman" w:cs="Times New Roman"/>
          <w:b w:val="0"/>
          <w:bCs w:val="0"/>
        </w:rPr>
        <w:t>z 1875 r. (obecnie kościół rzymsko-katolicki pw. św. Antoniego Padewskiego) z cmentarzem unickim z początku XIX w. w Gnojnie, drewniany kościół pw. św. Stanisława z 1844 r. z drewnianą dzwonnicą w miejscowości Komarno-Kolonia</w:t>
      </w:r>
      <w:r w:rsidR="00CF706F">
        <w:rPr>
          <w:rStyle w:val="Pogrubienie"/>
          <w:rFonts w:ascii="Times New Roman" w:hAnsi="Times New Roman" w:cs="Times New Roman"/>
          <w:b w:val="0"/>
          <w:bCs w:val="0"/>
        </w:rPr>
        <w:t xml:space="preserve"> (</w:t>
      </w:r>
      <w:r w:rsidRPr="004044FC">
        <w:rPr>
          <w:rStyle w:val="Pogrubienie"/>
          <w:rFonts w:ascii="Times New Roman" w:hAnsi="Times New Roman" w:cs="Times New Roman"/>
          <w:b w:val="0"/>
          <w:bCs w:val="0"/>
        </w:rPr>
        <w:t>Gmina Konstantynów</w:t>
      </w:r>
      <w:r w:rsidR="00CF706F">
        <w:rPr>
          <w:rStyle w:val="Pogrubienie"/>
          <w:rFonts w:ascii="Times New Roman" w:hAnsi="Times New Roman" w:cs="Times New Roman"/>
          <w:b w:val="0"/>
          <w:bCs w:val="0"/>
        </w:rPr>
        <w:t xml:space="preserve">), </w:t>
      </w:r>
      <w:r w:rsidR="00CF706F" w:rsidRPr="004044FC">
        <w:rPr>
          <w:rStyle w:val="Pogrubienie"/>
          <w:rFonts w:ascii="Times New Roman" w:hAnsi="Times New Roman" w:cs="Times New Roman"/>
          <w:b w:val="0"/>
          <w:bCs w:val="0"/>
        </w:rPr>
        <w:t>drewniana cerkiew unicka z XVIII–XIX w. (obecnie kaplica rzymsko-katolicka pw. Niepokalanego Poczęcia NMP) z cmentarzem unickim w Bukowicach, zespół dworski z połowy XIX w. (dwór, park) w Droblinie</w:t>
      </w:r>
      <w:r w:rsidR="00CF706F" w:rsidRPr="00CF706F">
        <w:rPr>
          <w:rStyle w:val="Pogrubienie"/>
          <w:rFonts w:ascii="Times New Roman" w:hAnsi="Times New Roman" w:cs="Times New Roman"/>
          <w:b w:val="0"/>
          <w:bCs w:val="0"/>
        </w:rPr>
        <w:t xml:space="preserve"> </w:t>
      </w:r>
      <w:r w:rsidR="00CF706F">
        <w:rPr>
          <w:rStyle w:val="Pogrubienie"/>
          <w:rFonts w:ascii="Times New Roman" w:hAnsi="Times New Roman" w:cs="Times New Roman"/>
          <w:b w:val="0"/>
          <w:bCs w:val="0"/>
        </w:rPr>
        <w:t>(</w:t>
      </w:r>
      <w:r w:rsidR="00CF706F" w:rsidRPr="004044FC">
        <w:rPr>
          <w:rStyle w:val="Pogrubienie"/>
          <w:rFonts w:ascii="Times New Roman" w:hAnsi="Times New Roman" w:cs="Times New Roman"/>
          <w:b w:val="0"/>
          <w:bCs w:val="0"/>
        </w:rPr>
        <w:t>Gmina Leśna Podlaska</w:t>
      </w:r>
      <w:r w:rsidR="00CF706F">
        <w:rPr>
          <w:rStyle w:val="Pogrubienie"/>
          <w:rFonts w:ascii="Times New Roman" w:hAnsi="Times New Roman" w:cs="Times New Roman"/>
          <w:b w:val="0"/>
          <w:bCs w:val="0"/>
        </w:rPr>
        <w:t xml:space="preserve">), </w:t>
      </w:r>
      <w:r w:rsidR="00CF706F" w:rsidRPr="004044FC">
        <w:rPr>
          <w:rStyle w:val="Pogrubienie"/>
          <w:rFonts w:ascii="Times New Roman" w:hAnsi="Times New Roman" w:cs="Times New Roman"/>
          <w:b w:val="0"/>
          <w:bCs w:val="0"/>
        </w:rPr>
        <w:t>zespół kościoła parafialnego z początku XX w. (kościół pw. św. św. Apostołów Piotra i Pawła z 1907 r., cmentarz kościelny, ogrodzenie, plebania) w Łomazach, drewniana kaplica cmentarna pw. św. Jana z pierwszej połowy XIX w. w Łomazach</w:t>
      </w:r>
      <w:r w:rsidR="00CF706F">
        <w:rPr>
          <w:rStyle w:val="Pogrubienie"/>
          <w:rFonts w:ascii="Times New Roman" w:hAnsi="Times New Roman" w:cs="Times New Roman"/>
          <w:b w:val="0"/>
          <w:bCs w:val="0"/>
        </w:rPr>
        <w:t xml:space="preserve">, </w:t>
      </w:r>
      <w:r w:rsidR="00CF706F" w:rsidRPr="004044FC">
        <w:rPr>
          <w:rStyle w:val="Pogrubienie"/>
          <w:rFonts w:ascii="Times New Roman" w:hAnsi="Times New Roman" w:cs="Times New Roman"/>
          <w:b w:val="0"/>
          <w:bCs w:val="0"/>
        </w:rPr>
        <w:t xml:space="preserve">cmentarz wojenny niemiecko-austriacki </w:t>
      </w:r>
      <w:r w:rsidR="001F4863">
        <w:rPr>
          <w:rStyle w:val="Pogrubienie"/>
          <w:rFonts w:ascii="Times New Roman" w:hAnsi="Times New Roman" w:cs="Times New Roman"/>
          <w:b w:val="0"/>
          <w:bCs w:val="0"/>
        </w:rPr>
        <w:br/>
      </w:r>
      <w:r w:rsidR="00CF706F" w:rsidRPr="004044FC">
        <w:rPr>
          <w:rStyle w:val="Pogrubienie"/>
          <w:rFonts w:ascii="Times New Roman" w:hAnsi="Times New Roman" w:cs="Times New Roman"/>
          <w:b w:val="0"/>
          <w:bCs w:val="0"/>
        </w:rPr>
        <w:t>z I wojny światowej z 1915 r. w Krzewicy, cmentarz powstańców z 1831 r. w miejscowości Manie</w:t>
      </w:r>
      <w:r w:rsidR="00CF706F" w:rsidRPr="00CF706F">
        <w:rPr>
          <w:rStyle w:val="Pogrubienie"/>
          <w:rFonts w:ascii="Times New Roman" w:hAnsi="Times New Roman" w:cs="Times New Roman"/>
          <w:b w:val="0"/>
          <w:bCs w:val="0"/>
        </w:rPr>
        <w:t xml:space="preserve"> </w:t>
      </w:r>
      <w:r w:rsidR="00CF706F">
        <w:rPr>
          <w:rStyle w:val="Pogrubienie"/>
          <w:rFonts w:ascii="Times New Roman" w:hAnsi="Times New Roman" w:cs="Times New Roman"/>
          <w:b w:val="0"/>
          <w:bCs w:val="0"/>
        </w:rPr>
        <w:t>(</w:t>
      </w:r>
      <w:r w:rsidR="00CF706F" w:rsidRPr="004044FC">
        <w:rPr>
          <w:rStyle w:val="Pogrubienie"/>
          <w:rFonts w:ascii="Times New Roman" w:hAnsi="Times New Roman" w:cs="Times New Roman"/>
          <w:b w:val="0"/>
          <w:bCs w:val="0"/>
        </w:rPr>
        <w:t>Gmina Międzyrzec Podlaski</w:t>
      </w:r>
      <w:r w:rsidR="00CF706F">
        <w:rPr>
          <w:rStyle w:val="Pogrubienie"/>
          <w:rFonts w:ascii="Times New Roman" w:hAnsi="Times New Roman" w:cs="Times New Roman"/>
          <w:b w:val="0"/>
          <w:bCs w:val="0"/>
        </w:rPr>
        <w:t xml:space="preserve">), </w:t>
      </w:r>
      <w:r w:rsidR="00CF706F" w:rsidRPr="004044FC">
        <w:rPr>
          <w:rStyle w:val="Pogrubienie"/>
          <w:rFonts w:ascii="Times New Roman" w:hAnsi="Times New Roman" w:cs="Times New Roman"/>
          <w:b w:val="0"/>
          <w:bCs w:val="0"/>
        </w:rPr>
        <w:t>budynek dworca kolejowego z 1868 r. w Chotyłowie, cmentarz wojenny niemiecko-austriacki z I wojny światowej z 1915 r. w miejscowości Dobrynka</w:t>
      </w:r>
      <w:r w:rsidR="00CF706F">
        <w:rPr>
          <w:rStyle w:val="Pogrubienie"/>
          <w:rFonts w:ascii="Times New Roman" w:hAnsi="Times New Roman" w:cs="Times New Roman"/>
          <w:b w:val="0"/>
          <w:bCs w:val="0"/>
        </w:rPr>
        <w:t xml:space="preserve"> (Gmina Piszczac), </w:t>
      </w:r>
      <w:r w:rsidR="00CF706F" w:rsidRPr="004044FC">
        <w:rPr>
          <w:rStyle w:val="Pogrubienie"/>
          <w:rFonts w:ascii="Times New Roman" w:hAnsi="Times New Roman" w:cs="Times New Roman"/>
          <w:b w:val="0"/>
          <w:bCs w:val="0"/>
        </w:rPr>
        <w:t xml:space="preserve">zespół pałacowy z XIX w. (pałac, oranżeria, park) w Cieleśnicy, cerkiew unicka z XIX w. (obecnie kościół rzymsko-katolicki pw. św. Jana) </w:t>
      </w:r>
      <w:r w:rsidR="001F4863">
        <w:rPr>
          <w:rStyle w:val="Pogrubienie"/>
          <w:rFonts w:ascii="Times New Roman" w:hAnsi="Times New Roman" w:cs="Times New Roman"/>
          <w:b w:val="0"/>
          <w:bCs w:val="0"/>
        </w:rPr>
        <w:br/>
      </w:r>
      <w:r w:rsidR="00CF706F" w:rsidRPr="004044FC">
        <w:rPr>
          <w:rStyle w:val="Pogrubienie"/>
          <w:rFonts w:ascii="Times New Roman" w:hAnsi="Times New Roman" w:cs="Times New Roman"/>
          <w:b w:val="0"/>
          <w:bCs w:val="0"/>
        </w:rPr>
        <w:t>z cmentarzem kościelnym w Klonownicy Dużej, cmentarz unicki – prawosławny w Klonownicy Dużej</w:t>
      </w:r>
      <w:r w:rsidR="00B61613">
        <w:rPr>
          <w:rStyle w:val="Pogrubienie"/>
          <w:rFonts w:ascii="Times New Roman" w:hAnsi="Times New Roman" w:cs="Times New Roman"/>
          <w:b w:val="0"/>
          <w:bCs w:val="0"/>
        </w:rPr>
        <w:t xml:space="preserve"> (Gmina Rokitno), </w:t>
      </w:r>
      <w:r w:rsidR="00B61613" w:rsidRPr="004044FC">
        <w:rPr>
          <w:rStyle w:val="Pogrubienie"/>
          <w:rFonts w:ascii="Times New Roman" w:hAnsi="Times New Roman" w:cs="Times New Roman"/>
          <w:b w:val="0"/>
          <w:bCs w:val="0"/>
        </w:rPr>
        <w:t>drewniany kościół pw. św. Stanisława z 1908 r. w Rossoszu, cmentarz unicko-katolicki z lat 1840–1913 w Rossoszu</w:t>
      </w:r>
      <w:r w:rsidR="00F5145F">
        <w:rPr>
          <w:rStyle w:val="Pogrubienie"/>
          <w:rFonts w:ascii="Times New Roman" w:hAnsi="Times New Roman" w:cs="Times New Roman"/>
          <w:b w:val="0"/>
          <w:bCs w:val="0"/>
        </w:rPr>
        <w:t>,</w:t>
      </w:r>
      <w:r w:rsidR="00B61613" w:rsidRPr="00B61613">
        <w:rPr>
          <w:rStyle w:val="Pogrubienie"/>
          <w:rFonts w:ascii="Times New Roman" w:hAnsi="Times New Roman" w:cs="Times New Roman"/>
          <w:b w:val="0"/>
          <w:bCs w:val="0"/>
        </w:rPr>
        <w:t xml:space="preserve"> </w:t>
      </w:r>
      <w:r w:rsidR="00B61613" w:rsidRPr="004044FC">
        <w:rPr>
          <w:rStyle w:val="Pogrubienie"/>
          <w:rFonts w:ascii="Times New Roman" w:hAnsi="Times New Roman" w:cs="Times New Roman"/>
          <w:b w:val="0"/>
          <w:bCs w:val="0"/>
        </w:rPr>
        <w:t>drewniana cerkiew unicka z 1750 r. (obecnie kościół rzymsko-katolicki pw. Przemienienia Pańskiego) w Jabłecznej, zespół klasztoru prawosławnego z XIX–XX w. (cerkiew pw. św. Onufrego, drewniana kaplica pw. Świętego Ducha, drewniana kaplica pw. Wniebowzięcia MB, klasztor, budynek przyklasztorny, dzwonnica-brama, ogrodzenie, ogród i otoczenie krajobrazowe) w Jabłecznej</w:t>
      </w:r>
      <w:r w:rsidR="00B61613">
        <w:rPr>
          <w:rStyle w:val="Pogrubienie"/>
          <w:rFonts w:ascii="Times New Roman" w:hAnsi="Times New Roman" w:cs="Times New Roman"/>
          <w:b w:val="0"/>
          <w:bCs w:val="0"/>
        </w:rPr>
        <w:t xml:space="preserve"> (Gmina Sławatycze), </w:t>
      </w:r>
      <w:r w:rsidR="00B61613" w:rsidRPr="004044FC">
        <w:rPr>
          <w:rStyle w:val="Pogrubienie"/>
          <w:rFonts w:ascii="Times New Roman" w:hAnsi="Times New Roman" w:cs="Times New Roman"/>
          <w:b w:val="0"/>
          <w:bCs w:val="0"/>
        </w:rPr>
        <w:t>cerkiew unicka z 1796 r. (obecnie kościół rzymsko-katolicki pw. Narodzenia NMP) z dzwonnicą z drugiej połowy XVIII w. w Motwicy, figura przydrożna św. Jana Nepomucena oraz figura przydrożna z Matką Boską z XIX w. w miejscowości Motwica</w:t>
      </w:r>
      <w:r w:rsidR="00B61613">
        <w:rPr>
          <w:rStyle w:val="Pogrubienie"/>
          <w:rFonts w:ascii="Times New Roman" w:hAnsi="Times New Roman" w:cs="Times New Roman"/>
          <w:b w:val="0"/>
          <w:bCs w:val="0"/>
        </w:rPr>
        <w:t xml:space="preserve"> (Gmina Sosnówka), </w:t>
      </w:r>
      <w:r w:rsidR="00B61613" w:rsidRPr="004044FC">
        <w:rPr>
          <w:rStyle w:val="Pogrubienie"/>
          <w:rFonts w:ascii="Times New Roman" w:hAnsi="Times New Roman" w:cs="Times New Roman"/>
          <w:b w:val="0"/>
          <w:bCs w:val="0"/>
        </w:rPr>
        <w:t>drewniana cerkiew prawosławna z XIX w. pw. Podwyższenia Krzyża Pańskiego w miejscowości Dobratycze-Kolonia, fortyfikacje Twierdzy Brzeskiej z lat 1914–1915 (bateria międzyfortowa Struga, bateria międzyfortowa Kolonia Dobratycze) w miejscowości Dobratycze-Kolonia</w:t>
      </w:r>
      <w:r w:rsidR="00B61613">
        <w:rPr>
          <w:rStyle w:val="Pogrubienie"/>
          <w:rFonts w:ascii="Times New Roman" w:hAnsi="Times New Roman" w:cs="Times New Roman"/>
          <w:b w:val="0"/>
          <w:bCs w:val="0"/>
        </w:rPr>
        <w:t xml:space="preserve"> (Gmina Terespol), </w:t>
      </w:r>
      <w:r w:rsidR="00B61613" w:rsidRPr="004044FC">
        <w:rPr>
          <w:rStyle w:val="Pogrubienie"/>
          <w:rFonts w:ascii="Times New Roman" w:hAnsi="Times New Roman" w:cs="Times New Roman"/>
          <w:b w:val="0"/>
          <w:bCs w:val="0"/>
        </w:rPr>
        <w:t>zespół kościoła pw. św. Anny z lat 1879–1882 (kościół, kostnica, cmentarz kościelny, ogrodzenie z bramą) w miejscowości Tuczna</w:t>
      </w:r>
      <w:r w:rsidR="00B61613">
        <w:rPr>
          <w:rStyle w:val="Pogrubienie"/>
          <w:rFonts w:ascii="Times New Roman" w:hAnsi="Times New Roman" w:cs="Times New Roman"/>
          <w:b w:val="0"/>
          <w:bCs w:val="0"/>
        </w:rPr>
        <w:t>,</w:t>
      </w:r>
      <w:r w:rsidR="00B61613" w:rsidRPr="00B61613">
        <w:rPr>
          <w:rStyle w:val="Pogrubienie"/>
          <w:rFonts w:ascii="Times New Roman" w:hAnsi="Times New Roman" w:cs="Times New Roman"/>
          <w:b w:val="0"/>
          <w:bCs w:val="0"/>
        </w:rPr>
        <w:t xml:space="preserve"> </w:t>
      </w:r>
      <w:r w:rsidR="00B61613" w:rsidRPr="004044FC">
        <w:rPr>
          <w:rStyle w:val="Pogrubienie"/>
          <w:rFonts w:ascii="Times New Roman" w:hAnsi="Times New Roman" w:cs="Times New Roman"/>
          <w:b w:val="0"/>
          <w:bCs w:val="0"/>
        </w:rPr>
        <w:t>dwie kaplice przydrożne (kapliczka drewniana z 1866 r., kapliczka murowana z 1951 r.) w miejscowości Horodyszcze, zespół pałacowy z XVIII–XIX w. (pałac, park ze stawami) w miejscowości Horodyszcze</w:t>
      </w:r>
      <w:r w:rsidR="00B61613">
        <w:rPr>
          <w:rStyle w:val="Pogrubienie"/>
          <w:rFonts w:ascii="Times New Roman" w:hAnsi="Times New Roman" w:cs="Times New Roman"/>
          <w:b w:val="0"/>
          <w:bCs w:val="0"/>
        </w:rPr>
        <w:t xml:space="preserve"> (Gmina Wisznice), </w:t>
      </w:r>
      <w:r w:rsidR="00B61613" w:rsidRPr="004044FC">
        <w:rPr>
          <w:rStyle w:val="Pogrubienie"/>
          <w:rFonts w:ascii="Times New Roman" w:hAnsi="Times New Roman" w:cs="Times New Roman"/>
          <w:b w:val="0"/>
          <w:bCs w:val="0"/>
        </w:rPr>
        <w:t xml:space="preserve">drewniany kościół pw. Chrystusa Króla z lat 1942–1944 z cmentarzem w Dobryniu Dużym, cerkiew prawosławna </w:t>
      </w:r>
      <w:r w:rsidR="001F4863">
        <w:rPr>
          <w:rStyle w:val="Pogrubienie"/>
          <w:rFonts w:ascii="Times New Roman" w:hAnsi="Times New Roman" w:cs="Times New Roman"/>
          <w:b w:val="0"/>
          <w:bCs w:val="0"/>
        </w:rPr>
        <w:br/>
      </w:r>
      <w:r w:rsidR="00B61613" w:rsidRPr="004044FC">
        <w:rPr>
          <w:rStyle w:val="Pogrubienie"/>
          <w:rFonts w:ascii="Times New Roman" w:hAnsi="Times New Roman" w:cs="Times New Roman"/>
          <w:b w:val="0"/>
          <w:bCs w:val="0"/>
        </w:rPr>
        <w:t>z XIX w. (obecnie kościół rzymsko-katolicki pw. Przemienienia Pańskiego) z cmentarzem w miejscowości Horbów</w:t>
      </w:r>
      <w:r w:rsidR="00B61613">
        <w:rPr>
          <w:rStyle w:val="Pogrubienie"/>
          <w:rFonts w:ascii="Times New Roman" w:hAnsi="Times New Roman" w:cs="Times New Roman"/>
          <w:b w:val="0"/>
          <w:bCs w:val="0"/>
        </w:rPr>
        <w:t xml:space="preserve"> (Gmina Zalesie), </w:t>
      </w:r>
      <w:r w:rsidR="0042557E" w:rsidRPr="004044FC">
        <w:rPr>
          <w:rStyle w:val="Pogrubienie"/>
          <w:rFonts w:ascii="Times New Roman" w:hAnsi="Times New Roman" w:cs="Times New Roman"/>
          <w:b w:val="0"/>
          <w:bCs w:val="0"/>
        </w:rPr>
        <w:t>układ urbanistyczny miasta (XV–XIX w.), zespół kościoła parafialnego z XVII–XX w. (kościół pw. św. Mikołaja, dzwonnica, ogrodzenie z bramą, plebania, szkoła z kaplicą), zespół cerkwi unickiej z XVIII w. (cerkiew – obecnie kościół rzymsko-katolicki pw. św. Józefa, dzwonnica, ogrodzenia z bramą, cmentarz kościelny)</w:t>
      </w:r>
      <w:r w:rsidR="0042557E">
        <w:rPr>
          <w:rStyle w:val="Pogrubienie"/>
          <w:rFonts w:ascii="Times New Roman" w:hAnsi="Times New Roman" w:cs="Times New Roman"/>
          <w:b w:val="0"/>
          <w:bCs w:val="0"/>
        </w:rPr>
        <w:t xml:space="preserve"> (Miasto Międzyrzec Podlaski), </w:t>
      </w:r>
      <w:r w:rsidR="0042557E" w:rsidRPr="004044FC">
        <w:rPr>
          <w:rStyle w:val="Pogrubienie"/>
          <w:rFonts w:ascii="Times New Roman" w:hAnsi="Times New Roman" w:cs="Times New Roman"/>
          <w:b w:val="0"/>
          <w:bCs w:val="0"/>
        </w:rPr>
        <w:t>cerkiew prawosławna pw. św. Jana Teologa z XVIII w</w:t>
      </w:r>
      <w:r w:rsidR="001F4863">
        <w:rPr>
          <w:rStyle w:val="Pogrubienie"/>
          <w:rFonts w:ascii="Times New Roman" w:hAnsi="Times New Roman" w:cs="Times New Roman"/>
          <w:b w:val="0"/>
          <w:bCs w:val="0"/>
        </w:rPr>
        <w:t>.</w:t>
      </w:r>
      <w:r w:rsidR="0042557E" w:rsidRPr="004044FC">
        <w:rPr>
          <w:rStyle w:val="Pogrubienie"/>
          <w:rFonts w:ascii="Times New Roman" w:hAnsi="Times New Roman" w:cs="Times New Roman"/>
          <w:b w:val="0"/>
          <w:bCs w:val="0"/>
        </w:rPr>
        <w:t xml:space="preserve"> z dzwonnicą, z cmentarzem cerkiewnym, drewniana kaplica cmentarna na cmentarzu prawosławnym z 1892 r.</w:t>
      </w:r>
      <w:r w:rsidR="0042557E">
        <w:rPr>
          <w:rStyle w:val="Pogrubienie"/>
          <w:rFonts w:ascii="Times New Roman" w:hAnsi="Times New Roman" w:cs="Times New Roman"/>
          <w:b w:val="0"/>
          <w:bCs w:val="0"/>
        </w:rPr>
        <w:t xml:space="preserve"> (Miasto Terespol)</w:t>
      </w:r>
      <w:r w:rsidR="001F4863">
        <w:rPr>
          <w:rStyle w:val="Pogrubienie"/>
          <w:rFonts w:ascii="Times New Roman" w:hAnsi="Times New Roman" w:cs="Times New Roman"/>
          <w:b w:val="0"/>
          <w:bCs w:val="0"/>
        </w:rPr>
        <w:t>.</w:t>
      </w:r>
    </w:p>
    <w:p w14:paraId="01744378" w14:textId="77777777" w:rsidR="004044FC" w:rsidRPr="004044FC" w:rsidRDefault="004044FC" w:rsidP="004044FC">
      <w:pPr>
        <w:spacing w:after="0" w:line="276" w:lineRule="auto"/>
        <w:ind w:firstLine="709"/>
        <w:jc w:val="both"/>
        <w:rPr>
          <w:rFonts w:ascii="Times New Roman" w:hAnsi="Times New Roman" w:cs="Times New Roman"/>
        </w:rPr>
      </w:pPr>
      <w:r w:rsidRPr="004044FC">
        <w:rPr>
          <w:rFonts w:ascii="Times New Roman" w:hAnsi="Times New Roman" w:cs="Times New Roman"/>
        </w:rPr>
        <w:lastRenderedPageBreak/>
        <w:t>Niewątpliwą atrakcją turystyczną obszaru jest Stadnina Koni w Janowie Podlaskim. Została założona w 1817 r. w miejscowości o nazwie Wygoda. Jest to najstarsza państwowa stadnina koni w Polsce, która słynie przede wszystkim z koni arabskich i angloarabskich. Corocznie w sierpniu odbywają się Dni Konia Arabskiego, na które składa się: Narodowy Pokaz Koni Arabskich Czystej Krwi, Aukcja Pride of Poland i Letnia Aukcja Koni Arabskich oraz wizyty w stadninach w Michałowie i Białce. Stadnina ma w swojej ofercie również możliwość zwiedzania zabytkowego obiektu z przewodnikiem, jazdę konną, hipoterapię oraz przejazd bryczką lub wozem, a także zimowe atrakcje w postaci kuligów</w:t>
      </w:r>
      <w:r w:rsidRPr="004044FC">
        <w:rPr>
          <w:rStyle w:val="Odwoanieprzypisudolnego"/>
          <w:rFonts w:ascii="Times New Roman" w:hAnsi="Times New Roman" w:cs="Times New Roman"/>
        </w:rPr>
        <w:footnoteReference w:id="29"/>
      </w:r>
      <w:r w:rsidRPr="004044FC">
        <w:rPr>
          <w:rFonts w:ascii="Times New Roman" w:hAnsi="Times New Roman" w:cs="Times New Roman"/>
        </w:rPr>
        <w:t>.</w:t>
      </w:r>
    </w:p>
    <w:p w14:paraId="7E9AB686" w14:textId="644D0997" w:rsidR="00A17173" w:rsidRPr="004044FC" w:rsidRDefault="004044FC" w:rsidP="00071253">
      <w:pPr>
        <w:spacing w:after="120" w:line="276" w:lineRule="auto"/>
        <w:ind w:firstLine="709"/>
        <w:jc w:val="both"/>
        <w:rPr>
          <w:rStyle w:val="markedcontent"/>
          <w:rFonts w:ascii="Times New Roman" w:hAnsi="Times New Roman" w:cs="Times New Roman"/>
        </w:rPr>
      </w:pPr>
      <w:r w:rsidRPr="004044FC">
        <w:rPr>
          <w:rFonts w:ascii="Times New Roman" w:hAnsi="Times New Roman" w:cs="Times New Roman"/>
        </w:rPr>
        <w:t>Ze względu na położenie przy jednej z większych rzek Polski – Bug, atrakcyjną formą aktywnego spędzania czasu na obszarze są spływy kajakowe, trasy spacerowe, rowerowe – Nadburzański Szlak Rowerowy (trasa 290 km z Janowa Podlaskiego do Hrubieszowa, wzdłuż rzeki Bug</w:t>
      </w:r>
      <w:r w:rsidRPr="004044FC">
        <w:rPr>
          <w:rStyle w:val="Odwoanieprzypisudolnego"/>
          <w:rFonts w:ascii="Times New Roman" w:hAnsi="Times New Roman" w:cs="Times New Roman"/>
        </w:rPr>
        <w:footnoteReference w:id="30"/>
      </w:r>
      <w:r w:rsidRPr="004044FC">
        <w:rPr>
          <w:rFonts w:ascii="Times New Roman" w:hAnsi="Times New Roman" w:cs="Times New Roman"/>
        </w:rPr>
        <w:t>), ścieżki konne, dzięki którym można docenić walory turystyczne i cieszyć się czystym powietrzem.</w:t>
      </w:r>
    </w:p>
    <w:p w14:paraId="10592E2A" w14:textId="77777777" w:rsidR="00A17173" w:rsidRDefault="00A17173" w:rsidP="001966CB">
      <w:pPr>
        <w:pStyle w:val="podnagowek"/>
        <w:numPr>
          <w:ilvl w:val="1"/>
          <w:numId w:val="16"/>
        </w:numPr>
        <w:spacing w:after="120" w:line="276" w:lineRule="auto"/>
        <w:ind w:left="924" w:hanging="357"/>
        <w:outlineLvl w:val="9"/>
        <w:rPr>
          <w:sz w:val="22"/>
          <w:szCs w:val="22"/>
        </w:rPr>
      </w:pPr>
      <w:r>
        <w:rPr>
          <w:sz w:val="22"/>
          <w:szCs w:val="22"/>
        </w:rPr>
        <w:t>Walory przyrodnicze i krajobrazowe</w:t>
      </w:r>
    </w:p>
    <w:p w14:paraId="752798D9" w14:textId="77777777" w:rsidR="00071253" w:rsidRDefault="00071253" w:rsidP="00071253">
      <w:pPr>
        <w:spacing w:after="0" w:line="276" w:lineRule="auto"/>
        <w:ind w:firstLine="709"/>
        <w:jc w:val="both"/>
        <w:rPr>
          <w:rFonts w:ascii="Times New Roman" w:hAnsi="Times New Roman" w:cs="Times New Roman"/>
          <w:color w:val="000000"/>
          <w:szCs w:val="20"/>
        </w:rPr>
      </w:pPr>
      <w:r w:rsidRPr="00C24581">
        <w:rPr>
          <w:rFonts w:ascii="Times New Roman" w:hAnsi="Times New Roman" w:cs="Times New Roman"/>
          <w:szCs w:val="20"/>
        </w:rPr>
        <w:t>Pod względem fizycznogeograficznym, analizowany obszar położony jest w megaregio</w:t>
      </w:r>
      <w:r>
        <w:rPr>
          <w:rFonts w:ascii="Times New Roman" w:hAnsi="Times New Roman" w:cs="Times New Roman"/>
          <w:szCs w:val="20"/>
        </w:rPr>
        <w:t>nach Pozaalpejska Europa Środkowa i Niż Wschodnioeuropejski, prowincjach Niż Środkowoeuropejski oraz Niż Wschodniobałtycko-Białoruski, podprowincjach Niziny Środkowopolskie i Polesie, w makroregionach: Nizina Południowopodlaska oraz Polesie Zachodnie, w mezoregionach: Podlaski Przełom Bugu, Równina Łukowska, Polesie Brzeskie, Równina Kodeńska, Zaklęsłość Łomaska</w:t>
      </w:r>
      <w:r w:rsidRPr="00C24581">
        <w:rPr>
          <w:rFonts w:ascii="Times New Roman" w:hAnsi="Times New Roman" w:cs="Times New Roman"/>
          <w:szCs w:val="20"/>
          <w:vertAlign w:val="superscript"/>
        </w:rPr>
        <w:footnoteReference w:id="31"/>
      </w:r>
      <w:r w:rsidRPr="00C24581">
        <w:rPr>
          <w:rFonts w:ascii="Times New Roman" w:hAnsi="Times New Roman" w:cs="Times New Roman"/>
          <w:szCs w:val="20"/>
        </w:rPr>
        <w:t xml:space="preserve">. </w:t>
      </w:r>
      <w:r w:rsidRPr="00C24581">
        <w:rPr>
          <w:rFonts w:ascii="Times New Roman" w:hAnsi="Times New Roman" w:cs="Times New Roman"/>
          <w:color w:val="000000"/>
          <w:szCs w:val="20"/>
        </w:rPr>
        <w:t xml:space="preserve">Obszar odznacza się dużą spójnością przyrodniczą, która wynika ze zbliżonych bądź tożsamych uwarunkowań poszczególnych elementów środowiska. </w:t>
      </w:r>
    </w:p>
    <w:p w14:paraId="0B1FB8D8" w14:textId="77777777" w:rsidR="00071253" w:rsidRDefault="00071253" w:rsidP="00071253">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szCs w:val="20"/>
        </w:rPr>
        <w:t xml:space="preserve">Rzeźba terenu została ukształtowana w czasie najmłodszego okresu geologicznego – czwartorzędu – </w:t>
      </w:r>
      <w:r>
        <w:rPr>
          <w:rFonts w:ascii="Times New Roman" w:hAnsi="Times New Roman" w:cs="Times New Roman"/>
          <w:color w:val="000000"/>
          <w:szCs w:val="20"/>
        </w:rPr>
        <w:br/>
        <w:t xml:space="preserve">w okresie działania lądolodu, stąd też tereny położone pomiędzy Bugiem a Krzną charakteryzują się występowaniem moren czołowych. </w:t>
      </w:r>
      <w:r w:rsidRPr="00F82FB9">
        <w:rPr>
          <w:rFonts w:ascii="Times New Roman" w:hAnsi="Times New Roman" w:cs="Times New Roman"/>
          <w:color w:val="000000"/>
          <w:szCs w:val="20"/>
        </w:rPr>
        <w:t>Tereny na południe od Krzny stanowią natomiast rozległe równiny, z nielicznymi pagórkami piaszczysto</w:t>
      </w:r>
      <w:r>
        <w:rPr>
          <w:rFonts w:ascii="Times New Roman" w:hAnsi="Times New Roman" w:cs="Times New Roman"/>
          <w:color w:val="000000"/>
          <w:szCs w:val="20"/>
        </w:rPr>
        <w:t>-</w:t>
      </w:r>
      <w:r w:rsidRPr="00F82FB9">
        <w:rPr>
          <w:rFonts w:ascii="Times New Roman" w:hAnsi="Times New Roman" w:cs="Times New Roman"/>
          <w:color w:val="000000"/>
          <w:szCs w:val="20"/>
        </w:rPr>
        <w:t>żwirowymi.</w:t>
      </w:r>
      <w:r>
        <w:rPr>
          <w:rFonts w:ascii="Times New Roman" w:hAnsi="Times New Roman" w:cs="Times New Roman"/>
          <w:color w:val="000000"/>
          <w:szCs w:val="20"/>
        </w:rPr>
        <w:t xml:space="preserve"> </w:t>
      </w:r>
      <w:r>
        <w:rPr>
          <w:rFonts w:ascii="Times New Roman" w:hAnsi="Times New Roman" w:cs="Times New Roman"/>
          <w:color w:val="000000" w:themeColor="text1"/>
        </w:rPr>
        <w:t xml:space="preserve">Ukształtowanie terenu, na którym położone są gminy obszaru LGD jest płaskie, prócz doliny Bugu, która wcina się w otaczające ją tereny na głębokość 30–60 m.  Na terenie Podlaskiego Przełomu Bugu znajduje się najbardziej wysunięta część obszaru. Północno-zachodnia część obszaru LGD położona jest w obrębie Równiny Łukowskiej – jest to obszar, na którym dominuje krajobraz równinny, z dolinami rzek. </w:t>
      </w:r>
    </w:p>
    <w:p w14:paraId="5B02DB42" w14:textId="77777777" w:rsidR="00071253" w:rsidRPr="009C4BAA" w:rsidRDefault="00071253" w:rsidP="00071253">
      <w:pPr>
        <w:spacing w:after="0" w:line="276" w:lineRule="auto"/>
        <w:ind w:firstLine="708"/>
        <w:jc w:val="both"/>
        <w:rPr>
          <w:rFonts w:ascii="Times New Roman" w:hAnsi="Times New Roman" w:cs="Times New Roman"/>
        </w:rPr>
      </w:pPr>
      <w:r>
        <w:rPr>
          <w:rFonts w:ascii="Times New Roman" w:hAnsi="Times New Roman" w:cs="Times New Roman"/>
        </w:rPr>
        <w:t xml:space="preserve">Obszar leży w podlasko-poleskim regionie klimatycznym. Cechuje go relatywnie mała liczba dni z pogodą umiarkowanie ciepłą oraz umiarkowanie ciepłą z opadem. Na terenie powiatu jak i w całym kraju przeważają wiatry zachodnie, a także południowo-zachodnie, które niosą powietrze wilgotne, zimą – cieplejsze, a latem – chłodniejsze, niż to napływające ze wschodu. Klimat powiatu wykazuje cechy kontynentalnego, co przejawia się w dużej rocznej amplitudzie temperatury, przewadze opadów w półroczu letnim oraz skróceniu okresów przejściowych, a także relatywnie krótkim okresem wegetacyjnym. </w:t>
      </w:r>
    </w:p>
    <w:p w14:paraId="17A253F0" w14:textId="77777777" w:rsidR="00071253" w:rsidRDefault="00071253" w:rsidP="00071253">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b/>
        <w:t xml:space="preserve">Na obszarze LGD występują głównie gleby brunatne, bielicowe, skrytobielicowe i aluwialne. Na obszarze Bialskopodlaskiej LGD dominują gleby o niskich klasach bonitacyjnych. Najczęściej występują gleby IV i V klasy bonitacyjnej, rzadziej występują gleby I i II klasy. Ponad 80% powierzchni gruntów ornych obszaru LGD to klasy IV–VI. Największą rzeką obszaru LGD jest Bug, który jest jednocześnie wschodnią i północną granicą obszaru. Drugą największą rzeką jest największy dopływ Bugu – Krzna. Bug należy do rzek o typie nieregularnym, co powoduje, że posiada on zróżnicowaną szerokość koryta i głębokość nurtu. Przez teren obszaru przepływa 29 rzek </w:t>
      </w:r>
      <w:r>
        <w:rPr>
          <w:rFonts w:ascii="Times New Roman" w:hAnsi="Times New Roman" w:cs="Times New Roman"/>
          <w:color w:val="000000" w:themeColor="text1"/>
        </w:rPr>
        <w:br/>
        <w:t xml:space="preserve">o łącznej długości około 540 km oraz przebiega 17-kilometrowy odcinek największego kanału nawadniająco-odwadniającego Wieprz–Krzna. Woda pozyskiwana z kanału wykorzystywana jest do nawadniania łąk. </w:t>
      </w:r>
    </w:p>
    <w:p w14:paraId="497AD350" w14:textId="77777777" w:rsidR="00071253" w:rsidRPr="00071253" w:rsidRDefault="00071253" w:rsidP="00071253">
      <w:pPr>
        <w:shd w:val="clear" w:color="auto" w:fill="FFFFFF"/>
        <w:spacing w:after="0" w:line="276" w:lineRule="auto"/>
        <w:ind w:firstLine="709"/>
        <w:jc w:val="both"/>
        <w:rPr>
          <w:rFonts w:ascii="Times New Roman" w:hAnsi="Times New Roman" w:cs="Times New Roman"/>
          <w:color w:val="000000" w:themeColor="text1"/>
        </w:rPr>
      </w:pPr>
      <w:r w:rsidRPr="004B66FA">
        <w:rPr>
          <w:rFonts w:ascii="Times New Roman" w:hAnsi="Times New Roman" w:cs="Times New Roman"/>
          <w:color w:val="000000" w:themeColor="text1"/>
        </w:rPr>
        <w:t xml:space="preserve">Zgodnie z danymi Centralnego Rejestru Form Ochrony Przyrody prowadzonego przez Generalną Dyrekcję </w:t>
      </w:r>
      <w:r w:rsidRPr="00071253">
        <w:rPr>
          <w:rFonts w:ascii="Times New Roman" w:hAnsi="Times New Roman" w:cs="Times New Roman"/>
          <w:color w:val="000000" w:themeColor="text1"/>
        </w:rPr>
        <w:t>Ochrony Środowiska, na obszarze objętym LGD znajdują się następujące formy ochrony przyrody i krajobrazu</w:t>
      </w:r>
      <w:r w:rsidRPr="00071253">
        <w:rPr>
          <w:rStyle w:val="Odwoanieprzypisudolnego"/>
          <w:rFonts w:ascii="Times New Roman" w:hAnsi="Times New Roman" w:cs="Times New Roman"/>
          <w:color w:val="000000" w:themeColor="text1"/>
        </w:rPr>
        <w:footnoteReference w:id="32"/>
      </w:r>
      <w:r w:rsidRPr="00071253">
        <w:rPr>
          <w:rFonts w:ascii="Times New Roman" w:hAnsi="Times New Roman" w:cs="Times New Roman"/>
          <w:color w:val="000000" w:themeColor="text1"/>
        </w:rPr>
        <w:t>:</w:t>
      </w:r>
    </w:p>
    <w:p w14:paraId="08097597"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Park Krajobrazowy Podlaski Przełom Bugu (gminy Janów Podlaski, Konstantynów, Rokitno, Terespol, Zalesie);</w:t>
      </w:r>
    </w:p>
    <w:p w14:paraId="6DF0C6F1"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Nadbużański Obszar Chronionego Krajobrazu (gminy Kodeń, Sławatycze, Terespol, Miasto Terespol);</w:t>
      </w:r>
    </w:p>
    <w:p w14:paraId="490D0862"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rezerwat przyrody „Dobryń” (Gmina Zalesie);</w:t>
      </w:r>
    </w:p>
    <w:p w14:paraId="140762C2"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lastRenderedPageBreak/>
        <w:t>rezerwat przyrody „Liski” (Gmina Drelów);</w:t>
      </w:r>
    </w:p>
    <w:p w14:paraId="7A646711"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rezerwat przyrody „Omelno” (Gmina Drelów);</w:t>
      </w:r>
    </w:p>
    <w:p w14:paraId="78D2F906"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rezerwat przyrody „Łęg Dębowy koło Janowa Podlaskiego” (Gmina Janów Podlaski);</w:t>
      </w:r>
    </w:p>
    <w:p w14:paraId="50A85324"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rezerwat przyrody „Sugry” im. Janusza Szostakiewicza (Gmina Kodeń);</w:t>
      </w:r>
    </w:p>
    <w:p w14:paraId="648A5E93"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rezerwat przyrody „Stary Las” (Gmina Konstantynów);</w:t>
      </w:r>
    </w:p>
    <w:p w14:paraId="2B5B06B8"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 xml:space="preserve">rezerwat przyrody „Chmielinne” (Gmina Leśna Podlaska); </w:t>
      </w:r>
    </w:p>
    <w:p w14:paraId="5E1D8819"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rezerwat przyrody „Czapli Stóg” (Gmina Terespol);</w:t>
      </w:r>
    </w:p>
    <w:p w14:paraId="2DFB1D52"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rezerwat przyrody „Szwajcaria Podlaska” (Gmina Terespol);</w:t>
      </w:r>
    </w:p>
    <w:p w14:paraId="15A09E65"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Obuwik w Uroczysku Świdów (Gmina Drelów);</w:t>
      </w:r>
    </w:p>
    <w:p w14:paraId="4DE946BB"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Ostoja Nadbużańska (gminy Janów Podlaski, Konstantynów, Rokitno, Terespol);</w:t>
      </w:r>
    </w:p>
    <w:p w14:paraId="094B5D10"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Dolina Dolnego Bugu (gminy Janów Podlaski, Konstantynów, Rokitno, Terespol);</w:t>
      </w:r>
    </w:p>
    <w:p w14:paraId="2B3DDC38"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Uroczysko Mosty-Zahajki (Gmina Sosnówka);</w:t>
      </w:r>
    </w:p>
    <w:p w14:paraId="7F362D07"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Poleska Dolina Bugu (gminy Kodeń, Sławatycze);</w:t>
      </w:r>
    </w:p>
    <w:p w14:paraId="5C6A59D5"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Dolina Środkowego Bugu (gminy Kodeń, Sławatycze, Terespol);</w:t>
      </w:r>
    </w:p>
    <w:p w14:paraId="7705169E"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Terespol (Gmina Terespol);</w:t>
      </w:r>
    </w:p>
    <w:p w14:paraId="1941AE3A"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Horodyszcze (Gmina Wisznice);</w:t>
      </w:r>
    </w:p>
    <w:p w14:paraId="07C5A03F"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Zbiornik Podedwórze (Gmina Wisznice);</w:t>
      </w:r>
    </w:p>
    <w:p w14:paraId="43A134B4"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Dobryń (Gmina Zalesie);</w:t>
      </w:r>
    </w:p>
    <w:p w14:paraId="1A6FB07D"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obszar Natura 2000 Dolina Krzny</w:t>
      </w:r>
      <w:r w:rsidRPr="00071253">
        <w:rPr>
          <w:rFonts w:ascii="Times New Roman" w:hAnsi="Times New Roman" w:cs="Times New Roman"/>
          <w:sz w:val="20"/>
          <w:szCs w:val="20"/>
        </w:rPr>
        <w:t xml:space="preserve"> </w:t>
      </w:r>
      <w:r w:rsidRPr="00071253">
        <w:rPr>
          <w:rStyle w:val="markedcontent"/>
          <w:rFonts w:ascii="Times New Roman" w:hAnsi="Times New Roman" w:cs="Times New Roman"/>
        </w:rPr>
        <w:t>(Gmina Zalesie);</w:t>
      </w:r>
    </w:p>
    <w:p w14:paraId="49D26FBF" w14:textId="77777777" w:rsidR="00071253" w:rsidRPr="00071253" w:rsidRDefault="00071253" w:rsidP="00CD2D87">
      <w:pPr>
        <w:pStyle w:val="Akapitzlist"/>
        <w:numPr>
          <w:ilvl w:val="0"/>
          <w:numId w:val="51"/>
        </w:numPr>
        <w:spacing w:after="0"/>
        <w:rPr>
          <w:rStyle w:val="markedcontent"/>
          <w:rFonts w:ascii="Times New Roman" w:hAnsi="Times New Roman" w:cs="Times New Roman"/>
        </w:rPr>
      </w:pPr>
      <w:r w:rsidRPr="00071253">
        <w:rPr>
          <w:rStyle w:val="markedcontent"/>
          <w:rFonts w:ascii="Times New Roman" w:hAnsi="Times New Roman" w:cs="Times New Roman"/>
        </w:rPr>
        <w:t>268 pomników przyrody (49 – Gmina Biała Podlaska, 26 – Gmina Drelów, 27 – Gmina Janów Podlaski, 8 – Gmina Kodeń, 16 – Gmina Konstantynów, 23 – Gmina Leśna Podlaska, 7 – Gmina Łomazy, 4 – Miasto Międzyrzec Podlaski, 12 – Gmina Międzyrzec Podlaski, 11 – Gmina Piszczac, 37 – Gmina Rokitno, 2 – Gmina Rossosz, 3 – Gmina Sławatycze, 6 – Gmina Sosnówka, 11 – Gmina Terespol, 14 – Gmina Wisznice, 12 – Gmina Zalesie);</w:t>
      </w:r>
    </w:p>
    <w:p w14:paraId="2915BF0A" w14:textId="77777777" w:rsidR="00071253" w:rsidRPr="00071253" w:rsidRDefault="00071253" w:rsidP="00015FCF">
      <w:pPr>
        <w:pStyle w:val="Akapitzlist"/>
        <w:numPr>
          <w:ilvl w:val="0"/>
          <w:numId w:val="51"/>
        </w:numPr>
        <w:spacing w:after="0"/>
        <w:rPr>
          <w:rFonts w:ascii="Times New Roman" w:hAnsi="Times New Roman" w:cs="Times New Roman"/>
        </w:rPr>
      </w:pPr>
      <w:r w:rsidRPr="00071253">
        <w:rPr>
          <w:rStyle w:val="markedcontent"/>
          <w:rFonts w:ascii="Times New Roman" w:hAnsi="Times New Roman" w:cs="Times New Roman"/>
        </w:rPr>
        <w:t>35 użytków ekologicznych (3 – Gmina Biała Podlaska, 9 – Gmina Drelów, 1 – Gmina Janów Podlaski, 3 – Gmina Kodeń, 1 – Gmina Łomazy, 1 – Miasto Międzyrzec Podlaski, 6 – Gmina Międzyrzec Podlaski, 3 – Gmina Piszczac, 1 – Gmina Rokitno, 1 – Gmina Rossosz, 6 – Gmina Zalesie).</w:t>
      </w:r>
    </w:p>
    <w:p w14:paraId="117407F9" w14:textId="25977C14" w:rsidR="00BE350C" w:rsidRDefault="00071253" w:rsidP="00BE350C">
      <w:pPr>
        <w:spacing w:after="0" w:line="276" w:lineRule="auto"/>
        <w:ind w:firstLine="708"/>
        <w:jc w:val="both"/>
        <w:rPr>
          <w:rFonts w:ascii="Times New Roman" w:hAnsi="Times New Roman" w:cs="Times New Roman"/>
        </w:rPr>
      </w:pPr>
      <w:r w:rsidRPr="00B4382E">
        <w:rPr>
          <w:rFonts w:ascii="Times New Roman" w:hAnsi="Times New Roman" w:cs="Times New Roman"/>
        </w:rPr>
        <w:t>Przez teren Bialskopodlask</w:t>
      </w:r>
      <w:r w:rsidR="00F5145F">
        <w:rPr>
          <w:rFonts w:ascii="Times New Roman" w:hAnsi="Times New Roman" w:cs="Times New Roman"/>
        </w:rPr>
        <w:t>iej</w:t>
      </w:r>
      <w:r w:rsidRPr="00B4382E">
        <w:rPr>
          <w:rFonts w:ascii="Times New Roman" w:hAnsi="Times New Roman" w:cs="Times New Roman"/>
        </w:rPr>
        <w:t xml:space="preserve"> LGD przebiegają korytarze ekologiczne: Polesie-Przełom Bugu, Polesie-Dolina Bugu-północ, Podlasie Południowe, Polesie-Puszcza Mielnicka. Korytarze </w:t>
      </w:r>
      <w:r w:rsidRPr="00B4382E">
        <w:rPr>
          <w:rFonts w:ascii="Times New Roman" w:eastAsia="Times New Roman" w:hAnsi="Times New Roman" w:cs="Times New Roman"/>
          <w:lang w:eastAsia="pl-PL"/>
        </w:rPr>
        <w:t xml:space="preserve">ekologiczne to obszary umożliwiające migrację roślin, zwierząt lub grzybów. Korytarze te są ważnym elementem sieci </w:t>
      </w:r>
      <w:r w:rsidRPr="00B4382E">
        <w:rPr>
          <w:rFonts w:ascii="Times New Roman" w:hAnsi="Times New Roman" w:cs="Times New Roman"/>
        </w:rPr>
        <w:t>Natura 2000, gdyż umożliwiają przemieszczanie się organizmów między siedliskami.</w:t>
      </w:r>
    </w:p>
    <w:p w14:paraId="5E1785C3" w14:textId="6EC4DD8B" w:rsidR="00071253" w:rsidRDefault="00071253" w:rsidP="00BE350C">
      <w:pPr>
        <w:spacing w:after="0" w:line="276" w:lineRule="auto"/>
        <w:ind w:firstLine="708"/>
        <w:jc w:val="both"/>
        <w:rPr>
          <w:rFonts w:ascii="Times New Roman" w:hAnsi="Times New Roman" w:cs="Times New Roman"/>
        </w:rPr>
      </w:pPr>
      <w:r>
        <w:rPr>
          <w:rFonts w:ascii="Times New Roman" w:hAnsi="Times New Roman" w:cs="Times New Roman"/>
        </w:rPr>
        <w:t>Poziom pokrycia obszaru LGD lasami to 27,6%, a więc nieznacznie mniej niż średnio w kraju (29,6%) oraz więcej niż średnio w województwie (23,4%). Wśród gmin obszaru największy udział lasów w powierzchni ogółem występuje w gminach Drelów i Zalesie – wartość ta wynosi odpowiednio 38,5% i 36,7%. Najmniejszy udział pokrycia powierzchni lasami występuje w miastach Międzyrzec Podlaski i Terespol – odpowiednio 8,4% i 3,9%</w:t>
      </w:r>
      <w:r w:rsidRPr="007577C7">
        <w:rPr>
          <w:rFonts w:ascii="Times New Roman" w:hAnsi="Times New Roman" w:cs="Times New Roman"/>
          <w:vertAlign w:val="superscript"/>
        </w:rPr>
        <w:footnoteReference w:id="33"/>
      </w:r>
      <w:r w:rsidRPr="007577C7">
        <w:rPr>
          <w:rFonts w:ascii="Times New Roman" w:hAnsi="Times New Roman" w:cs="Times New Roman"/>
        </w:rPr>
        <w:t>.</w:t>
      </w:r>
    </w:p>
    <w:p w14:paraId="68956BA0" w14:textId="3F7FE4F5" w:rsidR="001966CB" w:rsidRDefault="001966CB" w:rsidP="001966CB">
      <w:pPr>
        <w:spacing w:after="0" w:line="276" w:lineRule="auto"/>
        <w:ind w:firstLine="709"/>
        <w:jc w:val="both"/>
        <w:rPr>
          <w:rFonts w:ascii="Times New Roman" w:hAnsi="Times New Roman" w:cs="Times New Roman"/>
          <w:color w:val="000000" w:themeColor="text1"/>
        </w:rPr>
      </w:pPr>
      <w:r>
        <w:rPr>
          <w:rFonts w:ascii="Times New Roman" w:hAnsi="Times New Roman" w:cs="Times New Roman"/>
          <w:b/>
          <w:bCs/>
          <w:color w:val="000000" w:themeColor="text1"/>
        </w:rPr>
        <w:t>W</w:t>
      </w:r>
      <w:r w:rsidRPr="009C36D6">
        <w:rPr>
          <w:rFonts w:ascii="Times New Roman" w:hAnsi="Times New Roman" w:cs="Times New Roman"/>
          <w:b/>
          <w:bCs/>
          <w:color w:val="000000" w:themeColor="text1"/>
        </w:rPr>
        <w:t>skaźnik</w:t>
      </w:r>
      <w:r>
        <w:rPr>
          <w:rFonts w:ascii="Times New Roman" w:hAnsi="Times New Roman" w:cs="Times New Roman"/>
          <w:b/>
          <w:bCs/>
          <w:color w:val="000000" w:themeColor="text1"/>
        </w:rPr>
        <w:t xml:space="preserve"> </w:t>
      </w:r>
      <w:r>
        <w:rPr>
          <w:rFonts w:ascii="Times New Roman" w:hAnsi="Times New Roman" w:cs="Times New Roman"/>
          <w:b/>
          <w:bCs/>
          <w:i/>
          <w:iCs/>
          <w:color w:val="000000" w:themeColor="text1"/>
        </w:rPr>
        <w:t>formy ochrony przyrody na obszarze LSR</w:t>
      </w:r>
      <w:r>
        <w:rPr>
          <w:rFonts w:ascii="Times New Roman" w:hAnsi="Times New Roman" w:cs="Times New Roman"/>
          <w:b/>
          <w:bCs/>
          <w:color w:val="000000" w:themeColor="text1"/>
        </w:rPr>
        <w:t>:</w:t>
      </w:r>
      <w:r w:rsidRPr="009C36D6">
        <w:rPr>
          <w:rFonts w:ascii="Times New Roman" w:hAnsi="Times New Roman" w:cs="Times New Roman"/>
          <w:b/>
          <w:bCs/>
          <w:i/>
          <w:iCs/>
          <w:color w:val="000000" w:themeColor="text1"/>
        </w:rPr>
        <w:t xml:space="preserve"> </w:t>
      </w:r>
      <w:r>
        <w:rPr>
          <w:rFonts w:ascii="Times New Roman" w:hAnsi="Times New Roman" w:cs="Times New Roman"/>
          <w:b/>
          <w:bCs/>
          <w:color w:val="000000" w:themeColor="text1"/>
        </w:rPr>
        <w:t>obszar LGD osiąga wartość 2, ponieważ formy ochrony przyrody (</w:t>
      </w:r>
      <w:r w:rsidRPr="005E4CA0">
        <w:rPr>
          <w:rFonts w:ascii="Times New Roman" w:hAnsi="Times New Roman" w:cs="Times New Roman"/>
          <w:b/>
          <w:bCs/>
          <w:color w:val="000000" w:themeColor="text1"/>
        </w:rPr>
        <w:t>park narodowy lub jego otulina, park krajobrazowy lub jego otulina,</w:t>
      </w:r>
      <w:r>
        <w:rPr>
          <w:rFonts w:ascii="Times New Roman" w:hAnsi="Times New Roman" w:cs="Times New Roman"/>
          <w:b/>
          <w:bCs/>
          <w:color w:val="000000" w:themeColor="text1"/>
        </w:rPr>
        <w:t xml:space="preserve"> </w:t>
      </w:r>
      <w:r w:rsidRPr="005E4CA0">
        <w:rPr>
          <w:rFonts w:ascii="Times New Roman" w:hAnsi="Times New Roman" w:cs="Times New Roman"/>
          <w:b/>
          <w:bCs/>
          <w:color w:val="000000" w:themeColor="text1"/>
        </w:rPr>
        <w:t xml:space="preserve">rezerwat przyrody lub jego otulina, obszar chronionego </w:t>
      </w:r>
      <w:r w:rsidR="00F5145F">
        <w:rPr>
          <w:rFonts w:ascii="Times New Roman" w:hAnsi="Times New Roman" w:cs="Times New Roman"/>
          <w:b/>
          <w:bCs/>
          <w:color w:val="000000" w:themeColor="text1"/>
        </w:rPr>
        <w:t>k</w:t>
      </w:r>
      <w:r w:rsidRPr="005E4CA0">
        <w:rPr>
          <w:rFonts w:ascii="Times New Roman" w:hAnsi="Times New Roman" w:cs="Times New Roman"/>
          <w:b/>
          <w:bCs/>
          <w:color w:val="000000" w:themeColor="text1"/>
        </w:rPr>
        <w:t>rajobrazu, obszar Natura 2000</w:t>
      </w:r>
      <w:r>
        <w:rPr>
          <w:rFonts w:ascii="Times New Roman" w:hAnsi="Times New Roman" w:cs="Times New Roman"/>
          <w:b/>
          <w:bCs/>
          <w:color w:val="000000" w:themeColor="text1"/>
        </w:rPr>
        <w:t xml:space="preserve"> występują na terenie 12 gmin (63,2% obszaru)</w:t>
      </w:r>
      <w:r w:rsidRPr="009E093A">
        <w:rPr>
          <w:rStyle w:val="Odwoanieprzypisudolnego"/>
          <w:rFonts w:ascii="Times New Roman" w:hAnsi="Times New Roman" w:cs="Times New Roman"/>
          <w:color w:val="000000" w:themeColor="text1"/>
        </w:rPr>
        <w:footnoteReference w:id="34"/>
      </w:r>
      <w:r w:rsidRPr="009E093A">
        <w:rPr>
          <w:rFonts w:ascii="Times New Roman" w:hAnsi="Times New Roman" w:cs="Times New Roman"/>
          <w:color w:val="000000" w:themeColor="text1"/>
        </w:rPr>
        <w:t>.</w:t>
      </w:r>
    </w:p>
    <w:p w14:paraId="5912606F" w14:textId="6B5CF7A5" w:rsidR="00071253" w:rsidRPr="000C09D4" w:rsidRDefault="00071253" w:rsidP="00015FCF">
      <w:pPr>
        <w:spacing w:after="0" w:line="276" w:lineRule="auto"/>
        <w:ind w:firstLine="709"/>
        <w:jc w:val="both"/>
        <w:rPr>
          <w:rFonts w:ascii="Times New Roman" w:hAnsi="Times New Roman" w:cs="Times New Roman"/>
          <w:color w:val="000000"/>
          <w:szCs w:val="20"/>
        </w:rPr>
      </w:pPr>
      <w:r w:rsidRPr="00E66413">
        <w:rPr>
          <w:rFonts w:ascii="Times New Roman" w:hAnsi="Times New Roman" w:cs="Times New Roman"/>
          <w:color w:val="000000"/>
          <w:szCs w:val="20"/>
        </w:rPr>
        <w:t>Rozpatrując kwestię środowiska naturalnego, warto zwrócić uwagę na jakość powietrza. Diagnoza w zakresie przekroczenia standardów jakości powietrza przeprowadzona została na podstawie corocznie opracowywanych raportów przez Główny Inspektorat Ochrony Środowiska, Departament Monitoringu Środowiska, dotyczących oceny jakości powietrza w województwie</w:t>
      </w:r>
      <w:r>
        <w:rPr>
          <w:rFonts w:ascii="Times New Roman" w:hAnsi="Times New Roman" w:cs="Times New Roman"/>
          <w:color w:val="000000"/>
          <w:szCs w:val="20"/>
        </w:rPr>
        <w:t xml:space="preserve"> lubelskim</w:t>
      </w:r>
      <w:r w:rsidRPr="00E66413">
        <w:rPr>
          <w:rFonts w:ascii="Times New Roman" w:hAnsi="Times New Roman" w:cs="Times New Roman"/>
          <w:color w:val="000000"/>
          <w:szCs w:val="20"/>
        </w:rPr>
        <w:t xml:space="preserve">. W opracowaniu pn. </w:t>
      </w:r>
      <w:r w:rsidRPr="001D6D46">
        <w:rPr>
          <w:rFonts w:ascii="Times New Roman" w:hAnsi="Times New Roman" w:cs="Times New Roman"/>
          <w:i/>
          <w:iCs/>
          <w:color w:val="000000"/>
          <w:szCs w:val="20"/>
        </w:rPr>
        <w:t>Roczna ocena jakości powietrza w województwie lubelskim – raport wojewódzki za rok 2021</w:t>
      </w:r>
      <w:r w:rsidRPr="00E66413">
        <w:rPr>
          <w:rFonts w:ascii="Times New Roman" w:hAnsi="Times New Roman" w:cs="Times New Roman"/>
          <w:color w:val="000000"/>
          <w:szCs w:val="20"/>
        </w:rPr>
        <w:t xml:space="preserve"> oceny jakości powietrza wykonywane są </w:t>
      </w:r>
      <w:r>
        <w:rPr>
          <w:rFonts w:ascii="Times New Roman" w:hAnsi="Times New Roman" w:cs="Times New Roman"/>
          <w:color w:val="000000"/>
          <w:szCs w:val="20"/>
        </w:rPr>
        <w:br/>
      </w:r>
      <w:r w:rsidRPr="00E66413">
        <w:rPr>
          <w:rFonts w:ascii="Times New Roman" w:hAnsi="Times New Roman" w:cs="Times New Roman"/>
          <w:color w:val="000000"/>
          <w:szCs w:val="20"/>
        </w:rPr>
        <w:t xml:space="preserve">w odniesieniu do obszaru strefy. W województwie </w:t>
      </w:r>
      <w:r>
        <w:rPr>
          <w:rFonts w:ascii="Times New Roman" w:hAnsi="Times New Roman" w:cs="Times New Roman"/>
          <w:color w:val="000000"/>
          <w:szCs w:val="20"/>
        </w:rPr>
        <w:t>lubelskim</w:t>
      </w:r>
      <w:r w:rsidRPr="00E66413">
        <w:rPr>
          <w:rFonts w:ascii="Times New Roman" w:hAnsi="Times New Roman" w:cs="Times New Roman"/>
          <w:color w:val="000000"/>
          <w:szCs w:val="20"/>
        </w:rPr>
        <w:t xml:space="preserve"> wydzielono dwie strefy: </w:t>
      </w:r>
      <w:r>
        <w:rPr>
          <w:rFonts w:ascii="Times New Roman" w:hAnsi="Times New Roman" w:cs="Times New Roman"/>
          <w:color w:val="000000"/>
          <w:szCs w:val="20"/>
        </w:rPr>
        <w:t xml:space="preserve">aglomerację lubelską i strefę lubelską (wszystkie gminy obszaru zakwalifikowane zostały do strefy lubelskiej). </w:t>
      </w:r>
    </w:p>
    <w:p w14:paraId="57FE3BCD" w14:textId="36FC8A4B" w:rsidR="0084722A" w:rsidRDefault="00071253" w:rsidP="0084722A">
      <w:pPr>
        <w:spacing w:after="80" w:line="276" w:lineRule="auto"/>
        <w:ind w:firstLine="709"/>
        <w:jc w:val="both"/>
        <w:rPr>
          <w:rFonts w:ascii="Times New Roman" w:hAnsi="Times New Roman" w:cs="Times New Roman"/>
          <w:color w:val="000000"/>
          <w:szCs w:val="20"/>
        </w:rPr>
      </w:pPr>
      <w:r>
        <w:rPr>
          <w:rFonts w:ascii="Times New Roman" w:hAnsi="Times New Roman" w:cs="Times New Roman"/>
          <w:color w:val="000000"/>
          <w:szCs w:val="20"/>
        </w:rPr>
        <w:t>Źródłami zanieczyszczenia powietrza atmosferycznego w regionie są</w:t>
      </w:r>
      <w:r w:rsidRPr="00C3629E">
        <w:rPr>
          <w:rFonts w:ascii="Times New Roman" w:hAnsi="Times New Roman" w:cs="Times New Roman"/>
          <w:color w:val="000000"/>
          <w:szCs w:val="20"/>
        </w:rPr>
        <w:t xml:space="preserve">: Zakłady Azotowe „Puławy” S.A. </w:t>
      </w:r>
      <w:r>
        <w:rPr>
          <w:rFonts w:ascii="Times New Roman" w:hAnsi="Times New Roman" w:cs="Times New Roman"/>
          <w:color w:val="000000"/>
          <w:szCs w:val="20"/>
        </w:rPr>
        <w:br/>
      </w:r>
      <w:r w:rsidRPr="00C3629E">
        <w:rPr>
          <w:rFonts w:ascii="Times New Roman" w:hAnsi="Times New Roman" w:cs="Times New Roman"/>
          <w:color w:val="000000"/>
          <w:szCs w:val="20"/>
        </w:rPr>
        <w:t xml:space="preserve">w Puławach, Cementownia „Cemex” Sp. z o.o. w Chełmie, Miejskie Przedsiębiorstwo Energetyki Cieplnej Sp. z o.o. </w:t>
      </w:r>
      <w:r w:rsidRPr="00C3629E">
        <w:rPr>
          <w:rFonts w:ascii="Times New Roman" w:hAnsi="Times New Roman" w:cs="Times New Roman"/>
          <w:color w:val="000000"/>
          <w:szCs w:val="20"/>
        </w:rPr>
        <w:lastRenderedPageBreak/>
        <w:t xml:space="preserve">w Chełmie, Elektrociepłownia „Megatem EC-Lublin” w Lublinie, PGE Energia Ciepła S.A. Oddział Elektrociepłownia w Lublinie Wrotków oraz Przedsiębiorstwo Energetyki Cieplnej Sp. z o.o. Ciepłownia </w:t>
      </w:r>
      <w:r>
        <w:rPr>
          <w:rFonts w:ascii="Times New Roman" w:hAnsi="Times New Roman" w:cs="Times New Roman"/>
          <w:color w:val="000000"/>
          <w:szCs w:val="20"/>
        </w:rPr>
        <w:br/>
      </w:r>
      <w:r w:rsidRPr="00C3629E">
        <w:rPr>
          <w:rFonts w:ascii="Times New Roman" w:hAnsi="Times New Roman" w:cs="Times New Roman"/>
          <w:color w:val="000000"/>
          <w:szCs w:val="20"/>
        </w:rPr>
        <w:t xml:space="preserve">w Białej Podlaskiej. Emisja punktowa ma jednak niewielki udział w ogólnej emisji gazów i pyłów do atmosfery, </w:t>
      </w:r>
      <w:r>
        <w:rPr>
          <w:rFonts w:ascii="Times New Roman" w:hAnsi="Times New Roman" w:cs="Times New Roman"/>
          <w:color w:val="000000"/>
          <w:szCs w:val="20"/>
        </w:rPr>
        <w:t xml:space="preserve">ponieważ przemysł na terenie województwa lubelskiego nie jest zbyt mocno rozwinięty. </w:t>
      </w:r>
      <w:r w:rsidRPr="00C3629E">
        <w:rPr>
          <w:rFonts w:ascii="Times New Roman" w:hAnsi="Times New Roman" w:cs="Times New Roman"/>
          <w:color w:val="000000"/>
          <w:szCs w:val="20"/>
        </w:rPr>
        <w:t>Głównym i dominującym źródłem zanieczyszczeń powietrza w regionie jest emisja powierzchniowa</w:t>
      </w:r>
      <w:r>
        <w:rPr>
          <w:rStyle w:val="Odwoanieprzypisudolnego"/>
          <w:color w:val="000000"/>
          <w:szCs w:val="20"/>
        </w:rPr>
        <w:footnoteReference w:id="35"/>
      </w:r>
      <w:r w:rsidRPr="00A7658E">
        <w:rPr>
          <w:rFonts w:ascii="Times New Roman" w:hAnsi="Times New Roman" w:cs="Times New Roman"/>
          <w:color w:val="000000"/>
          <w:szCs w:val="20"/>
        </w:rPr>
        <w:t>. Na terenie obszaru LGD wystąpiły przekroczenia</w:t>
      </w:r>
      <w:r w:rsidR="00F5145F">
        <w:rPr>
          <w:rFonts w:ascii="Times New Roman" w:hAnsi="Times New Roman" w:cs="Times New Roman"/>
          <w:color w:val="000000"/>
          <w:szCs w:val="20"/>
        </w:rPr>
        <w:t>:</w:t>
      </w:r>
      <w:r>
        <w:rPr>
          <w:rFonts w:ascii="Times New Roman" w:hAnsi="Times New Roman" w:cs="Times New Roman"/>
          <w:color w:val="000000"/>
          <w:szCs w:val="20"/>
        </w:rPr>
        <w:t xml:space="preserve"> O</w:t>
      </w:r>
      <w:r>
        <w:rPr>
          <w:rFonts w:ascii="Times New Roman" w:hAnsi="Times New Roman" w:cs="Times New Roman"/>
          <w:color w:val="000000"/>
          <w:szCs w:val="20"/>
          <w:vertAlign w:val="subscript"/>
        </w:rPr>
        <w:t xml:space="preserve">3 </w:t>
      </w:r>
      <w:r>
        <w:rPr>
          <w:rFonts w:ascii="Times New Roman" w:hAnsi="Times New Roman" w:cs="Times New Roman"/>
          <w:color w:val="000000"/>
          <w:szCs w:val="20"/>
        </w:rPr>
        <w:t>pod kątem ochrony zdrowia</w:t>
      </w:r>
      <w:r w:rsidR="000D2905">
        <w:rPr>
          <w:rFonts w:ascii="Times New Roman" w:hAnsi="Times New Roman" w:cs="Times New Roman"/>
          <w:color w:val="000000"/>
          <w:szCs w:val="20"/>
        </w:rPr>
        <w:t>,</w:t>
      </w:r>
      <w:r>
        <w:rPr>
          <w:rFonts w:ascii="Times New Roman" w:hAnsi="Times New Roman" w:cs="Times New Roman"/>
          <w:color w:val="000000"/>
          <w:szCs w:val="20"/>
        </w:rPr>
        <w:t xml:space="preserve"> </w:t>
      </w:r>
      <w:r w:rsidRPr="00376EC5">
        <w:rPr>
          <w:rFonts w:ascii="Times New Roman" w:hAnsi="Times New Roman" w:cs="Times New Roman"/>
          <w:color w:val="000000"/>
          <w:szCs w:val="20"/>
        </w:rPr>
        <w:t>B(a)P w pyle zawieszonym PM10</w:t>
      </w:r>
      <w:r w:rsidR="000D2905">
        <w:rPr>
          <w:rFonts w:ascii="Times New Roman" w:hAnsi="Times New Roman" w:cs="Times New Roman"/>
          <w:color w:val="000000"/>
          <w:szCs w:val="20"/>
        </w:rPr>
        <w:t xml:space="preserve">, </w:t>
      </w:r>
      <w:r w:rsidRPr="00376EC5">
        <w:rPr>
          <w:rFonts w:ascii="Times New Roman" w:hAnsi="Times New Roman" w:cs="Times New Roman"/>
          <w:color w:val="000000"/>
          <w:szCs w:val="20"/>
        </w:rPr>
        <w:t>a także O</w:t>
      </w:r>
      <w:r w:rsidRPr="00482966">
        <w:rPr>
          <w:rFonts w:ascii="Times New Roman" w:hAnsi="Times New Roman" w:cs="Times New Roman"/>
          <w:color w:val="000000"/>
          <w:szCs w:val="20"/>
          <w:vertAlign w:val="subscript"/>
        </w:rPr>
        <w:t xml:space="preserve">3 </w:t>
      </w:r>
      <w:r w:rsidRPr="00376EC5">
        <w:rPr>
          <w:rFonts w:ascii="Times New Roman" w:hAnsi="Times New Roman" w:cs="Times New Roman"/>
          <w:color w:val="000000"/>
          <w:szCs w:val="20"/>
        </w:rPr>
        <w:t>pod kątem ochrony roślin</w:t>
      </w:r>
      <w:r w:rsidR="000D2905">
        <w:rPr>
          <w:rFonts w:ascii="Times New Roman" w:hAnsi="Times New Roman" w:cs="Times New Roman"/>
          <w:color w:val="000000"/>
          <w:szCs w:val="20"/>
        </w:rPr>
        <w:t>.</w:t>
      </w:r>
    </w:p>
    <w:p w14:paraId="0B08589F" w14:textId="77777777" w:rsidR="00A17173" w:rsidRPr="009E6236" w:rsidRDefault="00A17173" w:rsidP="00E860C3">
      <w:pPr>
        <w:pStyle w:val="podnagowek"/>
        <w:numPr>
          <w:ilvl w:val="1"/>
          <w:numId w:val="16"/>
        </w:numPr>
        <w:spacing w:after="0" w:line="276" w:lineRule="auto"/>
        <w:ind w:left="924" w:hanging="357"/>
        <w:outlineLvl w:val="9"/>
        <w:rPr>
          <w:sz w:val="22"/>
          <w:szCs w:val="22"/>
        </w:rPr>
      </w:pPr>
      <w:r w:rsidRPr="009E6236">
        <w:rPr>
          <w:sz w:val="22"/>
          <w:szCs w:val="22"/>
        </w:rPr>
        <w:t>Produkty lokalne</w:t>
      </w:r>
    </w:p>
    <w:p w14:paraId="1FE25376" w14:textId="149FD053" w:rsidR="0047259A" w:rsidRPr="00065DA7" w:rsidRDefault="0047259A" w:rsidP="00EE5304">
      <w:pPr>
        <w:spacing w:after="0" w:line="276" w:lineRule="auto"/>
        <w:ind w:firstLine="709"/>
        <w:jc w:val="both"/>
        <w:rPr>
          <w:rFonts w:ascii="Times New Roman" w:eastAsia="Calibri" w:hAnsi="Times New Roman" w:cs="Times New Roman"/>
        </w:rPr>
      </w:pPr>
      <w:r w:rsidRPr="0047259A">
        <w:rPr>
          <w:rFonts w:ascii="Times New Roman" w:eastAsia="Calibri" w:hAnsi="Times New Roman" w:cs="Times New Roman"/>
        </w:rPr>
        <w:t xml:space="preserve">Dobry stan środowiska naturalnego oraz walory naturalne sprzyjają rozwojowi turystyki, w tym przede wszystkim turystyki pieszej, konnej, rowerowej oraz ekoturystyki. </w:t>
      </w:r>
      <w:r w:rsidR="00380AAD" w:rsidRPr="0093214F">
        <w:rPr>
          <w:rFonts w:ascii="Times New Roman" w:hAnsi="Times New Roman" w:cs="Times New Roman"/>
        </w:rPr>
        <w:t>Niewątpliw</w:t>
      </w:r>
      <w:r w:rsidR="00380AAD">
        <w:rPr>
          <w:rFonts w:ascii="Times New Roman" w:hAnsi="Times New Roman" w:cs="Times New Roman"/>
        </w:rPr>
        <w:t xml:space="preserve">ie jedną z najbardziej znanych gmin </w:t>
      </w:r>
      <w:r w:rsidR="00380AAD" w:rsidRPr="0093214F">
        <w:rPr>
          <w:rFonts w:ascii="Times New Roman" w:hAnsi="Times New Roman" w:cs="Times New Roman"/>
        </w:rPr>
        <w:t>obszaru jest Jan</w:t>
      </w:r>
      <w:r w:rsidR="00380AAD">
        <w:rPr>
          <w:rFonts w:ascii="Times New Roman" w:hAnsi="Times New Roman" w:cs="Times New Roman"/>
        </w:rPr>
        <w:t>ów</w:t>
      </w:r>
      <w:r w:rsidR="00380AAD" w:rsidRPr="0093214F">
        <w:rPr>
          <w:rFonts w:ascii="Times New Roman" w:hAnsi="Times New Roman" w:cs="Times New Roman"/>
        </w:rPr>
        <w:t xml:space="preserve"> Podlaski</w:t>
      </w:r>
      <w:r w:rsidR="00380AAD">
        <w:rPr>
          <w:rFonts w:ascii="Times New Roman" w:hAnsi="Times New Roman" w:cs="Times New Roman"/>
        </w:rPr>
        <w:t xml:space="preserve"> w którym mieści się</w:t>
      </w:r>
      <w:r w:rsidR="00380AAD" w:rsidRPr="00380AAD">
        <w:rPr>
          <w:rFonts w:ascii="Times New Roman" w:hAnsi="Times New Roman" w:cs="Times New Roman"/>
        </w:rPr>
        <w:t xml:space="preserve"> </w:t>
      </w:r>
      <w:r w:rsidR="00380AAD" w:rsidRPr="0093214F">
        <w:rPr>
          <w:rFonts w:ascii="Times New Roman" w:hAnsi="Times New Roman" w:cs="Times New Roman"/>
        </w:rPr>
        <w:t>Stadnina Koni</w:t>
      </w:r>
      <w:r w:rsidR="00380AAD">
        <w:rPr>
          <w:rFonts w:ascii="Times New Roman" w:hAnsi="Times New Roman" w:cs="Times New Roman"/>
        </w:rPr>
        <w:t>. Kolejnym wyróżnikiem obszaru jest położenie przy jednej z większych rzek Polski – Bug, co powoduje, iż atrakcyjną formą aktywnego spędzania czasu na obszarze są spływy kajakowe</w:t>
      </w:r>
      <w:r w:rsidR="00C32A3F">
        <w:rPr>
          <w:rFonts w:ascii="Times New Roman" w:hAnsi="Times New Roman" w:cs="Times New Roman"/>
        </w:rPr>
        <w:t xml:space="preserve"> (</w:t>
      </w:r>
      <w:r w:rsidR="00C32A3F" w:rsidRPr="00C32A3F">
        <w:rPr>
          <w:rFonts w:ascii="Times New Roman" w:hAnsi="Times New Roman" w:cs="Times New Roman"/>
        </w:rPr>
        <w:t>na terenie Bialskopodlaskiej LGD znajduje się szlak kajakowy Bug-Krzna</w:t>
      </w:r>
      <w:r w:rsidR="00F66A19">
        <w:rPr>
          <w:rFonts w:ascii="Times New Roman" w:hAnsi="Times New Roman" w:cs="Times New Roman"/>
        </w:rPr>
        <w:t xml:space="preserve">, który w powiecie bialskim obejmuje odcinek </w:t>
      </w:r>
      <w:r w:rsidR="00C32A3F" w:rsidRPr="00C32A3F">
        <w:rPr>
          <w:rFonts w:ascii="Times New Roman" w:hAnsi="Times New Roman" w:cs="Times New Roman"/>
        </w:rPr>
        <w:t>150</w:t>
      </w:r>
      <w:r w:rsidR="00F66A19">
        <w:rPr>
          <w:rFonts w:ascii="Times New Roman" w:hAnsi="Times New Roman" w:cs="Times New Roman"/>
        </w:rPr>
        <w:t xml:space="preserve"> kilometrów</w:t>
      </w:r>
      <w:r w:rsidR="00C32A3F" w:rsidRPr="00C32A3F">
        <w:rPr>
          <w:rFonts w:ascii="Times New Roman" w:hAnsi="Times New Roman" w:cs="Times New Roman"/>
        </w:rPr>
        <w:t>)</w:t>
      </w:r>
      <w:r w:rsidR="00380AAD">
        <w:rPr>
          <w:rFonts w:ascii="Times New Roman" w:hAnsi="Times New Roman" w:cs="Times New Roman"/>
        </w:rPr>
        <w:t>, trasy spacerowe, rowerowe – Nadburzański Szlak Rowerowy (trasa 290 km z Janowa Podlaskiego do Hrubieszowa, wzdłuż rzeki Bug</w:t>
      </w:r>
      <w:r w:rsidR="00380AAD">
        <w:rPr>
          <w:rStyle w:val="Odwoanieprzypisudolnego"/>
        </w:rPr>
        <w:footnoteReference w:id="36"/>
      </w:r>
      <w:r w:rsidR="00380AAD">
        <w:rPr>
          <w:rFonts w:ascii="Times New Roman" w:hAnsi="Times New Roman" w:cs="Times New Roman"/>
        </w:rPr>
        <w:t xml:space="preserve">), ścieżki konne, dzięki którym można docenić walory turystyczne i cieszyć się czystym powietrzem. </w:t>
      </w:r>
      <w:r w:rsidR="00065DA7">
        <w:rPr>
          <w:rFonts w:ascii="Times New Roman" w:hAnsi="Times New Roman" w:cs="Times New Roman"/>
        </w:rPr>
        <w:t xml:space="preserve">Jednak </w:t>
      </w:r>
      <w:r w:rsidR="00065DA7">
        <w:rPr>
          <w:rFonts w:ascii="Times New Roman" w:eastAsia="Calibri" w:hAnsi="Times New Roman" w:cs="Times New Roman"/>
        </w:rPr>
        <w:t>z</w:t>
      </w:r>
      <w:r w:rsidR="00065DA7" w:rsidRPr="001C0CB4">
        <w:rPr>
          <w:rFonts w:ascii="Times New Roman" w:eastAsia="Calibri" w:hAnsi="Times New Roman" w:cs="Times New Roman"/>
        </w:rPr>
        <w:t>naczącym problemem jest słaba promocja miejscowych zasobów dziedzictwa naturalnego oraz kulturowego</w:t>
      </w:r>
      <w:r w:rsidR="00065DA7">
        <w:rPr>
          <w:rFonts w:ascii="Times New Roman" w:eastAsia="Calibri" w:hAnsi="Times New Roman" w:cs="Times New Roman"/>
        </w:rPr>
        <w:t>, a także</w:t>
      </w:r>
      <w:r w:rsidR="00065DA7" w:rsidRPr="001C0CB4">
        <w:rPr>
          <w:rFonts w:ascii="Times New Roman" w:eastAsia="Calibri" w:hAnsi="Times New Roman" w:cs="Times New Roman"/>
        </w:rPr>
        <w:t xml:space="preserve"> słabo rozwinięta infrastruktura okołoturystyczna.</w:t>
      </w:r>
      <w:r w:rsidR="00065DA7">
        <w:rPr>
          <w:rFonts w:ascii="Times New Roman" w:eastAsia="Calibri" w:hAnsi="Times New Roman" w:cs="Times New Roman"/>
        </w:rPr>
        <w:t xml:space="preserve"> </w:t>
      </w:r>
    </w:p>
    <w:p w14:paraId="5D68BEA6" w14:textId="7F60F619" w:rsidR="00A17173" w:rsidRDefault="00C32A3F" w:rsidP="00B83EFB">
      <w:pPr>
        <w:spacing w:after="120" w:line="276" w:lineRule="auto"/>
        <w:ind w:firstLine="709"/>
        <w:jc w:val="both"/>
        <w:rPr>
          <w:rFonts w:ascii="Times New Roman" w:eastAsia="Calibri" w:hAnsi="Times New Roman" w:cs="Times New Roman"/>
        </w:rPr>
      </w:pPr>
      <w:r>
        <w:rPr>
          <w:rFonts w:ascii="Times New Roman" w:eastAsia="Calibri" w:hAnsi="Times New Roman" w:cs="Times New Roman"/>
        </w:rPr>
        <w:t>Ponadto o</w:t>
      </w:r>
      <w:r w:rsidR="00A17173">
        <w:rPr>
          <w:rFonts w:ascii="Times New Roman" w:eastAsia="Calibri" w:hAnsi="Times New Roman" w:cs="Times New Roman"/>
        </w:rPr>
        <w:t xml:space="preserve">bszar charakteryzuje się wypromowanymi produktami lokalnymi </w:t>
      </w:r>
      <w:r w:rsidR="00F86A4C">
        <w:rPr>
          <w:rFonts w:ascii="Times New Roman" w:eastAsia="Calibri" w:hAnsi="Times New Roman" w:cs="Times New Roman"/>
        </w:rPr>
        <w:t xml:space="preserve">wyróżniającymi się na tle regionu. Spośród 401 produktów wpisanych na </w:t>
      </w:r>
      <w:r w:rsidR="00A17173">
        <w:rPr>
          <w:rFonts w:ascii="Times New Roman" w:eastAsia="Calibri" w:hAnsi="Times New Roman" w:cs="Times New Roman"/>
        </w:rPr>
        <w:t xml:space="preserve">Listę Produktów Tradycyjnych Ministerstwa Rolnictwa i Rozwoju Wsi z Województwa </w:t>
      </w:r>
      <w:r w:rsidR="005E702C">
        <w:rPr>
          <w:rFonts w:ascii="Times New Roman" w:eastAsia="Calibri" w:hAnsi="Times New Roman" w:cs="Times New Roman"/>
        </w:rPr>
        <w:t>Lubelskiego</w:t>
      </w:r>
      <w:r w:rsidR="00B97DAF">
        <w:rPr>
          <w:rFonts w:ascii="Times New Roman" w:eastAsia="Calibri" w:hAnsi="Times New Roman" w:cs="Times New Roman"/>
        </w:rPr>
        <w:t>,</w:t>
      </w:r>
      <w:r w:rsidR="00F86A4C">
        <w:rPr>
          <w:rFonts w:ascii="Times New Roman" w:eastAsia="Calibri" w:hAnsi="Times New Roman" w:cs="Times New Roman"/>
        </w:rPr>
        <w:t xml:space="preserve"> 12 pochodzi z obszaru LGD</w:t>
      </w:r>
      <w:r w:rsidR="00A31CEC">
        <w:rPr>
          <w:rFonts w:ascii="Times New Roman" w:eastAsia="Calibri" w:hAnsi="Times New Roman" w:cs="Times New Roman"/>
        </w:rPr>
        <w:t>, m.in.:</w:t>
      </w:r>
      <w:r w:rsidR="00293649">
        <w:rPr>
          <w:rFonts w:ascii="Times New Roman" w:eastAsia="Calibri" w:hAnsi="Times New Roman" w:cs="Times New Roman"/>
        </w:rPr>
        <w:t xml:space="preserve"> lody sławatyckie</w:t>
      </w:r>
      <w:r w:rsidR="00B83EFB">
        <w:rPr>
          <w:rFonts w:ascii="Times New Roman" w:eastAsia="Calibri" w:hAnsi="Times New Roman" w:cs="Times New Roman"/>
        </w:rPr>
        <w:t xml:space="preserve">, </w:t>
      </w:r>
      <w:r w:rsidR="00293649">
        <w:rPr>
          <w:rFonts w:ascii="Times New Roman" w:eastAsia="Calibri" w:hAnsi="Times New Roman" w:cs="Times New Roman"/>
        </w:rPr>
        <w:t>wyroby mięsne z Wisznic</w:t>
      </w:r>
      <w:r w:rsidR="00A31CEC">
        <w:rPr>
          <w:rFonts w:ascii="Times New Roman" w:eastAsia="Calibri" w:hAnsi="Times New Roman" w:cs="Times New Roman"/>
        </w:rPr>
        <w:t xml:space="preserve"> (6 produktów)</w:t>
      </w:r>
      <w:r w:rsidR="00B83EFB">
        <w:rPr>
          <w:rFonts w:ascii="Times New Roman" w:eastAsia="Calibri" w:hAnsi="Times New Roman" w:cs="Times New Roman"/>
        </w:rPr>
        <w:t xml:space="preserve">, pieczeń z szynki dzika, kotlety rybne z Sugrów oraz kodeński chleb razowy żytni z Gminy Kodeń, a także kołacz z jagłami </w:t>
      </w:r>
      <w:r w:rsidR="00B83EFB">
        <w:rPr>
          <w:rFonts w:ascii="Times New Roman" w:hAnsi="Times New Roman" w:cs="Times New Roman"/>
        </w:rPr>
        <w:t>Perkowic</w:t>
      </w:r>
      <w:r w:rsidR="00B83EFB">
        <w:rPr>
          <w:rFonts w:ascii="Times New Roman" w:eastAsia="Calibri" w:hAnsi="Times New Roman" w:cs="Times New Roman"/>
        </w:rPr>
        <w:t xml:space="preserve"> i racuchy drożdżowe z jabłkami z Dokudowa (Gmina Biała Podlaska)</w:t>
      </w:r>
      <w:r w:rsidR="00A17173">
        <w:rPr>
          <w:rStyle w:val="Odwoanieprzypisudolnego"/>
          <w:rFonts w:ascii="Times New Roman" w:eastAsia="Calibri" w:hAnsi="Times New Roman" w:cs="Times New Roman"/>
        </w:rPr>
        <w:footnoteReference w:id="37"/>
      </w:r>
      <w:r w:rsidR="00B83EFB">
        <w:rPr>
          <w:rFonts w:ascii="Times New Roman" w:eastAsia="Calibri" w:hAnsi="Times New Roman" w:cs="Times New Roman"/>
        </w:rPr>
        <w:t>. Pierwsze produkty wpisano na listę w 2007 roku.</w:t>
      </w:r>
    </w:p>
    <w:p w14:paraId="36C3DEE5" w14:textId="77777777" w:rsidR="00A17173" w:rsidRDefault="00A17173" w:rsidP="00E860C3">
      <w:pPr>
        <w:pStyle w:val="podnagowek"/>
        <w:numPr>
          <w:ilvl w:val="1"/>
          <w:numId w:val="16"/>
        </w:numPr>
        <w:spacing w:after="0" w:line="276" w:lineRule="auto"/>
        <w:ind w:left="924" w:hanging="357"/>
        <w:outlineLvl w:val="9"/>
        <w:rPr>
          <w:sz w:val="22"/>
          <w:szCs w:val="22"/>
        </w:rPr>
      </w:pPr>
      <w:r w:rsidRPr="00923EDD">
        <w:rPr>
          <w:sz w:val="22"/>
          <w:szCs w:val="22"/>
        </w:rPr>
        <w:t xml:space="preserve">Zasada równości szans i niedyskryminacji </w:t>
      </w:r>
    </w:p>
    <w:p w14:paraId="134AC9B1" w14:textId="15905D31" w:rsidR="00015FCF" w:rsidRDefault="00A17173" w:rsidP="00293649">
      <w:pPr>
        <w:pStyle w:val="Akapitzlist"/>
        <w:spacing w:before="80" w:after="80" w:line="276" w:lineRule="auto"/>
        <w:ind w:left="0" w:firstLine="709"/>
        <w:jc w:val="both"/>
        <w:rPr>
          <w:rFonts w:ascii="Times New Roman" w:hAnsi="Times New Roman" w:cs="Times New Roman"/>
          <w:color w:val="000000" w:themeColor="text1"/>
        </w:rPr>
      </w:pPr>
      <w:r w:rsidRPr="00510006">
        <w:rPr>
          <w:rFonts w:ascii="Times New Roman" w:hAnsi="Times New Roman" w:cs="Times New Roman"/>
          <w:color w:val="000000" w:themeColor="text1"/>
        </w:rPr>
        <w:t xml:space="preserve">LGD poważnie podchodzi do kwestii przestrzegania zasady równości szans i niedyskryminacji, w tym dostępności dla osób z niepełnosprawnościami lub ludzi młodych oraz zasady równości kobiet i mężczyzn. </w:t>
      </w:r>
      <w:r>
        <w:rPr>
          <w:rFonts w:ascii="Times New Roman" w:hAnsi="Times New Roman" w:cs="Times New Roman"/>
          <w:color w:val="000000" w:themeColor="text1"/>
        </w:rPr>
        <w:br/>
      </w:r>
      <w:r w:rsidRPr="00510006">
        <w:rPr>
          <w:rFonts w:ascii="Times New Roman" w:hAnsi="Times New Roman" w:cs="Times New Roman"/>
          <w:color w:val="000000" w:themeColor="text1"/>
        </w:rPr>
        <w:t>W poprzedniej LSR określono konkretn</w:t>
      </w:r>
      <w:r w:rsidR="00921B68">
        <w:rPr>
          <w:rFonts w:ascii="Times New Roman" w:hAnsi="Times New Roman" w:cs="Times New Roman"/>
          <w:color w:val="000000" w:themeColor="text1"/>
        </w:rPr>
        <w:t>e</w:t>
      </w:r>
      <w:r w:rsidRPr="00510006">
        <w:rPr>
          <w:rFonts w:ascii="Times New Roman" w:hAnsi="Times New Roman" w:cs="Times New Roman"/>
          <w:color w:val="000000" w:themeColor="text1"/>
        </w:rPr>
        <w:t xml:space="preserve"> grup</w:t>
      </w:r>
      <w:r w:rsidR="00921B68">
        <w:rPr>
          <w:rFonts w:ascii="Times New Roman" w:hAnsi="Times New Roman" w:cs="Times New Roman"/>
          <w:color w:val="000000" w:themeColor="text1"/>
        </w:rPr>
        <w:t>y</w:t>
      </w:r>
      <w:r w:rsidRPr="00510006">
        <w:rPr>
          <w:rFonts w:ascii="Times New Roman" w:hAnsi="Times New Roman" w:cs="Times New Roman"/>
          <w:color w:val="000000" w:themeColor="text1"/>
        </w:rPr>
        <w:t xml:space="preserve"> </w:t>
      </w:r>
      <w:r>
        <w:rPr>
          <w:rFonts w:ascii="Times New Roman" w:hAnsi="Times New Roman" w:cs="Times New Roman"/>
          <w:color w:val="000000" w:themeColor="text1"/>
        </w:rPr>
        <w:t>w niekorzystnej sytuacji</w:t>
      </w:r>
      <w:r w:rsidR="00921B68">
        <w:rPr>
          <w:rFonts w:ascii="Times New Roman" w:hAnsi="Times New Roman" w:cs="Times New Roman"/>
          <w:color w:val="000000" w:themeColor="text1"/>
        </w:rPr>
        <w:t xml:space="preserve"> ze względu na dostęp do rynku pracy: </w:t>
      </w:r>
      <w:r w:rsidRPr="00510006">
        <w:rPr>
          <w:rFonts w:ascii="Times New Roman" w:hAnsi="Times New Roman" w:cs="Times New Roman"/>
          <w:color w:val="000000" w:themeColor="text1"/>
        </w:rPr>
        <w:t xml:space="preserve">osoby do </w:t>
      </w:r>
      <w:r w:rsidR="00921B68">
        <w:rPr>
          <w:rFonts w:ascii="Times New Roman" w:hAnsi="Times New Roman" w:cs="Times New Roman"/>
          <w:color w:val="000000" w:themeColor="text1"/>
        </w:rPr>
        <w:t>25</w:t>
      </w:r>
      <w:r w:rsidR="00B97DAF">
        <w:rPr>
          <w:rFonts w:ascii="Times New Roman" w:hAnsi="Times New Roman" w:cs="Times New Roman"/>
          <w:color w:val="000000" w:themeColor="text1"/>
        </w:rPr>
        <w:t>.</w:t>
      </w:r>
      <w:r w:rsidRPr="00510006">
        <w:rPr>
          <w:rFonts w:ascii="Times New Roman" w:hAnsi="Times New Roman" w:cs="Times New Roman"/>
          <w:color w:val="000000" w:themeColor="text1"/>
        </w:rPr>
        <w:t xml:space="preserve"> roku życia</w:t>
      </w:r>
      <w:r w:rsidR="00921B68">
        <w:rPr>
          <w:rFonts w:ascii="Times New Roman" w:hAnsi="Times New Roman" w:cs="Times New Roman"/>
          <w:color w:val="000000" w:themeColor="text1"/>
        </w:rPr>
        <w:t>, długotrwale bezrobotne, osoby 50+, osoby z niepełnosprawnościami, a także ze względu na zagrożenie ubóstwem i wykluczeniem społecznym: osoby z niepełnosprawnościami i seniorzy</w:t>
      </w:r>
      <w:r>
        <w:rPr>
          <w:rFonts w:ascii="Times New Roman" w:hAnsi="Times New Roman" w:cs="Times New Roman"/>
          <w:color w:val="000000" w:themeColor="text1"/>
        </w:rPr>
        <w:t xml:space="preserve">. </w:t>
      </w:r>
      <w:r w:rsidRPr="00510006">
        <w:rPr>
          <w:rFonts w:ascii="Times New Roman" w:hAnsi="Times New Roman" w:cs="Times New Roman"/>
          <w:color w:val="000000" w:themeColor="text1"/>
        </w:rPr>
        <w:t>Wybór ten był wynikiem przeprowadzonej diagnozy. W obecnej LSR planuje się</w:t>
      </w:r>
      <w:r>
        <w:rPr>
          <w:rFonts w:ascii="Times New Roman" w:hAnsi="Times New Roman" w:cs="Times New Roman"/>
          <w:color w:val="000000" w:themeColor="text1"/>
        </w:rPr>
        <w:t xml:space="preserve"> dalszą</w:t>
      </w:r>
      <w:r w:rsidRPr="00510006">
        <w:rPr>
          <w:rFonts w:ascii="Times New Roman" w:hAnsi="Times New Roman" w:cs="Times New Roman"/>
          <w:color w:val="000000" w:themeColor="text1"/>
        </w:rPr>
        <w:t xml:space="preserve"> aktywizację osób młodych (do 25</w:t>
      </w:r>
      <w:r>
        <w:rPr>
          <w:rFonts w:ascii="Times New Roman" w:hAnsi="Times New Roman" w:cs="Times New Roman"/>
          <w:color w:val="000000" w:themeColor="text1"/>
        </w:rPr>
        <w:t>.</w:t>
      </w:r>
      <w:r w:rsidRPr="00510006">
        <w:rPr>
          <w:rFonts w:ascii="Times New Roman" w:hAnsi="Times New Roman" w:cs="Times New Roman"/>
          <w:color w:val="000000" w:themeColor="text1"/>
        </w:rPr>
        <w:t xml:space="preserve"> roku życia), a także aktywizację osób starszych, co ściśle związane jest z wnioskami z przeprowadzonej diagnozy. Jako grupę </w:t>
      </w:r>
      <w:r>
        <w:rPr>
          <w:rFonts w:ascii="Times New Roman" w:hAnsi="Times New Roman" w:cs="Times New Roman"/>
          <w:color w:val="000000" w:themeColor="text1"/>
        </w:rPr>
        <w:t>w niekorzystnej sytuacji</w:t>
      </w:r>
      <w:r w:rsidRPr="00510006">
        <w:rPr>
          <w:rFonts w:ascii="Times New Roman" w:hAnsi="Times New Roman" w:cs="Times New Roman"/>
          <w:color w:val="000000" w:themeColor="text1"/>
        </w:rPr>
        <w:t xml:space="preserve">, dla której przewidziano szczególne wsparcie, wskazano </w:t>
      </w:r>
      <w:r>
        <w:rPr>
          <w:rFonts w:ascii="Times New Roman" w:hAnsi="Times New Roman" w:cs="Times New Roman"/>
          <w:color w:val="000000" w:themeColor="text1"/>
        </w:rPr>
        <w:t xml:space="preserve">osoby </w:t>
      </w:r>
      <w:r w:rsidR="009344C3">
        <w:rPr>
          <w:rFonts w:ascii="Times New Roman" w:hAnsi="Times New Roman" w:cs="Times New Roman"/>
          <w:color w:val="000000" w:themeColor="text1"/>
        </w:rPr>
        <w:br/>
      </w:r>
      <w:r>
        <w:rPr>
          <w:rFonts w:ascii="Times New Roman" w:hAnsi="Times New Roman" w:cs="Times New Roman"/>
          <w:color w:val="000000" w:themeColor="text1"/>
        </w:rPr>
        <w:t>z niepełnosprawnościami</w:t>
      </w:r>
      <w:r w:rsidR="00015FCF">
        <w:rPr>
          <w:rFonts w:ascii="Times New Roman" w:hAnsi="Times New Roman" w:cs="Times New Roman"/>
          <w:color w:val="000000" w:themeColor="text1"/>
        </w:rPr>
        <w:t xml:space="preserve"> i ich opiekunów</w:t>
      </w:r>
      <w:r>
        <w:rPr>
          <w:rFonts w:ascii="Times New Roman" w:hAnsi="Times New Roman" w:cs="Times New Roman"/>
          <w:color w:val="000000" w:themeColor="text1"/>
        </w:rPr>
        <w:t xml:space="preserve"> (zgodnie z danymi przekazanymi przez gminy z świadczeń dla osób </w:t>
      </w:r>
      <w:r>
        <w:rPr>
          <w:rFonts w:ascii="Times New Roman" w:hAnsi="Times New Roman" w:cs="Times New Roman"/>
          <w:color w:val="000000" w:themeColor="text1"/>
        </w:rPr>
        <w:br/>
        <w:t>z niepełnosprawnością</w:t>
      </w:r>
      <w:r w:rsidR="00015FCF">
        <w:rPr>
          <w:rFonts w:ascii="Times New Roman" w:hAnsi="Times New Roman" w:cs="Times New Roman"/>
          <w:color w:val="000000" w:themeColor="text1"/>
        </w:rPr>
        <w:t xml:space="preserve"> na terenie obszaru w 2021</w:t>
      </w:r>
      <w:r w:rsidR="00B97DAF">
        <w:rPr>
          <w:rFonts w:ascii="Times New Roman" w:hAnsi="Times New Roman" w:cs="Times New Roman"/>
          <w:color w:val="000000" w:themeColor="text1"/>
        </w:rPr>
        <w:t xml:space="preserve"> </w:t>
      </w:r>
      <w:r w:rsidR="00015FCF">
        <w:rPr>
          <w:rFonts w:ascii="Times New Roman" w:hAnsi="Times New Roman" w:cs="Times New Roman"/>
          <w:color w:val="000000" w:themeColor="text1"/>
        </w:rPr>
        <w:t>r</w:t>
      </w:r>
      <w:r w:rsidR="00B97DAF">
        <w:rPr>
          <w:rFonts w:ascii="Times New Roman" w:hAnsi="Times New Roman" w:cs="Times New Roman"/>
          <w:color w:val="000000" w:themeColor="text1"/>
        </w:rPr>
        <w:t>.</w:t>
      </w:r>
      <w:r w:rsidR="00015FCF">
        <w:rPr>
          <w:rFonts w:ascii="Times New Roman" w:hAnsi="Times New Roman" w:cs="Times New Roman"/>
          <w:color w:val="000000" w:themeColor="text1"/>
        </w:rPr>
        <w:t xml:space="preserve"> korzystało</w:t>
      </w:r>
      <w:r>
        <w:rPr>
          <w:rFonts w:ascii="Times New Roman" w:hAnsi="Times New Roman" w:cs="Times New Roman"/>
          <w:color w:val="000000" w:themeColor="text1"/>
        </w:rPr>
        <w:t xml:space="preserve"> </w:t>
      </w:r>
      <w:r w:rsidR="003448FD">
        <w:rPr>
          <w:rFonts w:ascii="Times New Roman" w:hAnsi="Times New Roman" w:cs="Times New Roman"/>
          <w:color w:val="000000" w:themeColor="text1"/>
        </w:rPr>
        <w:t>1 204</w:t>
      </w:r>
      <w:r>
        <w:rPr>
          <w:rFonts w:ascii="Times New Roman" w:hAnsi="Times New Roman" w:cs="Times New Roman"/>
          <w:color w:val="000000" w:themeColor="text1"/>
        </w:rPr>
        <w:t xml:space="preserve"> os</w:t>
      </w:r>
      <w:r w:rsidR="00015FCF">
        <w:rPr>
          <w:rFonts w:ascii="Times New Roman" w:hAnsi="Times New Roman" w:cs="Times New Roman"/>
          <w:color w:val="000000" w:themeColor="text1"/>
        </w:rPr>
        <w:t>oby</w:t>
      </w:r>
      <w:r>
        <w:rPr>
          <w:rFonts w:ascii="Times New Roman" w:hAnsi="Times New Roman" w:cs="Times New Roman"/>
          <w:color w:val="000000" w:themeColor="text1"/>
        </w:rPr>
        <w:t>)</w:t>
      </w:r>
      <w:r w:rsidR="003448FD">
        <w:rPr>
          <w:rFonts w:ascii="Times New Roman" w:hAnsi="Times New Roman" w:cs="Times New Roman"/>
          <w:color w:val="000000" w:themeColor="text1"/>
        </w:rPr>
        <w:t xml:space="preserve">. </w:t>
      </w:r>
      <w:r w:rsidRPr="00510006">
        <w:rPr>
          <w:rFonts w:ascii="Times New Roman" w:hAnsi="Times New Roman" w:cs="Times New Roman"/>
          <w:color w:val="000000" w:themeColor="text1"/>
        </w:rPr>
        <w:t>Podczas wdrażania LSR upowszechniane i wdrażane będą rozwiązania innowacyjne, w tym cyfrowe, usuwające bariery rozwojowe wsi.</w:t>
      </w:r>
      <w:r w:rsidR="00015FCF">
        <w:rPr>
          <w:rFonts w:ascii="Times New Roman" w:hAnsi="Times New Roman" w:cs="Times New Roman"/>
          <w:color w:val="000000" w:themeColor="text1"/>
        </w:rPr>
        <w:br w:type="page"/>
      </w:r>
    </w:p>
    <w:p w14:paraId="37283E41" w14:textId="77777777" w:rsidR="00A17173" w:rsidRPr="00293649" w:rsidRDefault="00A17173" w:rsidP="00293649">
      <w:pPr>
        <w:pStyle w:val="podnagowek"/>
        <w:numPr>
          <w:ilvl w:val="0"/>
          <w:numId w:val="17"/>
        </w:numPr>
        <w:spacing w:after="80"/>
        <w:ind w:left="782" w:hanging="357"/>
        <w:rPr>
          <w:sz w:val="22"/>
          <w:szCs w:val="22"/>
        </w:rPr>
      </w:pPr>
      <w:bookmarkStart w:id="85" w:name="_Toc135896899"/>
      <w:r w:rsidRPr="00293649">
        <w:rPr>
          <w:sz w:val="22"/>
          <w:szCs w:val="22"/>
        </w:rPr>
        <w:lastRenderedPageBreak/>
        <w:t>Analiza SWOT</w:t>
      </w:r>
      <w:bookmarkEnd w:id="85"/>
    </w:p>
    <w:p w14:paraId="1DE90ADF" w14:textId="5E53D792" w:rsidR="00A17173" w:rsidRDefault="00A17173" w:rsidP="00A17173">
      <w:pPr>
        <w:autoSpaceDE w:val="0"/>
        <w:autoSpaceDN w:val="0"/>
        <w:adjustRightInd w:val="0"/>
        <w:spacing w:after="0" w:line="276" w:lineRule="auto"/>
        <w:ind w:firstLine="709"/>
        <w:jc w:val="both"/>
        <w:rPr>
          <w:rFonts w:ascii="Times New Roman" w:hAnsi="Times New Roman" w:cs="Times New Roman"/>
          <w:color w:val="000000"/>
        </w:rPr>
      </w:pPr>
      <w:r w:rsidRPr="00E50616">
        <w:rPr>
          <w:rFonts w:ascii="Times New Roman" w:hAnsi="Times New Roman" w:cs="Times New Roman"/>
          <w:color w:val="000000"/>
        </w:rPr>
        <w:t xml:space="preserve">Analiza SWOT to jedno z najpopularniejszych i najskuteczniejszych narzędzi analitycznych wykorzystywanych we wszystkich obszarach planowania strategicznego. Jej nazwa pochodzi od akronimów angielskich słów </w:t>
      </w:r>
      <w:r w:rsidRPr="00E50616">
        <w:rPr>
          <w:rFonts w:ascii="Times New Roman" w:hAnsi="Times New Roman" w:cs="Times New Roman"/>
          <w:b/>
          <w:bCs/>
          <w:i/>
          <w:iCs/>
          <w:color w:val="000000"/>
        </w:rPr>
        <w:t>S</w:t>
      </w:r>
      <w:r w:rsidRPr="00E50616">
        <w:rPr>
          <w:rFonts w:ascii="Times New Roman" w:hAnsi="Times New Roman" w:cs="Times New Roman"/>
          <w:i/>
          <w:iCs/>
          <w:color w:val="000000"/>
        </w:rPr>
        <w:t>treng</w:t>
      </w:r>
      <w:r w:rsidR="00460149">
        <w:rPr>
          <w:rFonts w:ascii="Times New Roman" w:hAnsi="Times New Roman" w:cs="Times New Roman"/>
          <w:i/>
          <w:iCs/>
          <w:color w:val="000000"/>
        </w:rPr>
        <w:t>ths</w:t>
      </w:r>
      <w:r w:rsidRPr="00E50616">
        <w:rPr>
          <w:rFonts w:ascii="Times New Roman" w:hAnsi="Times New Roman" w:cs="Times New Roman"/>
          <w:i/>
          <w:iCs/>
          <w:color w:val="000000"/>
        </w:rPr>
        <w:t xml:space="preserve"> </w:t>
      </w:r>
      <w:r w:rsidRPr="00E50616">
        <w:rPr>
          <w:rFonts w:ascii="Times New Roman" w:hAnsi="Times New Roman" w:cs="Times New Roman"/>
          <w:color w:val="000000"/>
        </w:rPr>
        <w:t xml:space="preserve">(mocne strony), </w:t>
      </w:r>
      <w:r w:rsidRPr="00E50616">
        <w:rPr>
          <w:rFonts w:ascii="Times New Roman" w:hAnsi="Times New Roman" w:cs="Times New Roman"/>
          <w:b/>
          <w:bCs/>
          <w:i/>
          <w:iCs/>
          <w:color w:val="000000"/>
        </w:rPr>
        <w:t>W</w:t>
      </w:r>
      <w:r w:rsidRPr="00E50616">
        <w:rPr>
          <w:rFonts w:ascii="Times New Roman" w:hAnsi="Times New Roman" w:cs="Times New Roman"/>
          <w:i/>
          <w:iCs/>
          <w:color w:val="000000"/>
        </w:rPr>
        <w:t xml:space="preserve">eaknesses </w:t>
      </w:r>
      <w:r w:rsidRPr="00E50616">
        <w:rPr>
          <w:rFonts w:ascii="Times New Roman" w:hAnsi="Times New Roman" w:cs="Times New Roman"/>
          <w:color w:val="000000"/>
        </w:rPr>
        <w:t xml:space="preserve">(słabe strony), </w:t>
      </w:r>
      <w:r w:rsidRPr="00E50616">
        <w:rPr>
          <w:rFonts w:ascii="Times New Roman" w:hAnsi="Times New Roman" w:cs="Times New Roman"/>
          <w:b/>
          <w:bCs/>
          <w:i/>
          <w:iCs/>
          <w:color w:val="000000"/>
        </w:rPr>
        <w:t>O</w:t>
      </w:r>
      <w:r w:rsidRPr="00E50616">
        <w:rPr>
          <w:rFonts w:ascii="Times New Roman" w:hAnsi="Times New Roman" w:cs="Times New Roman"/>
          <w:i/>
          <w:iCs/>
          <w:color w:val="000000"/>
        </w:rPr>
        <w:t xml:space="preserve">pportunities </w:t>
      </w:r>
      <w:r w:rsidRPr="00E50616">
        <w:rPr>
          <w:rFonts w:ascii="Times New Roman" w:hAnsi="Times New Roman" w:cs="Times New Roman"/>
          <w:color w:val="000000"/>
        </w:rPr>
        <w:t xml:space="preserve">(szanse) i </w:t>
      </w:r>
      <w:r w:rsidRPr="00E50616">
        <w:rPr>
          <w:rFonts w:ascii="Times New Roman" w:hAnsi="Times New Roman" w:cs="Times New Roman"/>
          <w:b/>
          <w:bCs/>
          <w:i/>
          <w:iCs/>
          <w:color w:val="000000"/>
        </w:rPr>
        <w:t>T</w:t>
      </w:r>
      <w:r w:rsidRPr="00E50616">
        <w:rPr>
          <w:rFonts w:ascii="Times New Roman" w:hAnsi="Times New Roman" w:cs="Times New Roman"/>
          <w:i/>
          <w:iCs/>
          <w:color w:val="000000"/>
        </w:rPr>
        <w:t xml:space="preserve">hreats </w:t>
      </w:r>
      <w:r w:rsidRPr="00E50616">
        <w:rPr>
          <w:rFonts w:ascii="Times New Roman" w:hAnsi="Times New Roman" w:cs="Times New Roman"/>
          <w:color w:val="000000"/>
        </w:rPr>
        <w:t>(zagrożenia)</w:t>
      </w:r>
      <w:r w:rsidRPr="00E50616">
        <w:rPr>
          <w:rFonts w:ascii="Times New Roman" w:hAnsi="Times New Roman" w:cs="Times New Roman"/>
          <w:i/>
          <w:iCs/>
          <w:color w:val="000000"/>
        </w:rPr>
        <w:t xml:space="preserve">. </w:t>
      </w:r>
      <w:r w:rsidRPr="00E50616">
        <w:rPr>
          <w:rFonts w:ascii="Times New Roman" w:hAnsi="Times New Roman" w:cs="Times New Roman"/>
          <w:color w:val="000000"/>
        </w:rPr>
        <w:t>Polega ona na zidentyfikowaniu wymienionych wyżej czterech grup czynników, dzięki czemu można je odpowiednio wykorzystać w procesie zaplanowanego rozwoju lub zniwelować skutki ich negatywnego wpływu. Dzięki tej metodzie</w:t>
      </w:r>
      <w:r>
        <w:rPr>
          <w:rFonts w:ascii="Times New Roman" w:hAnsi="Times New Roman" w:cs="Times New Roman"/>
          <w:color w:val="000000"/>
        </w:rPr>
        <w:t xml:space="preserve"> </w:t>
      </w:r>
      <w:r w:rsidRPr="00E50616">
        <w:rPr>
          <w:rFonts w:ascii="Times New Roman" w:hAnsi="Times New Roman" w:cs="Times New Roman"/>
          <w:color w:val="000000"/>
        </w:rPr>
        <w:t xml:space="preserve">można również pogrupować czynniki na pozytywne (mocne strony i szanse) oraz negatywne (słabe strony i zagrożenia). Często dzieli się je również na czynniki wewnętrzne (opisujące mocne i słabe strony danej jednostki) oraz czynniki zewnętrzne (czyli szanse i zagrożenia wynikające z jej mikro- i makrootoczenia). Czynniki wewnętrzne (mocne i słabe strony) są zależne m.in. od władz lokalnych i lokalnej społeczności, natomiast czynniki zewnętrzne (szanse i zagrożenia) należące do otoczenia bliższego i dalszego są niezależne od władz danej jednostki, a także jej mieszkańców. </w:t>
      </w:r>
    </w:p>
    <w:p w14:paraId="1052DCE3" w14:textId="2E629CF0" w:rsidR="00A17173" w:rsidRPr="00E50616" w:rsidRDefault="00A17173" w:rsidP="00A17173">
      <w:pPr>
        <w:autoSpaceDE w:val="0"/>
        <w:autoSpaceDN w:val="0"/>
        <w:adjustRightInd w:val="0"/>
        <w:spacing w:line="276" w:lineRule="auto"/>
        <w:ind w:firstLine="708"/>
        <w:jc w:val="both"/>
        <w:rPr>
          <w:rFonts w:ascii="Times New Roman" w:hAnsi="Times New Roman" w:cs="Times New Roman"/>
          <w:color w:val="000000"/>
        </w:rPr>
      </w:pPr>
      <w:r w:rsidRPr="002663A4">
        <w:rPr>
          <w:rFonts w:ascii="Times New Roman" w:hAnsi="Times New Roman" w:cs="Times New Roman"/>
          <w:color w:val="000000"/>
        </w:rPr>
        <w:t>Analiza SWOT dla obszaru</w:t>
      </w:r>
      <w:r w:rsidR="000D6E6E">
        <w:rPr>
          <w:rFonts w:ascii="Times New Roman" w:hAnsi="Times New Roman" w:cs="Times New Roman"/>
          <w:color w:val="000000"/>
        </w:rPr>
        <w:t xml:space="preserve"> Bialskopodlaskiej</w:t>
      </w:r>
      <w:r w:rsidRPr="002663A4">
        <w:rPr>
          <w:rFonts w:ascii="Times New Roman" w:hAnsi="Times New Roman" w:cs="Times New Roman"/>
          <w:color w:val="000000"/>
        </w:rPr>
        <w:t xml:space="preserve"> LGD</w:t>
      </w:r>
      <w:r>
        <w:rPr>
          <w:rFonts w:ascii="Times New Roman" w:hAnsi="Times New Roman" w:cs="Times New Roman"/>
          <w:color w:val="000000"/>
        </w:rPr>
        <w:t xml:space="preserve"> </w:t>
      </w:r>
      <w:r w:rsidRPr="002663A4">
        <w:rPr>
          <w:rFonts w:ascii="Times New Roman" w:hAnsi="Times New Roman" w:cs="Times New Roman"/>
          <w:color w:val="000000"/>
        </w:rPr>
        <w:t xml:space="preserve">(tabela </w:t>
      </w:r>
      <w:r>
        <w:rPr>
          <w:rFonts w:ascii="Times New Roman" w:hAnsi="Times New Roman" w:cs="Times New Roman"/>
          <w:color w:val="000000"/>
        </w:rPr>
        <w:t>1</w:t>
      </w:r>
      <w:r w:rsidR="006F3922">
        <w:rPr>
          <w:rFonts w:ascii="Times New Roman" w:hAnsi="Times New Roman" w:cs="Times New Roman"/>
          <w:color w:val="000000"/>
        </w:rPr>
        <w:t>5</w:t>
      </w:r>
      <w:r w:rsidRPr="002663A4">
        <w:rPr>
          <w:rFonts w:ascii="Times New Roman" w:hAnsi="Times New Roman" w:cs="Times New Roman"/>
          <w:color w:val="000000"/>
        </w:rPr>
        <w:t>) została przeprowadzona w oparciu o</w:t>
      </w:r>
      <w:r>
        <w:rPr>
          <w:rFonts w:ascii="Times New Roman" w:hAnsi="Times New Roman" w:cs="Times New Roman"/>
          <w:color w:val="000000"/>
        </w:rPr>
        <w:t> </w:t>
      </w:r>
      <w:r w:rsidRPr="002663A4">
        <w:rPr>
          <w:rFonts w:ascii="Times New Roman" w:hAnsi="Times New Roman" w:cs="Times New Roman"/>
          <w:color w:val="000000"/>
        </w:rPr>
        <w:t>dostępne dane uzyskane podczas prac nad diagnozą obszaru, w tym dane GUS, a przede wszystkim z</w:t>
      </w:r>
      <w:r>
        <w:rPr>
          <w:rFonts w:ascii="Times New Roman" w:hAnsi="Times New Roman" w:cs="Times New Roman"/>
          <w:color w:val="000000"/>
        </w:rPr>
        <w:t> </w:t>
      </w:r>
      <w:r w:rsidRPr="002663A4">
        <w:rPr>
          <w:rFonts w:ascii="Times New Roman" w:hAnsi="Times New Roman" w:cs="Times New Roman"/>
          <w:color w:val="000000"/>
        </w:rPr>
        <w:t>wykorzystaniem zróżnicowanych metod partycypacji społecznej</w:t>
      </w:r>
      <w:r>
        <w:rPr>
          <w:rFonts w:ascii="Times New Roman" w:hAnsi="Times New Roman" w:cs="Times New Roman"/>
          <w:color w:val="000000"/>
        </w:rPr>
        <w:t xml:space="preserve">. </w:t>
      </w:r>
      <w:r w:rsidRPr="002663A4">
        <w:rPr>
          <w:rFonts w:ascii="Times New Roman" w:hAnsi="Times New Roman" w:cs="Times New Roman"/>
          <w:color w:val="000000"/>
        </w:rPr>
        <w:t>W analizie starano się uwzględnić możliwie najwięcej rekomendacji, uwag i opinii lokalnej społeczności, będącej przedstawicielami wszystkich trzech sektorów: społecznego, gospodarczego i</w:t>
      </w:r>
      <w:r>
        <w:rPr>
          <w:rFonts w:ascii="Times New Roman" w:hAnsi="Times New Roman" w:cs="Times New Roman"/>
          <w:color w:val="000000"/>
        </w:rPr>
        <w:t> </w:t>
      </w:r>
      <w:r w:rsidRPr="002663A4">
        <w:rPr>
          <w:rFonts w:ascii="Times New Roman" w:hAnsi="Times New Roman" w:cs="Times New Roman"/>
          <w:color w:val="000000"/>
        </w:rPr>
        <w:t xml:space="preserve">publicznego oraz mieszkańców. </w:t>
      </w:r>
    </w:p>
    <w:p w14:paraId="55F0BC11" w14:textId="56292D91" w:rsidR="00A17173" w:rsidRDefault="00A17173" w:rsidP="00A17173">
      <w:pPr>
        <w:pStyle w:val="Legenda"/>
        <w:spacing w:after="0"/>
        <w:jc w:val="center"/>
        <w:rPr>
          <w:rFonts w:ascii="Times New Roman" w:hAnsi="Times New Roman" w:cs="Times New Roman"/>
          <w:b/>
          <w:bCs/>
          <w:i w:val="0"/>
          <w:iCs w:val="0"/>
          <w:color w:val="000000" w:themeColor="text1"/>
          <w:sz w:val="20"/>
          <w:szCs w:val="20"/>
        </w:rPr>
      </w:pPr>
      <w:bookmarkStart w:id="86" w:name="_Toc112152419"/>
      <w:bookmarkStart w:id="87" w:name="_Toc115335610"/>
      <w:bookmarkStart w:id="88" w:name="_Toc135896556"/>
      <w:r w:rsidRPr="00E50616">
        <w:rPr>
          <w:rFonts w:ascii="Times New Roman" w:hAnsi="Times New Roman" w:cs="Times New Roman"/>
          <w:b/>
          <w:bCs/>
          <w:i w:val="0"/>
          <w:iCs w:val="0"/>
          <w:color w:val="000000" w:themeColor="text1"/>
          <w:sz w:val="20"/>
          <w:szCs w:val="20"/>
        </w:rPr>
        <w:t xml:space="preserve">Tabela </w:t>
      </w:r>
      <w:r w:rsidRPr="00E50616">
        <w:rPr>
          <w:rFonts w:ascii="Times New Roman" w:hAnsi="Times New Roman" w:cs="Times New Roman"/>
          <w:b/>
          <w:bCs/>
          <w:i w:val="0"/>
          <w:iCs w:val="0"/>
          <w:color w:val="000000" w:themeColor="text1"/>
          <w:sz w:val="20"/>
          <w:szCs w:val="20"/>
        </w:rPr>
        <w:fldChar w:fldCharType="begin"/>
      </w:r>
      <w:r w:rsidRPr="00E50616">
        <w:rPr>
          <w:rFonts w:ascii="Times New Roman" w:hAnsi="Times New Roman" w:cs="Times New Roman"/>
          <w:b/>
          <w:bCs/>
          <w:i w:val="0"/>
          <w:iCs w:val="0"/>
          <w:color w:val="000000" w:themeColor="text1"/>
          <w:sz w:val="20"/>
          <w:szCs w:val="20"/>
        </w:rPr>
        <w:instrText xml:space="preserve"> SEQ Tabela \* ARABIC </w:instrText>
      </w:r>
      <w:r w:rsidRPr="00E50616">
        <w:rPr>
          <w:rFonts w:ascii="Times New Roman" w:hAnsi="Times New Roman" w:cs="Times New Roman"/>
          <w:b/>
          <w:bCs/>
          <w:i w:val="0"/>
          <w:iCs w:val="0"/>
          <w:color w:val="000000" w:themeColor="text1"/>
          <w:sz w:val="20"/>
          <w:szCs w:val="20"/>
        </w:rPr>
        <w:fldChar w:fldCharType="separate"/>
      </w:r>
      <w:r w:rsidR="006F3922">
        <w:rPr>
          <w:rFonts w:ascii="Times New Roman" w:hAnsi="Times New Roman" w:cs="Times New Roman"/>
          <w:b/>
          <w:bCs/>
          <w:i w:val="0"/>
          <w:iCs w:val="0"/>
          <w:noProof/>
          <w:color w:val="000000" w:themeColor="text1"/>
          <w:sz w:val="20"/>
          <w:szCs w:val="20"/>
        </w:rPr>
        <w:t>14</w:t>
      </w:r>
      <w:r w:rsidRPr="00E50616">
        <w:rPr>
          <w:rFonts w:ascii="Times New Roman" w:hAnsi="Times New Roman" w:cs="Times New Roman"/>
          <w:b/>
          <w:bCs/>
          <w:i w:val="0"/>
          <w:iCs w:val="0"/>
          <w:color w:val="000000" w:themeColor="text1"/>
          <w:sz w:val="20"/>
          <w:szCs w:val="20"/>
        </w:rPr>
        <w:fldChar w:fldCharType="end"/>
      </w:r>
      <w:r w:rsidRPr="00E50616">
        <w:rPr>
          <w:rFonts w:ascii="Times New Roman" w:hAnsi="Times New Roman" w:cs="Times New Roman"/>
          <w:b/>
          <w:bCs/>
          <w:i w:val="0"/>
          <w:iCs w:val="0"/>
          <w:color w:val="000000" w:themeColor="text1"/>
          <w:sz w:val="20"/>
          <w:szCs w:val="20"/>
        </w:rPr>
        <w:t xml:space="preserve"> Schemat analizy SWOT</w:t>
      </w:r>
      <w:bookmarkEnd w:id="86"/>
      <w:bookmarkEnd w:id="87"/>
      <w:bookmarkEnd w:id="88"/>
    </w:p>
    <w:p w14:paraId="0F6BBC95" w14:textId="77777777" w:rsidR="00A17173" w:rsidRPr="00E50616" w:rsidRDefault="00A17173" w:rsidP="00A17173">
      <w:pPr>
        <w:spacing w:after="0"/>
      </w:pPr>
      <w:r>
        <w:rPr>
          <w:noProof/>
        </w:rPr>
        <w:drawing>
          <wp:inline distT="0" distB="0" distL="0" distR="0" wp14:anchorId="0D257997" wp14:editId="71B645A8">
            <wp:extent cx="6477000" cy="994410"/>
            <wp:effectExtent l="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4082" r="1047"/>
                    <a:stretch/>
                  </pic:blipFill>
                  <pic:spPr bwMode="auto">
                    <a:xfrm>
                      <a:off x="0" y="0"/>
                      <a:ext cx="6478381" cy="994622"/>
                    </a:xfrm>
                    <a:prstGeom prst="rect">
                      <a:avLst/>
                    </a:prstGeom>
                    <a:ln>
                      <a:noFill/>
                    </a:ln>
                    <a:extLst>
                      <a:ext uri="{53640926-AAD7-44D8-BBD7-CCE9431645EC}">
                        <a14:shadowObscured xmlns:a14="http://schemas.microsoft.com/office/drawing/2010/main"/>
                      </a:ext>
                    </a:extLst>
                  </pic:spPr>
                </pic:pic>
              </a:graphicData>
            </a:graphic>
          </wp:inline>
        </w:drawing>
      </w:r>
    </w:p>
    <w:p w14:paraId="476CF3B7" w14:textId="77777777" w:rsidR="00A62189" w:rsidRDefault="00A17173" w:rsidP="00A17173">
      <w:pPr>
        <w:jc w:val="center"/>
        <w:rPr>
          <w:rFonts w:ascii="Times New Roman" w:hAnsi="Times New Roman" w:cs="Times New Roman"/>
          <w:i/>
          <w:iCs/>
          <w:color w:val="000000" w:themeColor="text1"/>
          <w:sz w:val="20"/>
          <w:szCs w:val="20"/>
        </w:rPr>
      </w:pPr>
      <w:r w:rsidRPr="00E50616">
        <w:rPr>
          <w:rFonts w:ascii="Times New Roman" w:hAnsi="Times New Roman" w:cs="Times New Roman"/>
          <w:i/>
          <w:iCs/>
          <w:color w:val="000000" w:themeColor="text1"/>
          <w:sz w:val="20"/>
          <w:szCs w:val="20"/>
        </w:rPr>
        <w:t xml:space="preserve">Źródło: </w:t>
      </w:r>
      <w:r>
        <w:rPr>
          <w:rFonts w:ascii="Times New Roman" w:hAnsi="Times New Roman" w:cs="Times New Roman"/>
          <w:i/>
          <w:iCs/>
          <w:color w:val="000000" w:themeColor="text1"/>
          <w:sz w:val="20"/>
          <w:szCs w:val="20"/>
        </w:rPr>
        <w:t>Opracowanie</w:t>
      </w:r>
      <w:r w:rsidRPr="00E50616">
        <w:rPr>
          <w:rFonts w:ascii="Times New Roman" w:hAnsi="Times New Roman" w:cs="Times New Roman"/>
          <w:i/>
          <w:iCs/>
          <w:color w:val="000000" w:themeColor="text1"/>
          <w:sz w:val="20"/>
          <w:szCs w:val="20"/>
        </w:rPr>
        <w:t xml:space="preserve"> własne</w:t>
      </w:r>
    </w:p>
    <w:p w14:paraId="1594989A" w14:textId="507353FE" w:rsidR="00A17173" w:rsidRPr="0080115F" w:rsidRDefault="00A17173" w:rsidP="00A17173">
      <w:pPr>
        <w:pStyle w:val="Legenda"/>
        <w:spacing w:after="0"/>
        <w:jc w:val="center"/>
        <w:rPr>
          <w:rFonts w:ascii="Times New Roman" w:hAnsi="Times New Roman" w:cs="Times New Roman"/>
          <w:b/>
          <w:bCs/>
          <w:color w:val="000000" w:themeColor="text1"/>
          <w:sz w:val="20"/>
          <w:szCs w:val="20"/>
        </w:rPr>
      </w:pPr>
      <w:bookmarkStart w:id="89" w:name="_Toc115335611"/>
      <w:bookmarkStart w:id="90" w:name="_Toc135896557"/>
      <w:r w:rsidRPr="00CE5DFE">
        <w:rPr>
          <w:rFonts w:ascii="Times New Roman" w:hAnsi="Times New Roman" w:cs="Times New Roman"/>
          <w:b/>
          <w:bCs/>
          <w:i w:val="0"/>
          <w:iCs w:val="0"/>
          <w:color w:val="000000" w:themeColor="text1"/>
          <w:sz w:val="20"/>
          <w:szCs w:val="20"/>
        </w:rPr>
        <w:t xml:space="preserve">Tabela </w:t>
      </w:r>
      <w:r w:rsidRPr="00CE5DFE">
        <w:rPr>
          <w:rFonts w:ascii="Times New Roman" w:hAnsi="Times New Roman" w:cs="Times New Roman"/>
          <w:b/>
          <w:bCs/>
          <w:i w:val="0"/>
          <w:iCs w:val="0"/>
          <w:color w:val="000000" w:themeColor="text1"/>
          <w:sz w:val="20"/>
          <w:szCs w:val="20"/>
        </w:rPr>
        <w:fldChar w:fldCharType="begin"/>
      </w:r>
      <w:r w:rsidRPr="00CE5DFE">
        <w:rPr>
          <w:rFonts w:ascii="Times New Roman" w:hAnsi="Times New Roman" w:cs="Times New Roman"/>
          <w:b/>
          <w:bCs/>
          <w:i w:val="0"/>
          <w:iCs w:val="0"/>
          <w:color w:val="000000" w:themeColor="text1"/>
          <w:sz w:val="20"/>
          <w:szCs w:val="20"/>
        </w:rPr>
        <w:instrText xml:space="preserve"> SEQ Tabela \* ARABIC </w:instrText>
      </w:r>
      <w:r w:rsidRPr="00CE5DFE">
        <w:rPr>
          <w:rFonts w:ascii="Times New Roman" w:hAnsi="Times New Roman" w:cs="Times New Roman"/>
          <w:b/>
          <w:bCs/>
          <w:i w:val="0"/>
          <w:iCs w:val="0"/>
          <w:color w:val="000000" w:themeColor="text1"/>
          <w:sz w:val="20"/>
          <w:szCs w:val="20"/>
        </w:rPr>
        <w:fldChar w:fldCharType="separate"/>
      </w:r>
      <w:r w:rsidR="00E606D8">
        <w:rPr>
          <w:rFonts w:ascii="Times New Roman" w:hAnsi="Times New Roman" w:cs="Times New Roman"/>
          <w:b/>
          <w:bCs/>
          <w:i w:val="0"/>
          <w:iCs w:val="0"/>
          <w:noProof/>
          <w:color w:val="000000" w:themeColor="text1"/>
          <w:sz w:val="20"/>
          <w:szCs w:val="20"/>
        </w:rPr>
        <w:t>15</w:t>
      </w:r>
      <w:r w:rsidRPr="00CE5DFE">
        <w:rPr>
          <w:rFonts w:ascii="Times New Roman" w:hAnsi="Times New Roman" w:cs="Times New Roman"/>
          <w:b/>
          <w:bCs/>
          <w:i w:val="0"/>
          <w:iCs w:val="0"/>
          <w:color w:val="000000" w:themeColor="text1"/>
          <w:sz w:val="20"/>
          <w:szCs w:val="20"/>
        </w:rPr>
        <w:fldChar w:fldCharType="end"/>
      </w:r>
      <w:r>
        <w:t xml:space="preserve"> </w:t>
      </w:r>
      <w:r w:rsidRPr="00E50616">
        <w:rPr>
          <w:rFonts w:ascii="Times New Roman" w:hAnsi="Times New Roman" w:cs="Times New Roman"/>
          <w:b/>
          <w:bCs/>
          <w:i w:val="0"/>
          <w:iCs w:val="0"/>
          <w:color w:val="000000" w:themeColor="text1"/>
          <w:sz w:val="20"/>
          <w:szCs w:val="20"/>
        </w:rPr>
        <w:t>Analiza SWOT</w:t>
      </w:r>
      <w:bookmarkEnd w:id="89"/>
      <w:bookmarkEnd w:id="90"/>
    </w:p>
    <w:tbl>
      <w:tblPr>
        <w:tblStyle w:val="Tabela-Siatka"/>
        <w:tblW w:w="5000" w:type="pct"/>
        <w:tblLook w:val="04A0" w:firstRow="1" w:lastRow="0" w:firstColumn="1" w:lastColumn="0" w:noHBand="0" w:noVBand="1"/>
      </w:tblPr>
      <w:tblGrid>
        <w:gridCol w:w="5093"/>
        <w:gridCol w:w="5101"/>
      </w:tblGrid>
      <w:tr w:rsidR="000D6E6E" w:rsidRPr="00056C70" w14:paraId="3F99B1F0" w14:textId="77777777" w:rsidTr="00B56B71">
        <w:tc>
          <w:tcPr>
            <w:tcW w:w="2498" w:type="pct"/>
            <w:shd w:val="clear" w:color="auto" w:fill="F2F2F2" w:themeFill="background1" w:themeFillShade="F2"/>
            <w:vAlign w:val="center"/>
          </w:tcPr>
          <w:p w14:paraId="353FF490" w14:textId="77777777" w:rsidR="000D6E6E" w:rsidRPr="00056C70" w:rsidRDefault="000D6E6E" w:rsidP="000F4949">
            <w:pPr>
              <w:spacing w:line="276" w:lineRule="auto"/>
              <w:jc w:val="center"/>
              <w:rPr>
                <w:rFonts w:ascii="Times New Roman" w:hAnsi="Times New Roman" w:cs="Times New Roman"/>
                <w:b/>
                <w:bCs/>
                <w:color w:val="000000" w:themeColor="text1"/>
                <w:sz w:val="20"/>
                <w:szCs w:val="20"/>
              </w:rPr>
            </w:pPr>
            <w:r w:rsidRPr="00056C70">
              <w:rPr>
                <w:rFonts w:ascii="Times New Roman" w:hAnsi="Times New Roman" w:cs="Times New Roman"/>
                <w:b/>
                <w:bCs/>
                <w:color w:val="000000" w:themeColor="text1"/>
                <w:sz w:val="20"/>
                <w:szCs w:val="20"/>
              </w:rPr>
              <w:t>MOCNE STRONY</w:t>
            </w:r>
          </w:p>
        </w:tc>
        <w:tc>
          <w:tcPr>
            <w:tcW w:w="2502" w:type="pct"/>
            <w:shd w:val="clear" w:color="auto" w:fill="F2F2F2" w:themeFill="background1" w:themeFillShade="F2"/>
            <w:vAlign w:val="center"/>
          </w:tcPr>
          <w:p w14:paraId="21EA9A62" w14:textId="77777777" w:rsidR="000D6E6E" w:rsidRPr="00056C70" w:rsidRDefault="000D6E6E" w:rsidP="000F4949">
            <w:pPr>
              <w:spacing w:line="276" w:lineRule="auto"/>
              <w:jc w:val="center"/>
              <w:rPr>
                <w:rFonts w:ascii="Times New Roman" w:hAnsi="Times New Roman" w:cs="Times New Roman"/>
                <w:b/>
                <w:bCs/>
                <w:color w:val="000000" w:themeColor="text1"/>
                <w:sz w:val="20"/>
                <w:szCs w:val="20"/>
              </w:rPr>
            </w:pPr>
            <w:r w:rsidRPr="00056C70">
              <w:rPr>
                <w:rFonts w:ascii="Times New Roman" w:hAnsi="Times New Roman" w:cs="Times New Roman"/>
                <w:b/>
                <w:bCs/>
                <w:color w:val="000000" w:themeColor="text1"/>
                <w:sz w:val="20"/>
                <w:szCs w:val="20"/>
              </w:rPr>
              <w:t>SŁABE STRON</w:t>
            </w:r>
            <w:r>
              <w:rPr>
                <w:rFonts w:ascii="Times New Roman" w:hAnsi="Times New Roman" w:cs="Times New Roman"/>
                <w:b/>
                <w:bCs/>
                <w:color w:val="000000" w:themeColor="text1"/>
                <w:sz w:val="20"/>
                <w:szCs w:val="20"/>
              </w:rPr>
              <w:t>Y</w:t>
            </w:r>
          </w:p>
        </w:tc>
      </w:tr>
      <w:tr w:rsidR="000D6E6E" w:rsidRPr="00056C70" w14:paraId="2928975A" w14:textId="77777777" w:rsidTr="00B56B71">
        <w:tc>
          <w:tcPr>
            <w:tcW w:w="2498" w:type="pct"/>
          </w:tcPr>
          <w:p w14:paraId="064C1D95" w14:textId="77777777" w:rsidR="000D6E6E" w:rsidRPr="00226A08" w:rsidRDefault="000D6E6E" w:rsidP="00CD2D87">
            <w:pPr>
              <w:pStyle w:val="Akapitzlist"/>
              <w:numPr>
                <w:ilvl w:val="0"/>
                <w:numId w:val="2"/>
              </w:numPr>
              <w:spacing w:line="276" w:lineRule="auto"/>
              <w:ind w:left="318"/>
              <w:rPr>
                <w:rFonts w:ascii="Times New Roman" w:hAnsi="Times New Roman" w:cs="Times New Roman"/>
                <w:sz w:val="20"/>
                <w:szCs w:val="20"/>
              </w:rPr>
            </w:pPr>
            <w:r w:rsidRPr="00846C5E">
              <w:rPr>
                <w:rFonts w:ascii="Times New Roman" w:hAnsi="Times New Roman" w:cs="Times New Roman"/>
                <w:sz w:val="20"/>
                <w:szCs w:val="20"/>
              </w:rPr>
              <w:t>Rozwijające się budownictwo</w:t>
            </w:r>
            <w:r>
              <w:rPr>
                <w:rFonts w:ascii="Times New Roman" w:hAnsi="Times New Roman" w:cs="Times New Roman"/>
                <w:sz w:val="20"/>
                <w:szCs w:val="20"/>
              </w:rPr>
              <w:t xml:space="preserve"> </w:t>
            </w:r>
            <w:r w:rsidRPr="00846C5E">
              <w:rPr>
                <w:rFonts w:ascii="Times New Roman" w:hAnsi="Times New Roman" w:cs="Times New Roman"/>
                <w:sz w:val="20"/>
                <w:szCs w:val="20"/>
              </w:rPr>
              <w:t>mieszkaniowe na obszarze</w:t>
            </w:r>
            <w:r>
              <w:rPr>
                <w:rFonts w:ascii="Times New Roman" w:hAnsi="Times New Roman" w:cs="Times New Roman"/>
                <w:sz w:val="20"/>
                <w:szCs w:val="20"/>
              </w:rPr>
              <w:t xml:space="preserve"> – wysoki wskaźnik po</w:t>
            </w:r>
            <w:r w:rsidRPr="004E1804">
              <w:rPr>
                <w:rFonts w:ascii="Times New Roman" w:hAnsi="Times New Roman" w:cs="Times New Roman"/>
                <w:sz w:val="20"/>
                <w:szCs w:val="20"/>
              </w:rPr>
              <w:t>zwole</w:t>
            </w:r>
            <w:r>
              <w:rPr>
                <w:rFonts w:ascii="Times New Roman" w:hAnsi="Times New Roman" w:cs="Times New Roman"/>
                <w:sz w:val="20"/>
                <w:szCs w:val="20"/>
              </w:rPr>
              <w:t>ń</w:t>
            </w:r>
            <w:r w:rsidRPr="004E1804">
              <w:rPr>
                <w:rFonts w:ascii="Times New Roman" w:hAnsi="Times New Roman" w:cs="Times New Roman"/>
                <w:sz w:val="20"/>
                <w:szCs w:val="20"/>
              </w:rPr>
              <w:t xml:space="preserve"> wydan</w:t>
            </w:r>
            <w:r>
              <w:rPr>
                <w:rFonts w:ascii="Times New Roman" w:hAnsi="Times New Roman" w:cs="Times New Roman"/>
                <w:sz w:val="20"/>
                <w:szCs w:val="20"/>
              </w:rPr>
              <w:t>ych</w:t>
            </w:r>
            <w:r w:rsidRPr="004E1804">
              <w:rPr>
                <w:rFonts w:ascii="Times New Roman" w:hAnsi="Times New Roman" w:cs="Times New Roman"/>
                <w:sz w:val="20"/>
                <w:szCs w:val="20"/>
              </w:rPr>
              <w:t xml:space="preserve"> na budowę i</w:t>
            </w:r>
            <w:r>
              <w:rPr>
                <w:rFonts w:ascii="Times New Roman" w:hAnsi="Times New Roman" w:cs="Times New Roman"/>
                <w:sz w:val="20"/>
                <w:szCs w:val="20"/>
              </w:rPr>
              <w:t> </w:t>
            </w:r>
            <w:r w:rsidRPr="004E1804">
              <w:rPr>
                <w:rFonts w:ascii="Times New Roman" w:hAnsi="Times New Roman" w:cs="Times New Roman"/>
                <w:sz w:val="20"/>
                <w:szCs w:val="20"/>
              </w:rPr>
              <w:t>zgłosze</w:t>
            </w:r>
            <w:r>
              <w:rPr>
                <w:rFonts w:ascii="Times New Roman" w:hAnsi="Times New Roman" w:cs="Times New Roman"/>
                <w:sz w:val="20"/>
                <w:szCs w:val="20"/>
              </w:rPr>
              <w:t>ń</w:t>
            </w:r>
            <w:r w:rsidRPr="004E1804">
              <w:rPr>
                <w:rFonts w:ascii="Times New Roman" w:hAnsi="Times New Roman" w:cs="Times New Roman"/>
                <w:sz w:val="20"/>
                <w:szCs w:val="20"/>
              </w:rPr>
              <w:t xml:space="preserve"> budowy z</w:t>
            </w:r>
            <w:r>
              <w:rPr>
                <w:rFonts w:ascii="Times New Roman" w:hAnsi="Times New Roman" w:cs="Times New Roman"/>
                <w:sz w:val="20"/>
                <w:szCs w:val="20"/>
              </w:rPr>
              <w:t> </w:t>
            </w:r>
            <w:r w:rsidRPr="004E1804">
              <w:rPr>
                <w:rFonts w:ascii="Times New Roman" w:hAnsi="Times New Roman" w:cs="Times New Roman"/>
                <w:sz w:val="20"/>
                <w:szCs w:val="20"/>
              </w:rPr>
              <w:t>projektem budowlanym</w:t>
            </w:r>
            <w:r>
              <w:rPr>
                <w:rFonts w:ascii="Times New Roman" w:hAnsi="Times New Roman" w:cs="Times New Roman"/>
                <w:sz w:val="20"/>
                <w:szCs w:val="20"/>
              </w:rPr>
              <w:t>, spowodowany głównie atrakcyjnością osiedleńczą Gminy Biała Podlaska.</w:t>
            </w:r>
          </w:p>
        </w:tc>
        <w:tc>
          <w:tcPr>
            <w:tcW w:w="2502" w:type="pct"/>
          </w:tcPr>
          <w:p w14:paraId="6E55D006" w14:textId="77777777" w:rsidR="000D6E6E" w:rsidRPr="00F12F9D" w:rsidRDefault="000D6E6E" w:rsidP="00CD2D87">
            <w:pPr>
              <w:pStyle w:val="Akapitzlist"/>
              <w:numPr>
                <w:ilvl w:val="0"/>
                <w:numId w:val="3"/>
              </w:numPr>
              <w:spacing w:line="276" w:lineRule="auto"/>
              <w:ind w:left="318"/>
              <w:rPr>
                <w:rFonts w:ascii="Times New Roman" w:hAnsi="Times New Roman" w:cs="Times New Roman"/>
                <w:sz w:val="20"/>
                <w:szCs w:val="20"/>
              </w:rPr>
            </w:pPr>
            <w:r>
              <w:rPr>
                <w:rFonts w:ascii="Times New Roman" w:hAnsi="Times New Roman" w:cs="Times New Roman"/>
                <w:sz w:val="20"/>
                <w:szCs w:val="20"/>
              </w:rPr>
              <w:t>Malejąca liczba ludności spowodowana ujemnym przyrostem naturalnym i ujemnym saldem migracji.</w:t>
            </w:r>
            <w:r w:rsidRPr="00F12F9D">
              <w:rPr>
                <w:rFonts w:ascii="Times New Roman" w:hAnsi="Times New Roman" w:cs="Times New Roman"/>
                <w:sz w:val="20"/>
                <w:szCs w:val="20"/>
              </w:rPr>
              <w:t xml:space="preserve"> </w:t>
            </w:r>
          </w:p>
        </w:tc>
      </w:tr>
      <w:tr w:rsidR="000D6E6E" w14:paraId="11F0B86D" w14:textId="77777777" w:rsidTr="00B56B71">
        <w:tc>
          <w:tcPr>
            <w:tcW w:w="2498" w:type="pct"/>
          </w:tcPr>
          <w:p w14:paraId="154313DE" w14:textId="77777777" w:rsidR="000D6E6E" w:rsidRDefault="000D6E6E" w:rsidP="00CD2D87">
            <w:pPr>
              <w:pStyle w:val="Akapitzlist"/>
              <w:numPr>
                <w:ilvl w:val="0"/>
                <w:numId w:val="2"/>
              </w:numPr>
              <w:spacing w:line="276" w:lineRule="auto"/>
              <w:ind w:left="318"/>
              <w:rPr>
                <w:rFonts w:ascii="Times New Roman" w:hAnsi="Times New Roman" w:cs="Times New Roman"/>
                <w:sz w:val="20"/>
                <w:szCs w:val="20"/>
              </w:rPr>
            </w:pPr>
            <w:r w:rsidRPr="0070246C">
              <w:rPr>
                <w:rFonts w:ascii="Times New Roman" w:hAnsi="Times New Roman" w:cs="Times New Roman"/>
                <w:sz w:val="20"/>
                <w:szCs w:val="20"/>
              </w:rPr>
              <w:t xml:space="preserve">Korzystniejsze niż w województwie </w:t>
            </w:r>
            <w:r w:rsidRPr="0070246C">
              <w:rPr>
                <w:rFonts w:ascii="Times New Roman" w:hAnsi="Times New Roman" w:cs="Times New Roman"/>
                <w:sz w:val="20"/>
                <w:szCs w:val="20"/>
              </w:rPr>
              <w:br/>
              <w:t>i kraju wskaźniki obciążenia demograficznego</w:t>
            </w:r>
            <w:r>
              <w:rPr>
                <w:rFonts w:ascii="Times New Roman" w:hAnsi="Times New Roman" w:cs="Times New Roman"/>
                <w:sz w:val="20"/>
                <w:szCs w:val="20"/>
              </w:rPr>
              <w:t>.</w:t>
            </w:r>
          </w:p>
        </w:tc>
        <w:tc>
          <w:tcPr>
            <w:tcW w:w="2502" w:type="pct"/>
          </w:tcPr>
          <w:p w14:paraId="3073C9BD" w14:textId="5181F3C6" w:rsidR="000D6E6E" w:rsidRDefault="000D6E6E" w:rsidP="00CD2D87">
            <w:pPr>
              <w:pStyle w:val="Akapitzlist"/>
              <w:numPr>
                <w:ilvl w:val="0"/>
                <w:numId w:val="3"/>
              </w:numPr>
              <w:spacing w:line="276" w:lineRule="auto"/>
              <w:ind w:left="318"/>
              <w:rPr>
                <w:rFonts w:ascii="Times New Roman" w:hAnsi="Times New Roman" w:cs="Times New Roman"/>
                <w:sz w:val="20"/>
                <w:szCs w:val="20"/>
              </w:rPr>
            </w:pPr>
            <w:r>
              <w:rPr>
                <w:rFonts w:ascii="Times New Roman" w:hAnsi="Times New Roman" w:cs="Times New Roman"/>
                <w:sz w:val="20"/>
                <w:szCs w:val="20"/>
              </w:rPr>
              <w:t xml:space="preserve">Niekorzystna struktura piramidy </w:t>
            </w:r>
            <w:r w:rsidR="00460149">
              <w:rPr>
                <w:rFonts w:ascii="Times New Roman" w:hAnsi="Times New Roman" w:cs="Times New Roman"/>
                <w:sz w:val="20"/>
                <w:szCs w:val="20"/>
              </w:rPr>
              <w:t xml:space="preserve">płci i </w:t>
            </w:r>
            <w:r>
              <w:rPr>
                <w:rFonts w:ascii="Times New Roman" w:hAnsi="Times New Roman" w:cs="Times New Roman"/>
                <w:sz w:val="20"/>
                <w:szCs w:val="20"/>
              </w:rPr>
              <w:t>wieku oraz stopniowy wzrost wskaźników obciążenia demograficznego.</w:t>
            </w:r>
          </w:p>
        </w:tc>
      </w:tr>
      <w:tr w:rsidR="000D6E6E" w14:paraId="45F99062" w14:textId="77777777" w:rsidTr="00B56B71">
        <w:tc>
          <w:tcPr>
            <w:tcW w:w="2498" w:type="pct"/>
          </w:tcPr>
          <w:p w14:paraId="5ADFEDE3" w14:textId="77777777" w:rsidR="000D6E6E" w:rsidRDefault="000D6E6E" w:rsidP="00CD2D87">
            <w:pPr>
              <w:pStyle w:val="Akapitzlist"/>
              <w:numPr>
                <w:ilvl w:val="0"/>
                <w:numId w:val="2"/>
              </w:numPr>
              <w:spacing w:line="276" w:lineRule="auto"/>
              <w:ind w:left="318"/>
              <w:rPr>
                <w:rFonts w:ascii="Times New Roman" w:hAnsi="Times New Roman" w:cs="Times New Roman"/>
                <w:sz w:val="20"/>
                <w:szCs w:val="20"/>
              </w:rPr>
            </w:pPr>
            <w:r>
              <w:rPr>
                <w:rFonts w:ascii="Times New Roman" w:hAnsi="Times New Roman" w:cs="Times New Roman"/>
                <w:sz w:val="20"/>
                <w:szCs w:val="20"/>
              </w:rPr>
              <w:t>Korzystne położenie geograficzne przy międzynarodowych szlakach komunikacyjnych.</w:t>
            </w:r>
          </w:p>
        </w:tc>
        <w:tc>
          <w:tcPr>
            <w:tcW w:w="2502" w:type="pct"/>
          </w:tcPr>
          <w:p w14:paraId="6DFD0718" w14:textId="77777777" w:rsidR="000D6E6E" w:rsidRDefault="000D6E6E" w:rsidP="00CD2D87">
            <w:pPr>
              <w:pStyle w:val="Akapitzlist"/>
              <w:numPr>
                <w:ilvl w:val="0"/>
                <w:numId w:val="3"/>
              </w:numPr>
              <w:spacing w:line="276" w:lineRule="auto"/>
              <w:ind w:left="317" w:hanging="357"/>
              <w:rPr>
                <w:rFonts w:ascii="Times New Roman" w:hAnsi="Times New Roman" w:cs="Times New Roman"/>
                <w:sz w:val="20"/>
                <w:szCs w:val="20"/>
              </w:rPr>
            </w:pPr>
            <w:r>
              <w:rPr>
                <w:rFonts w:ascii="Times New Roman" w:hAnsi="Times New Roman" w:cs="Times New Roman"/>
                <w:sz w:val="20"/>
                <w:szCs w:val="20"/>
              </w:rPr>
              <w:t>Niski poziom przedsiębiorczości mieszkańców – m</w:t>
            </w:r>
            <w:r w:rsidRPr="00C1677D">
              <w:rPr>
                <w:rFonts w:ascii="Times New Roman" w:hAnsi="Times New Roman" w:cs="Times New Roman"/>
                <w:sz w:val="20"/>
                <w:szCs w:val="20"/>
              </w:rPr>
              <w:t>ała liczba istniejących i</w:t>
            </w:r>
            <w:r>
              <w:rPr>
                <w:rFonts w:ascii="Times New Roman" w:hAnsi="Times New Roman" w:cs="Times New Roman"/>
                <w:sz w:val="20"/>
                <w:szCs w:val="20"/>
              </w:rPr>
              <w:t> </w:t>
            </w:r>
            <w:r w:rsidRPr="00C1677D">
              <w:rPr>
                <w:rFonts w:ascii="Times New Roman" w:hAnsi="Times New Roman" w:cs="Times New Roman"/>
                <w:sz w:val="20"/>
                <w:szCs w:val="20"/>
              </w:rPr>
              <w:t>niewystarczająca liczba nowo rejestrowanych podmiotów gospodarczych</w:t>
            </w:r>
            <w:r>
              <w:rPr>
                <w:rFonts w:ascii="Times New Roman" w:hAnsi="Times New Roman" w:cs="Times New Roman"/>
                <w:sz w:val="20"/>
                <w:szCs w:val="20"/>
              </w:rPr>
              <w:t>.</w:t>
            </w:r>
          </w:p>
        </w:tc>
      </w:tr>
      <w:tr w:rsidR="000D6E6E" w14:paraId="6C5B5B27" w14:textId="77777777" w:rsidTr="00B56B71">
        <w:tc>
          <w:tcPr>
            <w:tcW w:w="2498" w:type="pct"/>
          </w:tcPr>
          <w:p w14:paraId="1224D878" w14:textId="52DC1FBC" w:rsidR="000D6E6E" w:rsidRDefault="000D6E6E" w:rsidP="00CD2D87">
            <w:pPr>
              <w:pStyle w:val="Akapitzlist"/>
              <w:numPr>
                <w:ilvl w:val="0"/>
                <w:numId w:val="2"/>
              </w:numPr>
              <w:spacing w:line="276" w:lineRule="auto"/>
              <w:ind w:left="318"/>
              <w:rPr>
                <w:rFonts w:ascii="Times New Roman" w:hAnsi="Times New Roman" w:cs="Times New Roman"/>
                <w:sz w:val="20"/>
                <w:szCs w:val="20"/>
              </w:rPr>
            </w:pPr>
            <w:r w:rsidRPr="00651AA4">
              <w:rPr>
                <w:rFonts w:ascii="Times New Roman" w:hAnsi="Times New Roman" w:cs="Times New Roman"/>
                <w:sz w:val="20"/>
                <w:szCs w:val="20"/>
              </w:rPr>
              <w:t xml:space="preserve">Duży udział wielkopowierzchniowych gospodarstw </w:t>
            </w:r>
            <w:r w:rsidR="00460149">
              <w:rPr>
                <w:rFonts w:ascii="Times New Roman" w:hAnsi="Times New Roman" w:cs="Times New Roman"/>
                <w:sz w:val="20"/>
                <w:szCs w:val="20"/>
              </w:rPr>
              <w:br/>
            </w:r>
            <w:r w:rsidRPr="00651AA4">
              <w:rPr>
                <w:rFonts w:ascii="Times New Roman" w:hAnsi="Times New Roman" w:cs="Times New Roman"/>
                <w:sz w:val="20"/>
                <w:szCs w:val="20"/>
              </w:rPr>
              <w:t xml:space="preserve">w strukturze wielkości gospodarstw, świadczący </w:t>
            </w:r>
            <w:r w:rsidR="00460149">
              <w:rPr>
                <w:rFonts w:ascii="Times New Roman" w:hAnsi="Times New Roman" w:cs="Times New Roman"/>
                <w:sz w:val="20"/>
                <w:szCs w:val="20"/>
              </w:rPr>
              <w:br/>
            </w:r>
            <w:r w:rsidRPr="00651AA4">
              <w:rPr>
                <w:rFonts w:ascii="Times New Roman" w:hAnsi="Times New Roman" w:cs="Times New Roman"/>
                <w:sz w:val="20"/>
                <w:szCs w:val="20"/>
              </w:rPr>
              <w:t>o specjalizacji w tej dziedzinie</w:t>
            </w:r>
            <w:r>
              <w:rPr>
                <w:rFonts w:ascii="Times New Roman" w:hAnsi="Times New Roman" w:cs="Times New Roman"/>
                <w:sz w:val="20"/>
                <w:szCs w:val="20"/>
              </w:rPr>
              <w:t xml:space="preserve"> – dobre warunki do produkcji żywności ekologicznej.</w:t>
            </w:r>
          </w:p>
        </w:tc>
        <w:tc>
          <w:tcPr>
            <w:tcW w:w="2502" w:type="pct"/>
          </w:tcPr>
          <w:p w14:paraId="20075305" w14:textId="6B543E18" w:rsidR="000D6E6E" w:rsidRDefault="000D6E6E" w:rsidP="00CD2D87">
            <w:pPr>
              <w:pStyle w:val="Akapitzlist"/>
              <w:numPr>
                <w:ilvl w:val="0"/>
                <w:numId w:val="53"/>
              </w:numPr>
              <w:spacing w:line="276" w:lineRule="auto"/>
              <w:ind w:left="317" w:hanging="357"/>
              <w:rPr>
                <w:rFonts w:ascii="Times New Roman" w:hAnsi="Times New Roman" w:cs="Times New Roman"/>
                <w:sz w:val="20"/>
                <w:szCs w:val="20"/>
              </w:rPr>
            </w:pPr>
            <w:r w:rsidRPr="00226A08">
              <w:rPr>
                <w:rFonts w:ascii="Times New Roman" w:hAnsi="Times New Roman" w:cs="Times New Roman"/>
                <w:sz w:val="20"/>
                <w:szCs w:val="20"/>
              </w:rPr>
              <w:t xml:space="preserve">Niedostateczna aktywność mieszkańców </w:t>
            </w:r>
            <w:r w:rsidR="00460149">
              <w:rPr>
                <w:rFonts w:ascii="Times New Roman" w:hAnsi="Times New Roman" w:cs="Times New Roman"/>
                <w:sz w:val="20"/>
                <w:szCs w:val="20"/>
              </w:rPr>
              <w:br/>
            </w:r>
            <w:r w:rsidRPr="00226A08">
              <w:rPr>
                <w:rFonts w:ascii="Times New Roman" w:hAnsi="Times New Roman" w:cs="Times New Roman"/>
                <w:sz w:val="20"/>
                <w:szCs w:val="20"/>
              </w:rPr>
              <w:t xml:space="preserve">w organizacjach pozarządowych </w:t>
            </w:r>
            <w:r>
              <w:rPr>
                <w:rFonts w:ascii="Times New Roman" w:hAnsi="Times New Roman" w:cs="Times New Roman"/>
                <w:sz w:val="20"/>
                <w:szCs w:val="20"/>
              </w:rPr>
              <w:t xml:space="preserve">– </w:t>
            </w:r>
            <w:r w:rsidRPr="00226A08">
              <w:rPr>
                <w:rFonts w:ascii="Times New Roman" w:hAnsi="Times New Roman" w:cs="Times New Roman"/>
                <w:sz w:val="20"/>
                <w:szCs w:val="20"/>
              </w:rPr>
              <w:t xml:space="preserve">niższa od średniej </w:t>
            </w:r>
            <w:r w:rsidR="00460149">
              <w:rPr>
                <w:rFonts w:ascii="Times New Roman" w:hAnsi="Times New Roman" w:cs="Times New Roman"/>
                <w:sz w:val="20"/>
                <w:szCs w:val="20"/>
              </w:rPr>
              <w:br/>
            </w:r>
            <w:r>
              <w:rPr>
                <w:rFonts w:ascii="Times New Roman" w:hAnsi="Times New Roman" w:cs="Times New Roman"/>
                <w:sz w:val="20"/>
                <w:szCs w:val="20"/>
              </w:rPr>
              <w:t>w</w:t>
            </w:r>
            <w:r w:rsidRPr="00226A08">
              <w:rPr>
                <w:rFonts w:ascii="Times New Roman" w:hAnsi="Times New Roman" w:cs="Times New Roman"/>
                <w:sz w:val="20"/>
                <w:szCs w:val="20"/>
              </w:rPr>
              <w:t xml:space="preserve"> województwie i</w:t>
            </w:r>
            <w:r>
              <w:rPr>
                <w:rFonts w:ascii="Times New Roman" w:hAnsi="Times New Roman" w:cs="Times New Roman"/>
                <w:sz w:val="20"/>
                <w:szCs w:val="20"/>
              </w:rPr>
              <w:t> </w:t>
            </w:r>
            <w:r w:rsidRPr="00226A08">
              <w:rPr>
                <w:rFonts w:ascii="Times New Roman" w:hAnsi="Times New Roman" w:cs="Times New Roman"/>
                <w:sz w:val="20"/>
                <w:szCs w:val="20"/>
              </w:rPr>
              <w:t>kraju liczba organizacji pozarządowych</w:t>
            </w:r>
            <w:r>
              <w:rPr>
                <w:rFonts w:ascii="Times New Roman" w:hAnsi="Times New Roman" w:cs="Times New Roman"/>
                <w:sz w:val="20"/>
                <w:szCs w:val="20"/>
              </w:rPr>
              <w:t xml:space="preserve"> </w:t>
            </w:r>
            <w:r w:rsidRPr="00226A08">
              <w:rPr>
                <w:rFonts w:ascii="Times New Roman" w:hAnsi="Times New Roman" w:cs="Times New Roman"/>
                <w:sz w:val="20"/>
                <w:szCs w:val="20"/>
              </w:rPr>
              <w:t>w</w:t>
            </w:r>
            <w:r>
              <w:rPr>
                <w:rFonts w:ascii="Times New Roman" w:hAnsi="Times New Roman" w:cs="Times New Roman"/>
                <w:sz w:val="20"/>
                <w:szCs w:val="20"/>
              </w:rPr>
              <w:t> </w:t>
            </w:r>
            <w:r w:rsidRPr="00226A08">
              <w:rPr>
                <w:rFonts w:ascii="Times New Roman" w:hAnsi="Times New Roman" w:cs="Times New Roman"/>
                <w:sz w:val="20"/>
                <w:szCs w:val="20"/>
              </w:rPr>
              <w:t>przeliczeniu na 10 tys.</w:t>
            </w:r>
            <w:r>
              <w:rPr>
                <w:rFonts w:ascii="Times New Roman" w:hAnsi="Times New Roman" w:cs="Times New Roman"/>
                <w:sz w:val="20"/>
                <w:szCs w:val="20"/>
              </w:rPr>
              <w:t xml:space="preserve"> </w:t>
            </w:r>
            <w:r w:rsidRPr="00226A08">
              <w:rPr>
                <w:rFonts w:ascii="Times New Roman" w:hAnsi="Times New Roman" w:cs="Times New Roman"/>
                <w:sz w:val="20"/>
                <w:szCs w:val="20"/>
              </w:rPr>
              <w:t>mieszkańców.</w:t>
            </w:r>
          </w:p>
        </w:tc>
      </w:tr>
      <w:tr w:rsidR="000D6E6E" w14:paraId="31F586E0" w14:textId="77777777" w:rsidTr="00B56B71">
        <w:tc>
          <w:tcPr>
            <w:tcW w:w="2498" w:type="pct"/>
          </w:tcPr>
          <w:p w14:paraId="07C4D8D7" w14:textId="77777777" w:rsidR="000D6E6E" w:rsidRDefault="000D6E6E" w:rsidP="00CD2D87">
            <w:pPr>
              <w:pStyle w:val="Akapitzlist"/>
              <w:numPr>
                <w:ilvl w:val="0"/>
                <w:numId w:val="53"/>
              </w:numPr>
              <w:spacing w:line="276" w:lineRule="auto"/>
              <w:ind w:left="317" w:hanging="357"/>
              <w:rPr>
                <w:rFonts w:ascii="Times New Roman" w:hAnsi="Times New Roman" w:cs="Times New Roman"/>
                <w:sz w:val="20"/>
                <w:szCs w:val="20"/>
              </w:rPr>
            </w:pPr>
            <w:r w:rsidRPr="00846C5E">
              <w:rPr>
                <w:rFonts w:ascii="Times New Roman" w:hAnsi="Times New Roman" w:cs="Times New Roman"/>
                <w:sz w:val="20"/>
                <w:szCs w:val="20"/>
              </w:rPr>
              <w:t>Unikatowe walory przyrodniczo</w:t>
            </w:r>
            <w:r>
              <w:rPr>
                <w:rFonts w:ascii="Times New Roman" w:hAnsi="Times New Roman" w:cs="Times New Roman"/>
                <w:sz w:val="20"/>
                <w:szCs w:val="20"/>
              </w:rPr>
              <w:t xml:space="preserve"> </w:t>
            </w:r>
            <w:r w:rsidRPr="00846C5E">
              <w:rPr>
                <w:rFonts w:ascii="Times New Roman" w:hAnsi="Times New Roman" w:cs="Times New Roman"/>
                <w:sz w:val="20"/>
                <w:szCs w:val="20"/>
              </w:rPr>
              <w:t>krajobrazowe i czyste środowisko</w:t>
            </w:r>
            <w:r>
              <w:rPr>
                <w:rFonts w:ascii="Times New Roman" w:hAnsi="Times New Roman" w:cs="Times New Roman"/>
                <w:sz w:val="20"/>
                <w:szCs w:val="20"/>
              </w:rPr>
              <w:t xml:space="preserve"> </w:t>
            </w:r>
            <w:r w:rsidRPr="00846C5E">
              <w:rPr>
                <w:rFonts w:ascii="Times New Roman" w:hAnsi="Times New Roman" w:cs="Times New Roman"/>
                <w:sz w:val="20"/>
                <w:szCs w:val="20"/>
              </w:rPr>
              <w:t>naturalne</w:t>
            </w:r>
            <w:r>
              <w:rPr>
                <w:rFonts w:ascii="Times New Roman" w:hAnsi="Times New Roman" w:cs="Times New Roman"/>
                <w:sz w:val="20"/>
                <w:szCs w:val="20"/>
              </w:rPr>
              <w:t xml:space="preserve">, w tym różnorodne formy ochrony przyrody – korzystne walory turystyczne i rekreacyjne. </w:t>
            </w:r>
          </w:p>
        </w:tc>
        <w:tc>
          <w:tcPr>
            <w:tcW w:w="2502" w:type="pct"/>
          </w:tcPr>
          <w:p w14:paraId="37C6FA8C" w14:textId="77777777" w:rsidR="000D6E6E" w:rsidRDefault="000D6E6E" w:rsidP="00CD2D87">
            <w:pPr>
              <w:pStyle w:val="Akapitzlist"/>
              <w:numPr>
                <w:ilvl w:val="0"/>
                <w:numId w:val="55"/>
              </w:numPr>
              <w:spacing w:line="276" w:lineRule="auto"/>
              <w:ind w:left="317" w:hanging="357"/>
              <w:rPr>
                <w:rFonts w:ascii="Times New Roman" w:hAnsi="Times New Roman" w:cs="Times New Roman"/>
                <w:sz w:val="20"/>
                <w:szCs w:val="20"/>
              </w:rPr>
            </w:pPr>
            <w:r>
              <w:rPr>
                <w:rFonts w:ascii="Times New Roman" w:hAnsi="Times New Roman" w:cs="Times New Roman"/>
                <w:sz w:val="20"/>
                <w:szCs w:val="20"/>
              </w:rPr>
              <w:t>Szybko pogłębiające się zjawisko długotrwałego bezrobocia.</w:t>
            </w:r>
          </w:p>
        </w:tc>
      </w:tr>
      <w:tr w:rsidR="000D6E6E" w14:paraId="2C5FB716" w14:textId="77777777" w:rsidTr="00B56B71">
        <w:tc>
          <w:tcPr>
            <w:tcW w:w="2498" w:type="pct"/>
          </w:tcPr>
          <w:p w14:paraId="33440F79" w14:textId="77777777" w:rsidR="000D6E6E" w:rsidRDefault="000D6E6E" w:rsidP="00CD2D87">
            <w:pPr>
              <w:pStyle w:val="Akapitzlist"/>
              <w:numPr>
                <w:ilvl w:val="0"/>
                <w:numId w:val="54"/>
              </w:numPr>
              <w:spacing w:line="276" w:lineRule="auto"/>
              <w:ind w:left="317" w:hanging="357"/>
              <w:rPr>
                <w:rFonts w:ascii="Times New Roman" w:hAnsi="Times New Roman" w:cs="Times New Roman"/>
                <w:sz w:val="20"/>
                <w:szCs w:val="20"/>
              </w:rPr>
            </w:pPr>
            <w:r>
              <w:rPr>
                <w:rFonts w:ascii="Times New Roman" w:hAnsi="Times New Roman" w:cs="Times New Roman"/>
                <w:sz w:val="20"/>
                <w:szCs w:val="20"/>
              </w:rPr>
              <w:t>Znana w Polsce i na świecie Stadnina Koni w Janowie Podlaskim.</w:t>
            </w:r>
          </w:p>
        </w:tc>
        <w:tc>
          <w:tcPr>
            <w:tcW w:w="2502" w:type="pct"/>
          </w:tcPr>
          <w:p w14:paraId="39C8F751" w14:textId="77777777" w:rsidR="000D6E6E" w:rsidRDefault="000D6E6E" w:rsidP="00CD2D87">
            <w:pPr>
              <w:pStyle w:val="Akapitzlist"/>
              <w:numPr>
                <w:ilvl w:val="0"/>
                <w:numId w:val="56"/>
              </w:numPr>
              <w:spacing w:line="276" w:lineRule="auto"/>
              <w:ind w:left="317" w:hanging="357"/>
              <w:rPr>
                <w:rFonts w:ascii="Times New Roman" w:hAnsi="Times New Roman" w:cs="Times New Roman"/>
                <w:sz w:val="20"/>
                <w:szCs w:val="20"/>
              </w:rPr>
            </w:pPr>
            <w:r>
              <w:rPr>
                <w:rFonts w:ascii="Times New Roman" w:hAnsi="Times New Roman" w:cs="Times New Roman"/>
                <w:sz w:val="20"/>
                <w:szCs w:val="20"/>
              </w:rPr>
              <w:t>Średni u</w:t>
            </w:r>
            <w:r w:rsidRPr="001221C0">
              <w:rPr>
                <w:rFonts w:ascii="Times New Roman" w:hAnsi="Times New Roman" w:cs="Times New Roman"/>
                <w:sz w:val="20"/>
                <w:szCs w:val="20"/>
              </w:rPr>
              <w:t>dział w podatkach stanowiących dochody budżetu państwa – podatek dochodowy od osób fizycznych</w:t>
            </w:r>
            <w:r>
              <w:rPr>
                <w:rFonts w:ascii="Times New Roman" w:hAnsi="Times New Roman" w:cs="Times New Roman"/>
                <w:sz w:val="20"/>
                <w:szCs w:val="20"/>
              </w:rPr>
              <w:t xml:space="preserve"> niższy niż średnia w województwie i kraju.</w:t>
            </w:r>
          </w:p>
        </w:tc>
      </w:tr>
      <w:tr w:rsidR="000D6E6E" w14:paraId="45A27861" w14:textId="77777777" w:rsidTr="00B56B71">
        <w:tc>
          <w:tcPr>
            <w:tcW w:w="2498" w:type="pct"/>
          </w:tcPr>
          <w:p w14:paraId="6EFF9A89" w14:textId="0171D6D0" w:rsidR="000D6E6E" w:rsidRDefault="000D6E6E" w:rsidP="00CD2D87">
            <w:pPr>
              <w:pStyle w:val="Akapitzlist"/>
              <w:numPr>
                <w:ilvl w:val="0"/>
                <w:numId w:val="54"/>
              </w:numPr>
              <w:spacing w:line="276" w:lineRule="auto"/>
              <w:ind w:left="317" w:hanging="357"/>
              <w:rPr>
                <w:rFonts w:ascii="Times New Roman" w:hAnsi="Times New Roman" w:cs="Times New Roman"/>
                <w:sz w:val="20"/>
                <w:szCs w:val="20"/>
              </w:rPr>
            </w:pPr>
            <w:r>
              <w:rPr>
                <w:rFonts w:ascii="Times New Roman" w:hAnsi="Times New Roman" w:cs="Times New Roman"/>
                <w:sz w:val="20"/>
                <w:szCs w:val="20"/>
              </w:rPr>
              <w:t>Bogata historia i dziedzictwo kulturowe obszaru – wielokulturowość i wielowyznaniowość.</w:t>
            </w:r>
          </w:p>
        </w:tc>
        <w:tc>
          <w:tcPr>
            <w:tcW w:w="2502" w:type="pct"/>
          </w:tcPr>
          <w:p w14:paraId="2F175673" w14:textId="77777777" w:rsidR="000D6E6E" w:rsidRDefault="000D6E6E" w:rsidP="00CD2D87">
            <w:pPr>
              <w:pStyle w:val="Akapitzlist"/>
              <w:numPr>
                <w:ilvl w:val="0"/>
                <w:numId w:val="56"/>
              </w:numPr>
              <w:spacing w:line="276" w:lineRule="auto"/>
              <w:ind w:left="318"/>
              <w:rPr>
                <w:rFonts w:ascii="Times New Roman" w:hAnsi="Times New Roman" w:cs="Times New Roman"/>
                <w:sz w:val="20"/>
                <w:szCs w:val="20"/>
              </w:rPr>
            </w:pPr>
            <w:r>
              <w:rPr>
                <w:rFonts w:ascii="Times New Roman" w:hAnsi="Times New Roman" w:cs="Times New Roman"/>
                <w:sz w:val="20"/>
                <w:szCs w:val="20"/>
              </w:rPr>
              <w:t>Średni u</w:t>
            </w:r>
            <w:r w:rsidRPr="001221C0">
              <w:rPr>
                <w:rFonts w:ascii="Times New Roman" w:hAnsi="Times New Roman" w:cs="Times New Roman"/>
                <w:sz w:val="20"/>
                <w:szCs w:val="20"/>
              </w:rPr>
              <w:t xml:space="preserve">dział w podatkach stanowiących dochody budżetu państwa – podatek dochodowy od osób </w:t>
            </w:r>
            <w:r>
              <w:rPr>
                <w:rFonts w:ascii="Times New Roman" w:hAnsi="Times New Roman" w:cs="Times New Roman"/>
                <w:sz w:val="20"/>
                <w:szCs w:val="20"/>
              </w:rPr>
              <w:t>prawnych niższy niż średnia w województwie i kraju.</w:t>
            </w:r>
          </w:p>
        </w:tc>
      </w:tr>
      <w:tr w:rsidR="000D6E6E" w14:paraId="1E7F0848" w14:textId="77777777" w:rsidTr="00B56B71">
        <w:tc>
          <w:tcPr>
            <w:tcW w:w="2498" w:type="pct"/>
          </w:tcPr>
          <w:p w14:paraId="04F0F277" w14:textId="77777777" w:rsidR="000D6E6E" w:rsidRDefault="000D6E6E" w:rsidP="00CD2D87">
            <w:pPr>
              <w:pStyle w:val="Akapitzlist"/>
              <w:numPr>
                <w:ilvl w:val="0"/>
                <w:numId w:val="54"/>
              </w:numPr>
              <w:spacing w:line="276" w:lineRule="auto"/>
              <w:ind w:left="317" w:hanging="357"/>
              <w:rPr>
                <w:rFonts w:ascii="Times New Roman" w:hAnsi="Times New Roman" w:cs="Times New Roman"/>
                <w:sz w:val="20"/>
                <w:szCs w:val="20"/>
              </w:rPr>
            </w:pPr>
            <w:r>
              <w:rPr>
                <w:rFonts w:ascii="Times New Roman" w:hAnsi="Times New Roman" w:cs="Times New Roman"/>
                <w:sz w:val="20"/>
                <w:szCs w:val="20"/>
              </w:rPr>
              <w:lastRenderedPageBreak/>
              <w:t>Wyższy niż w województwie poziom lesistości obszaru.</w:t>
            </w:r>
          </w:p>
        </w:tc>
        <w:tc>
          <w:tcPr>
            <w:tcW w:w="2502" w:type="pct"/>
          </w:tcPr>
          <w:p w14:paraId="193DBBAD" w14:textId="77777777" w:rsidR="000D6E6E" w:rsidRDefault="000D6E6E" w:rsidP="00CD2D87">
            <w:pPr>
              <w:pStyle w:val="Akapitzlist"/>
              <w:numPr>
                <w:ilvl w:val="0"/>
                <w:numId w:val="56"/>
              </w:numPr>
              <w:spacing w:line="276" w:lineRule="auto"/>
              <w:ind w:left="318"/>
              <w:rPr>
                <w:rFonts w:ascii="Times New Roman" w:hAnsi="Times New Roman" w:cs="Times New Roman"/>
                <w:sz w:val="20"/>
                <w:szCs w:val="20"/>
              </w:rPr>
            </w:pPr>
            <w:r>
              <w:rPr>
                <w:rFonts w:ascii="Times New Roman" w:hAnsi="Times New Roman" w:cs="Times New Roman"/>
                <w:sz w:val="20"/>
                <w:szCs w:val="20"/>
              </w:rPr>
              <w:t>Ubożenie mieszkańców – wysoki udział osób i gospodarstw domowych korzystających ze środowiskowej pomocy społecznej oraz wysoki udział rodzin i dzieci otrzymujących zasiłki rodzinne.</w:t>
            </w:r>
          </w:p>
        </w:tc>
      </w:tr>
      <w:tr w:rsidR="000D6E6E" w14:paraId="6C3E1DB3" w14:textId="77777777" w:rsidTr="00B56B71">
        <w:tc>
          <w:tcPr>
            <w:tcW w:w="2498" w:type="pct"/>
          </w:tcPr>
          <w:p w14:paraId="0A6D7B84" w14:textId="77777777" w:rsidR="000D6E6E" w:rsidRDefault="000D6E6E" w:rsidP="000F4949">
            <w:pPr>
              <w:pStyle w:val="Akapitzlist"/>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2502" w:type="pct"/>
          </w:tcPr>
          <w:p w14:paraId="0FF0BB25" w14:textId="77777777" w:rsidR="000D6E6E" w:rsidRDefault="000D6E6E" w:rsidP="00CD2D87">
            <w:pPr>
              <w:pStyle w:val="Akapitzlist"/>
              <w:numPr>
                <w:ilvl w:val="0"/>
                <w:numId w:val="56"/>
              </w:numPr>
              <w:spacing w:line="276" w:lineRule="auto"/>
              <w:ind w:left="318"/>
              <w:rPr>
                <w:rFonts w:ascii="Times New Roman" w:hAnsi="Times New Roman" w:cs="Times New Roman"/>
                <w:sz w:val="20"/>
                <w:szCs w:val="20"/>
              </w:rPr>
            </w:pPr>
            <w:r>
              <w:rPr>
                <w:rFonts w:ascii="Times New Roman" w:hAnsi="Times New Roman" w:cs="Times New Roman"/>
                <w:sz w:val="20"/>
                <w:szCs w:val="20"/>
              </w:rPr>
              <w:t>Niski i malejący współczynnik skolaryzacji, świadczący o tym, że część mieszkańców realizuje obowiązek szkolny poza obszarem.</w:t>
            </w:r>
          </w:p>
        </w:tc>
      </w:tr>
      <w:tr w:rsidR="000D6E6E" w14:paraId="50A50001" w14:textId="77777777" w:rsidTr="00B56B71">
        <w:tc>
          <w:tcPr>
            <w:tcW w:w="2498" w:type="pct"/>
          </w:tcPr>
          <w:p w14:paraId="260654AA" w14:textId="77777777" w:rsidR="000D6E6E" w:rsidRDefault="000D6E6E" w:rsidP="000F4949">
            <w:pPr>
              <w:pStyle w:val="Akapitzlist"/>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2502" w:type="pct"/>
          </w:tcPr>
          <w:p w14:paraId="582D7EFB" w14:textId="77777777" w:rsidR="000D6E6E" w:rsidRDefault="000D6E6E" w:rsidP="00CD2D87">
            <w:pPr>
              <w:pStyle w:val="Akapitzlist"/>
              <w:numPr>
                <w:ilvl w:val="0"/>
                <w:numId w:val="56"/>
              </w:numPr>
              <w:spacing w:line="276" w:lineRule="auto"/>
              <w:ind w:left="318"/>
              <w:rPr>
                <w:rFonts w:ascii="Times New Roman" w:hAnsi="Times New Roman" w:cs="Times New Roman"/>
                <w:sz w:val="20"/>
                <w:szCs w:val="20"/>
              </w:rPr>
            </w:pPr>
            <w:r>
              <w:rPr>
                <w:rFonts w:ascii="Times New Roman" w:hAnsi="Times New Roman" w:cs="Times New Roman"/>
                <w:sz w:val="20"/>
                <w:szCs w:val="20"/>
              </w:rPr>
              <w:t>Niewystarczający dostęp do opieki nad dziećmi do lat 3 i miejsc wychowania przedszkolnego.</w:t>
            </w:r>
          </w:p>
        </w:tc>
      </w:tr>
      <w:tr w:rsidR="000D6E6E" w14:paraId="56CA64EF" w14:textId="77777777" w:rsidTr="00B56B71">
        <w:tc>
          <w:tcPr>
            <w:tcW w:w="2498" w:type="pct"/>
          </w:tcPr>
          <w:p w14:paraId="64FDF4D0" w14:textId="77777777" w:rsidR="000D6E6E" w:rsidRDefault="000D6E6E" w:rsidP="000F4949">
            <w:pPr>
              <w:pStyle w:val="Akapitzlist"/>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2502" w:type="pct"/>
          </w:tcPr>
          <w:p w14:paraId="58663A52" w14:textId="77777777" w:rsidR="000D6E6E" w:rsidRDefault="000D6E6E" w:rsidP="00CD2D87">
            <w:pPr>
              <w:pStyle w:val="Akapitzlist"/>
              <w:numPr>
                <w:ilvl w:val="0"/>
                <w:numId w:val="56"/>
              </w:numPr>
              <w:spacing w:line="276" w:lineRule="auto"/>
              <w:ind w:left="318"/>
              <w:rPr>
                <w:rFonts w:ascii="Times New Roman" w:hAnsi="Times New Roman" w:cs="Times New Roman"/>
                <w:sz w:val="20"/>
                <w:szCs w:val="20"/>
              </w:rPr>
            </w:pPr>
            <w:r>
              <w:rPr>
                <w:rFonts w:ascii="Times New Roman" w:hAnsi="Times New Roman" w:cs="Times New Roman"/>
                <w:sz w:val="20"/>
                <w:szCs w:val="20"/>
              </w:rPr>
              <w:t xml:space="preserve">Niższy niż w województwie i kraju odsetek korzystających z sieci wodociągowej oraz bardzo niski udział osób z dostępem do sieci gazowej </w:t>
            </w:r>
            <w:r>
              <w:rPr>
                <w:rFonts w:ascii="Times New Roman" w:hAnsi="Times New Roman" w:cs="Times New Roman"/>
                <w:sz w:val="20"/>
                <w:szCs w:val="20"/>
              </w:rPr>
              <w:br/>
              <w:t>i kanalizacyjnej.</w:t>
            </w:r>
          </w:p>
        </w:tc>
      </w:tr>
      <w:tr w:rsidR="000D6E6E" w14:paraId="3C12A5F6" w14:textId="77777777" w:rsidTr="00B56B71">
        <w:tc>
          <w:tcPr>
            <w:tcW w:w="2498" w:type="pct"/>
          </w:tcPr>
          <w:p w14:paraId="2D8F0542" w14:textId="77777777" w:rsidR="000D6E6E" w:rsidRDefault="000D6E6E" w:rsidP="000F4949">
            <w:pPr>
              <w:pStyle w:val="Akapitzlist"/>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2502" w:type="pct"/>
          </w:tcPr>
          <w:p w14:paraId="682868BA" w14:textId="77777777" w:rsidR="000D6E6E" w:rsidRDefault="000D6E6E" w:rsidP="00CD2D87">
            <w:pPr>
              <w:pStyle w:val="Akapitzlist"/>
              <w:numPr>
                <w:ilvl w:val="0"/>
                <w:numId w:val="56"/>
              </w:numPr>
              <w:spacing w:line="276" w:lineRule="auto"/>
              <w:ind w:left="318"/>
              <w:rPr>
                <w:rFonts w:ascii="Times New Roman" w:hAnsi="Times New Roman" w:cs="Times New Roman"/>
                <w:sz w:val="20"/>
                <w:szCs w:val="20"/>
              </w:rPr>
            </w:pPr>
            <w:r>
              <w:rPr>
                <w:rFonts w:ascii="Times New Roman" w:hAnsi="Times New Roman" w:cs="Times New Roman"/>
                <w:sz w:val="20"/>
                <w:szCs w:val="20"/>
              </w:rPr>
              <w:t>Niezadawalający poziom dostępności usług medycznych.</w:t>
            </w:r>
          </w:p>
        </w:tc>
      </w:tr>
      <w:tr w:rsidR="000D6E6E" w14:paraId="7922BEE3" w14:textId="77777777" w:rsidTr="00B56B71">
        <w:tc>
          <w:tcPr>
            <w:tcW w:w="2498" w:type="pct"/>
          </w:tcPr>
          <w:p w14:paraId="3275903B" w14:textId="77777777" w:rsidR="000D6E6E" w:rsidRDefault="000D6E6E" w:rsidP="000F4949">
            <w:pPr>
              <w:pStyle w:val="Akapitzlist"/>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2502" w:type="pct"/>
          </w:tcPr>
          <w:p w14:paraId="01EB627B" w14:textId="074AA1EA" w:rsidR="000D6E6E" w:rsidRDefault="000D6E6E" w:rsidP="00CD2D87">
            <w:pPr>
              <w:pStyle w:val="Akapitzlist"/>
              <w:numPr>
                <w:ilvl w:val="0"/>
                <w:numId w:val="56"/>
              </w:numPr>
              <w:spacing w:line="276" w:lineRule="auto"/>
              <w:ind w:left="318"/>
              <w:rPr>
                <w:rFonts w:ascii="Times New Roman" w:hAnsi="Times New Roman" w:cs="Times New Roman"/>
                <w:sz w:val="20"/>
                <w:szCs w:val="20"/>
              </w:rPr>
            </w:pPr>
            <w:r>
              <w:rPr>
                <w:rFonts w:ascii="Times New Roman" w:hAnsi="Times New Roman" w:cs="Times New Roman"/>
                <w:sz w:val="20"/>
                <w:szCs w:val="20"/>
              </w:rPr>
              <w:t>B</w:t>
            </w:r>
            <w:r w:rsidR="00460149">
              <w:rPr>
                <w:rFonts w:ascii="Times New Roman" w:hAnsi="Times New Roman" w:cs="Times New Roman"/>
                <w:sz w:val="20"/>
                <w:szCs w:val="20"/>
              </w:rPr>
              <w:t>r</w:t>
            </w:r>
            <w:r>
              <w:rPr>
                <w:rFonts w:ascii="Times New Roman" w:hAnsi="Times New Roman" w:cs="Times New Roman"/>
                <w:sz w:val="20"/>
                <w:szCs w:val="20"/>
              </w:rPr>
              <w:t xml:space="preserve">aki w pokryciu obszaru miejscowymi planami </w:t>
            </w:r>
            <w:r w:rsidR="00460149">
              <w:rPr>
                <w:rFonts w:ascii="Times New Roman" w:hAnsi="Times New Roman" w:cs="Times New Roman"/>
                <w:sz w:val="20"/>
                <w:szCs w:val="20"/>
              </w:rPr>
              <w:t xml:space="preserve">zagospodarowania </w:t>
            </w:r>
            <w:r>
              <w:rPr>
                <w:rFonts w:ascii="Times New Roman" w:hAnsi="Times New Roman" w:cs="Times New Roman"/>
                <w:sz w:val="20"/>
                <w:szCs w:val="20"/>
              </w:rPr>
              <w:t>przestrzen</w:t>
            </w:r>
            <w:r w:rsidR="00460149">
              <w:rPr>
                <w:rFonts w:ascii="Times New Roman" w:hAnsi="Times New Roman" w:cs="Times New Roman"/>
                <w:sz w:val="20"/>
                <w:szCs w:val="20"/>
              </w:rPr>
              <w:t>i</w:t>
            </w:r>
            <w:r>
              <w:rPr>
                <w:rFonts w:ascii="Times New Roman" w:hAnsi="Times New Roman" w:cs="Times New Roman"/>
                <w:sz w:val="20"/>
                <w:szCs w:val="20"/>
              </w:rPr>
              <w:t xml:space="preserve"> – nieodpowiednie podejście do planowania przestrzeni.</w:t>
            </w:r>
          </w:p>
        </w:tc>
      </w:tr>
      <w:tr w:rsidR="000D6E6E" w14:paraId="7FE6ECE7" w14:textId="77777777" w:rsidTr="00B56B71">
        <w:tc>
          <w:tcPr>
            <w:tcW w:w="2498" w:type="pct"/>
          </w:tcPr>
          <w:p w14:paraId="45020F03" w14:textId="77777777" w:rsidR="000D6E6E" w:rsidRDefault="000D6E6E" w:rsidP="000F4949">
            <w:pPr>
              <w:pStyle w:val="Akapitzlist"/>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2502" w:type="pct"/>
          </w:tcPr>
          <w:p w14:paraId="4EDB09AA" w14:textId="77777777" w:rsidR="000D6E6E" w:rsidRPr="001014CD" w:rsidRDefault="000D6E6E" w:rsidP="00CD2D87">
            <w:pPr>
              <w:pStyle w:val="Akapitzlist"/>
              <w:numPr>
                <w:ilvl w:val="0"/>
                <w:numId w:val="56"/>
              </w:numPr>
              <w:spacing w:line="276" w:lineRule="auto"/>
              <w:ind w:left="318"/>
              <w:rPr>
                <w:rFonts w:ascii="Times New Roman" w:hAnsi="Times New Roman" w:cs="Times New Roman"/>
                <w:sz w:val="20"/>
                <w:szCs w:val="20"/>
              </w:rPr>
            </w:pPr>
            <w:r>
              <w:rPr>
                <w:rFonts w:ascii="Times New Roman" w:hAnsi="Times New Roman" w:cs="Times New Roman"/>
                <w:sz w:val="20"/>
                <w:szCs w:val="20"/>
              </w:rPr>
              <w:t xml:space="preserve">Niewystarczające </w:t>
            </w:r>
            <w:r w:rsidRPr="00B4342D">
              <w:rPr>
                <w:rFonts w:ascii="Times New Roman" w:hAnsi="Times New Roman" w:cs="Times New Roman"/>
                <w:sz w:val="20"/>
                <w:szCs w:val="20"/>
              </w:rPr>
              <w:t>wykorzystanie walorów przyrodniczych i</w:t>
            </w:r>
            <w:r>
              <w:rPr>
                <w:rFonts w:ascii="Times New Roman" w:hAnsi="Times New Roman" w:cs="Times New Roman"/>
                <w:sz w:val="20"/>
                <w:szCs w:val="20"/>
              </w:rPr>
              <w:t> </w:t>
            </w:r>
            <w:r w:rsidRPr="00B4342D">
              <w:rPr>
                <w:rFonts w:ascii="Times New Roman" w:hAnsi="Times New Roman" w:cs="Times New Roman"/>
                <w:sz w:val="20"/>
                <w:szCs w:val="20"/>
              </w:rPr>
              <w:t>kulturowych.</w:t>
            </w:r>
          </w:p>
        </w:tc>
      </w:tr>
      <w:tr w:rsidR="000D6E6E" w14:paraId="61D58C29" w14:textId="77777777" w:rsidTr="00B56B71">
        <w:tc>
          <w:tcPr>
            <w:tcW w:w="2498" w:type="pct"/>
          </w:tcPr>
          <w:p w14:paraId="5F71C8D9" w14:textId="77777777" w:rsidR="000D6E6E" w:rsidRDefault="000D6E6E" w:rsidP="000F4949">
            <w:pPr>
              <w:pStyle w:val="Akapitzlist"/>
              <w:spacing w:line="276" w:lineRule="auto"/>
              <w:ind w:left="0"/>
              <w:jc w:val="center"/>
              <w:rPr>
                <w:rFonts w:ascii="Times New Roman" w:hAnsi="Times New Roman" w:cs="Times New Roman"/>
                <w:sz w:val="20"/>
                <w:szCs w:val="20"/>
              </w:rPr>
            </w:pPr>
          </w:p>
        </w:tc>
        <w:tc>
          <w:tcPr>
            <w:tcW w:w="2502" w:type="pct"/>
          </w:tcPr>
          <w:p w14:paraId="2B3315BC" w14:textId="6FD07494" w:rsidR="000D6E6E" w:rsidRDefault="000D6E6E" w:rsidP="00CD2D87">
            <w:pPr>
              <w:pStyle w:val="Akapitzlist"/>
              <w:numPr>
                <w:ilvl w:val="0"/>
                <w:numId w:val="56"/>
              </w:numPr>
              <w:spacing w:line="276" w:lineRule="auto"/>
              <w:ind w:left="318"/>
              <w:rPr>
                <w:rFonts w:ascii="Times New Roman" w:hAnsi="Times New Roman" w:cs="Times New Roman"/>
                <w:sz w:val="20"/>
                <w:szCs w:val="20"/>
              </w:rPr>
            </w:pPr>
            <w:r>
              <w:rPr>
                <w:rFonts w:ascii="Times New Roman" w:hAnsi="Times New Roman" w:cs="Times New Roman"/>
                <w:sz w:val="20"/>
                <w:szCs w:val="20"/>
              </w:rPr>
              <w:t xml:space="preserve">Niewystarczająco dostosowana ogólnodostępna infrastruktura publiczna dla dzieci </w:t>
            </w:r>
            <w:r>
              <w:rPr>
                <w:rFonts w:ascii="Times New Roman" w:hAnsi="Times New Roman" w:cs="Times New Roman"/>
                <w:sz w:val="20"/>
                <w:szCs w:val="20"/>
              </w:rPr>
              <w:br/>
              <w:t>z niepełnosprawnościami.</w:t>
            </w:r>
          </w:p>
        </w:tc>
      </w:tr>
      <w:tr w:rsidR="00B56B71" w:rsidRPr="00E50616" w14:paraId="42827D78" w14:textId="77777777" w:rsidTr="00B56B71">
        <w:trPr>
          <w:trHeight w:val="375"/>
        </w:trPr>
        <w:tc>
          <w:tcPr>
            <w:tcW w:w="2498" w:type="pct"/>
            <w:shd w:val="clear" w:color="auto" w:fill="F2F2F2" w:themeFill="background1" w:themeFillShade="F2"/>
          </w:tcPr>
          <w:p w14:paraId="20AAFD4F" w14:textId="77777777" w:rsidR="00B56B71" w:rsidRPr="00E50616" w:rsidRDefault="00B56B71" w:rsidP="007E7F3E">
            <w:pPr>
              <w:spacing w:line="276" w:lineRule="auto"/>
              <w:jc w:val="center"/>
              <w:rPr>
                <w:rFonts w:ascii="Times New Roman" w:hAnsi="Times New Roman" w:cs="Times New Roman"/>
                <w:b/>
                <w:bCs/>
                <w:color w:val="000000" w:themeColor="text1"/>
                <w:sz w:val="20"/>
                <w:szCs w:val="20"/>
              </w:rPr>
            </w:pPr>
            <w:r w:rsidRPr="00E50616">
              <w:rPr>
                <w:rFonts w:ascii="Times New Roman" w:hAnsi="Times New Roman" w:cs="Times New Roman"/>
                <w:b/>
                <w:bCs/>
                <w:color w:val="000000" w:themeColor="text1"/>
                <w:sz w:val="20"/>
                <w:szCs w:val="20"/>
              </w:rPr>
              <w:t>SZANSE</w:t>
            </w:r>
          </w:p>
        </w:tc>
        <w:tc>
          <w:tcPr>
            <w:tcW w:w="2502" w:type="pct"/>
            <w:shd w:val="clear" w:color="auto" w:fill="F2F2F2" w:themeFill="background1" w:themeFillShade="F2"/>
          </w:tcPr>
          <w:p w14:paraId="5AC49484" w14:textId="77777777" w:rsidR="00B56B71" w:rsidRPr="00E50616" w:rsidRDefault="00B56B71" w:rsidP="007E7F3E">
            <w:pPr>
              <w:spacing w:line="276" w:lineRule="auto"/>
              <w:jc w:val="center"/>
              <w:rPr>
                <w:rFonts w:ascii="Times New Roman" w:hAnsi="Times New Roman" w:cs="Times New Roman"/>
                <w:b/>
                <w:bCs/>
                <w:color w:val="000000" w:themeColor="text1"/>
                <w:sz w:val="20"/>
                <w:szCs w:val="20"/>
              </w:rPr>
            </w:pPr>
            <w:r w:rsidRPr="00E50616">
              <w:rPr>
                <w:rFonts w:ascii="Times New Roman" w:hAnsi="Times New Roman" w:cs="Times New Roman"/>
                <w:b/>
                <w:bCs/>
                <w:color w:val="000000" w:themeColor="text1"/>
                <w:sz w:val="20"/>
                <w:szCs w:val="20"/>
              </w:rPr>
              <w:t>ZAGROŻENIA</w:t>
            </w:r>
          </w:p>
        </w:tc>
      </w:tr>
      <w:tr w:rsidR="00B56B71" w:rsidRPr="000F066F" w14:paraId="7EC3D0A3" w14:textId="77777777" w:rsidTr="00B56B71">
        <w:trPr>
          <w:trHeight w:val="383"/>
        </w:trPr>
        <w:tc>
          <w:tcPr>
            <w:tcW w:w="2498" w:type="pct"/>
          </w:tcPr>
          <w:p w14:paraId="2314458E" w14:textId="77777777" w:rsidR="00B56B71" w:rsidRPr="000F066F" w:rsidRDefault="00B56B71" w:rsidP="00B56B71">
            <w:pPr>
              <w:pStyle w:val="Akapitzlist"/>
              <w:numPr>
                <w:ilvl w:val="0"/>
                <w:numId w:val="63"/>
              </w:numPr>
              <w:spacing w:line="276" w:lineRule="auto"/>
              <w:ind w:left="306"/>
              <w:rPr>
                <w:rFonts w:ascii="Times New Roman" w:hAnsi="Times New Roman" w:cs="Times New Roman"/>
                <w:sz w:val="20"/>
                <w:szCs w:val="20"/>
              </w:rPr>
            </w:pPr>
            <w:r w:rsidRPr="000F066F">
              <w:rPr>
                <w:rFonts w:ascii="Times New Roman" w:hAnsi="Times New Roman" w:cs="Times New Roman"/>
                <w:sz w:val="20"/>
                <w:szCs w:val="20"/>
              </w:rPr>
              <w:t>Członkostwo Polski w Unii Europejskiej.</w:t>
            </w:r>
          </w:p>
        </w:tc>
        <w:tc>
          <w:tcPr>
            <w:tcW w:w="2502" w:type="pct"/>
          </w:tcPr>
          <w:p w14:paraId="5BBD0DB5" w14:textId="77777777" w:rsidR="00B56B71" w:rsidRPr="000F066F" w:rsidRDefault="00B56B71" w:rsidP="00B56B71">
            <w:pPr>
              <w:pStyle w:val="Akapitzlist"/>
              <w:numPr>
                <w:ilvl w:val="0"/>
                <w:numId w:val="64"/>
              </w:numPr>
              <w:spacing w:line="276" w:lineRule="auto"/>
              <w:ind w:left="325"/>
              <w:rPr>
                <w:rFonts w:ascii="Times New Roman" w:hAnsi="Times New Roman" w:cs="Times New Roman"/>
                <w:sz w:val="20"/>
                <w:szCs w:val="20"/>
              </w:rPr>
            </w:pPr>
            <w:r w:rsidRPr="000F066F">
              <w:rPr>
                <w:rFonts w:ascii="Times New Roman" w:hAnsi="Times New Roman" w:cs="Times New Roman"/>
                <w:sz w:val="20"/>
                <w:szCs w:val="20"/>
              </w:rPr>
              <w:t>Zmiany klimatu.</w:t>
            </w:r>
          </w:p>
        </w:tc>
      </w:tr>
      <w:tr w:rsidR="00B56B71" w:rsidRPr="000F066F" w14:paraId="315AF9C0" w14:textId="77777777" w:rsidTr="00B56B71">
        <w:trPr>
          <w:trHeight w:val="418"/>
        </w:trPr>
        <w:tc>
          <w:tcPr>
            <w:tcW w:w="2498" w:type="pct"/>
          </w:tcPr>
          <w:p w14:paraId="3927EF08" w14:textId="77777777" w:rsidR="00B56B71" w:rsidRPr="000F066F" w:rsidRDefault="00B56B71" w:rsidP="00B56B71">
            <w:pPr>
              <w:pStyle w:val="Akapitzlist"/>
              <w:numPr>
                <w:ilvl w:val="0"/>
                <w:numId w:val="63"/>
              </w:numPr>
              <w:spacing w:line="276" w:lineRule="auto"/>
              <w:ind w:left="306"/>
              <w:rPr>
                <w:rFonts w:ascii="Times New Roman" w:hAnsi="Times New Roman" w:cs="Times New Roman"/>
                <w:sz w:val="20"/>
                <w:szCs w:val="20"/>
              </w:rPr>
            </w:pPr>
            <w:r w:rsidRPr="000F066F">
              <w:rPr>
                <w:rFonts w:ascii="Times New Roman" w:hAnsi="Times New Roman" w:cs="Times New Roman"/>
                <w:sz w:val="20"/>
                <w:szCs w:val="20"/>
              </w:rPr>
              <w:t>Cyfryzacja życia codziennego.</w:t>
            </w:r>
          </w:p>
        </w:tc>
        <w:tc>
          <w:tcPr>
            <w:tcW w:w="2502" w:type="pct"/>
          </w:tcPr>
          <w:p w14:paraId="4C09DC73" w14:textId="77777777" w:rsidR="00B56B71" w:rsidRPr="000F066F" w:rsidRDefault="00B56B71" w:rsidP="00B56B71">
            <w:pPr>
              <w:pStyle w:val="Akapitzlist"/>
              <w:numPr>
                <w:ilvl w:val="0"/>
                <w:numId w:val="64"/>
              </w:numPr>
              <w:spacing w:line="276" w:lineRule="auto"/>
              <w:ind w:left="325"/>
              <w:rPr>
                <w:rFonts w:ascii="Times New Roman" w:hAnsi="Times New Roman" w:cs="Times New Roman"/>
                <w:sz w:val="20"/>
                <w:szCs w:val="20"/>
              </w:rPr>
            </w:pPr>
            <w:r w:rsidRPr="000F066F">
              <w:rPr>
                <w:rFonts w:ascii="Times New Roman" w:hAnsi="Times New Roman" w:cs="Times New Roman"/>
                <w:sz w:val="20"/>
                <w:szCs w:val="20"/>
              </w:rPr>
              <w:t>Emigracja mieszkańców Polski.</w:t>
            </w:r>
          </w:p>
        </w:tc>
      </w:tr>
      <w:tr w:rsidR="00B56B71" w:rsidRPr="000F066F" w14:paraId="4924CE65" w14:textId="77777777" w:rsidTr="00B56B71">
        <w:tc>
          <w:tcPr>
            <w:tcW w:w="2498" w:type="pct"/>
          </w:tcPr>
          <w:p w14:paraId="0A2C09A7" w14:textId="77777777" w:rsidR="00B56B71" w:rsidRPr="000F066F" w:rsidRDefault="00B56B71" w:rsidP="00B56B71">
            <w:pPr>
              <w:pStyle w:val="Akapitzlist"/>
              <w:numPr>
                <w:ilvl w:val="0"/>
                <w:numId w:val="63"/>
              </w:numPr>
              <w:spacing w:line="276" w:lineRule="auto"/>
              <w:ind w:left="306"/>
              <w:rPr>
                <w:rFonts w:ascii="Times New Roman" w:hAnsi="Times New Roman" w:cs="Times New Roman"/>
                <w:sz w:val="20"/>
                <w:szCs w:val="20"/>
              </w:rPr>
            </w:pPr>
            <w:r w:rsidRPr="000F066F">
              <w:rPr>
                <w:rFonts w:ascii="Times New Roman" w:hAnsi="Times New Roman" w:cs="Times New Roman"/>
                <w:sz w:val="20"/>
                <w:szCs w:val="20"/>
              </w:rPr>
              <w:t>Wzrost świadomości obywatelskiej, w tym poczucia tożsamości i identyfikacji z miejscem zamieszkania.</w:t>
            </w:r>
          </w:p>
        </w:tc>
        <w:tc>
          <w:tcPr>
            <w:tcW w:w="2502" w:type="pct"/>
          </w:tcPr>
          <w:p w14:paraId="567B0968" w14:textId="77777777" w:rsidR="00B56B71" w:rsidRPr="000F066F" w:rsidRDefault="00B56B71" w:rsidP="00B56B71">
            <w:pPr>
              <w:pStyle w:val="Akapitzlist"/>
              <w:numPr>
                <w:ilvl w:val="0"/>
                <w:numId w:val="64"/>
              </w:numPr>
              <w:spacing w:line="276" w:lineRule="auto"/>
              <w:ind w:left="325"/>
              <w:rPr>
                <w:rFonts w:ascii="Times New Roman" w:hAnsi="Times New Roman" w:cs="Times New Roman"/>
                <w:sz w:val="20"/>
                <w:szCs w:val="20"/>
              </w:rPr>
            </w:pPr>
            <w:r>
              <w:rPr>
                <w:rFonts w:ascii="Times New Roman" w:hAnsi="Times New Roman" w:cs="Times New Roman"/>
                <w:sz w:val="20"/>
                <w:szCs w:val="20"/>
              </w:rPr>
              <w:t xml:space="preserve">Wzrost zagrożenia związanego z wojną w Ukrainie. </w:t>
            </w:r>
          </w:p>
        </w:tc>
      </w:tr>
      <w:tr w:rsidR="00B56B71" w:rsidRPr="00D517F9" w14:paraId="3299C075" w14:textId="77777777" w:rsidTr="00B56B71">
        <w:trPr>
          <w:trHeight w:val="610"/>
        </w:trPr>
        <w:tc>
          <w:tcPr>
            <w:tcW w:w="2498" w:type="pct"/>
          </w:tcPr>
          <w:p w14:paraId="240EDCF3" w14:textId="77777777" w:rsidR="00B56B71" w:rsidRPr="000F066F" w:rsidRDefault="00B56B71" w:rsidP="00B56B71">
            <w:pPr>
              <w:pStyle w:val="Akapitzlist"/>
              <w:numPr>
                <w:ilvl w:val="0"/>
                <w:numId w:val="63"/>
              </w:numPr>
              <w:spacing w:line="276" w:lineRule="auto"/>
              <w:ind w:left="306"/>
              <w:rPr>
                <w:rFonts w:ascii="Times New Roman" w:hAnsi="Times New Roman" w:cs="Times New Roman"/>
                <w:sz w:val="20"/>
                <w:szCs w:val="20"/>
              </w:rPr>
            </w:pPr>
            <w:r w:rsidRPr="000F066F">
              <w:rPr>
                <w:rFonts w:ascii="Times New Roman" w:hAnsi="Times New Roman" w:cs="Times New Roman"/>
                <w:sz w:val="20"/>
                <w:szCs w:val="20"/>
              </w:rPr>
              <w:t>Wzrost średniej długości życia.</w:t>
            </w:r>
          </w:p>
        </w:tc>
        <w:tc>
          <w:tcPr>
            <w:tcW w:w="2502" w:type="pct"/>
          </w:tcPr>
          <w:p w14:paraId="693F0B19" w14:textId="77777777" w:rsidR="00B56B71" w:rsidRPr="00D517F9" w:rsidRDefault="00B56B71" w:rsidP="00B56B71">
            <w:pPr>
              <w:pStyle w:val="Akapitzlist"/>
              <w:numPr>
                <w:ilvl w:val="0"/>
                <w:numId w:val="64"/>
              </w:numPr>
              <w:spacing w:line="276" w:lineRule="auto"/>
              <w:ind w:left="325"/>
              <w:rPr>
                <w:rFonts w:ascii="Times New Roman" w:hAnsi="Times New Roman" w:cs="Times New Roman"/>
                <w:sz w:val="20"/>
                <w:szCs w:val="20"/>
              </w:rPr>
            </w:pPr>
            <w:r w:rsidRPr="00D517F9">
              <w:rPr>
                <w:rFonts w:ascii="Times New Roman" w:hAnsi="Times New Roman" w:cs="Times New Roman"/>
                <w:sz w:val="20"/>
                <w:szCs w:val="20"/>
              </w:rPr>
              <w:t>Atrakcyjność gospodarcza sąsiednich regionów oraz spadek zainteresowania turystyką poprzez brak możliwości ekonomicznych.</w:t>
            </w:r>
          </w:p>
        </w:tc>
      </w:tr>
      <w:tr w:rsidR="00B56B71" w:rsidRPr="000F066F" w14:paraId="11A710E9" w14:textId="77777777" w:rsidTr="00B56B71">
        <w:tc>
          <w:tcPr>
            <w:tcW w:w="2498" w:type="pct"/>
          </w:tcPr>
          <w:p w14:paraId="4F792471" w14:textId="77777777" w:rsidR="00B56B71" w:rsidRPr="000F066F" w:rsidRDefault="00B56B71" w:rsidP="00B56B71">
            <w:pPr>
              <w:pStyle w:val="Akapitzlist"/>
              <w:numPr>
                <w:ilvl w:val="0"/>
                <w:numId w:val="63"/>
              </w:numPr>
              <w:spacing w:line="276" w:lineRule="auto"/>
              <w:ind w:left="306"/>
              <w:rPr>
                <w:rFonts w:ascii="Times New Roman" w:hAnsi="Times New Roman" w:cs="Times New Roman"/>
                <w:sz w:val="20"/>
                <w:szCs w:val="20"/>
              </w:rPr>
            </w:pPr>
            <w:r w:rsidRPr="000F066F">
              <w:rPr>
                <w:rFonts w:ascii="Times New Roman" w:hAnsi="Times New Roman" w:cs="Times New Roman"/>
                <w:sz w:val="20"/>
                <w:szCs w:val="20"/>
              </w:rPr>
              <w:t>Moda na migracje z większych miast na wieś.</w:t>
            </w:r>
          </w:p>
        </w:tc>
        <w:tc>
          <w:tcPr>
            <w:tcW w:w="2502" w:type="pct"/>
          </w:tcPr>
          <w:p w14:paraId="7577D804" w14:textId="77777777" w:rsidR="00B56B71" w:rsidRPr="000F066F" w:rsidRDefault="00B56B71" w:rsidP="00B56B71">
            <w:pPr>
              <w:pStyle w:val="Akapitzlist"/>
              <w:numPr>
                <w:ilvl w:val="0"/>
                <w:numId w:val="64"/>
              </w:numPr>
              <w:spacing w:line="276" w:lineRule="auto"/>
              <w:ind w:left="325"/>
              <w:rPr>
                <w:rFonts w:ascii="Times New Roman" w:hAnsi="Times New Roman" w:cs="Times New Roman"/>
                <w:sz w:val="20"/>
                <w:szCs w:val="20"/>
              </w:rPr>
            </w:pPr>
            <w:r w:rsidRPr="000F066F">
              <w:rPr>
                <w:rFonts w:ascii="Times New Roman" w:hAnsi="Times New Roman" w:cs="Times New Roman"/>
                <w:sz w:val="20"/>
                <w:szCs w:val="20"/>
              </w:rPr>
              <w:t>Konsekwencje społeczne i gospodarcze związane z występowaniem pandemii COVID-19, wojny w</w:t>
            </w:r>
            <w:r>
              <w:rPr>
                <w:rFonts w:ascii="Times New Roman" w:hAnsi="Times New Roman" w:cs="Times New Roman"/>
                <w:sz w:val="20"/>
                <w:szCs w:val="20"/>
              </w:rPr>
              <w:t> </w:t>
            </w:r>
            <w:r w:rsidRPr="000F066F">
              <w:rPr>
                <w:rFonts w:ascii="Times New Roman" w:hAnsi="Times New Roman" w:cs="Times New Roman"/>
                <w:sz w:val="20"/>
                <w:szCs w:val="20"/>
              </w:rPr>
              <w:t>Ukrainie i ewentualnych innych nieprzewidzianych wydarzeń.</w:t>
            </w:r>
          </w:p>
        </w:tc>
      </w:tr>
      <w:tr w:rsidR="00B56B71" w:rsidRPr="000F066F" w14:paraId="6EFF1BBE" w14:textId="77777777" w:rsidTr="00B56B71">
        <w:tc>
          <w:tcPr>
            <w:tcW w:w="2498" w:type="pct"/>
          </w:tcPr>
          <w:p w14:paraId="51406D12" w14:textId="77777777" w:rsidR="00B56B71" w:rsidRPr="00AB4205" w:rsidRDefault="00B56B71" w:rsidP="00B56B71">
            <w:pPr>
              <w:pStyle w:val="Akapitzlist"/>
              <w:numPr>
                <w:ilvl w:val="0"/>
                <w:numId w:val="64"/>
              </w:numPr>
              <w:spacing w:line="276" w:lineRule="auto"/>
              <w:ind w:left="317" w:hanging="357"/>
              <w:rPr>
                <w:rFonts w:ascii="Times New Roman" w:hAnsi="Times New Roman" w:cs="Times New Roman"/>
                <w:sz w:val="20"/>
                <w:szCs w:val="20"/>
              </w:rPr>
            </w:pPr>
            <w:r w:rsidRPr="00AB4205">
              <w:rPr>
                <w:rFonts w:ascii="Times New Roman" w:hAnsi="Times New Roman" w:cs="Times New Roman"/>
                <w:sz w:val="20"/>
                <w:szCs w:val="20"/>
              </w:rPr>
              <w:t>Wzrost zainteresowania środowiskiem naturalnym, bogactwem obszarów przyrodniczych w Polsce.</w:t>
            </w:r>
          </w:p>
        </w:tc>
        <w:tc>
          <w:tcPr>
            <w:tcW w:w="2502" w:type="pct"/>
          </w:tcPr>
          <w:p w14:paraId="2FA52EBF" w14:textId="77777777" w:rsidR="00B56B71" w:rsidRPr="000F066F" w:rsidRDefault="00B56B71" w:rsidP="00B56B71">
            <w:pPr>
              <w:pStyle w:val="Akapitzlist"/>
              <w:numPr>
                <w:ilvl w:val="0"/>
                <w:numId w:val="65"/>
              </w:numPr>
              <w:spacing w:line="276" w:lineRule="auto"/>
              <w:ind w:left="317" w:hanging="357"/>
              <w:rPr>
                <w:rFonts w:ascii="Times New Roman" w:hAnsi="Times New Roman" w:cs="Times New Roman"/>
                <w:sz w:val="20"/>
                <w:szCs w:val="20"/>
              </w:rPr>
            </w:pPr>
            <w:r w:rsidRPr="000F066F">
              <w:rPr>
                <w:rFonts w:ascii="Times New Roman" w:hAnsi="Times New Roman" w:cs="Times New Roman"/>
                <w:sz w:val="20"/>
                <w:szCs w:val="20"/>
              </w:rPr>
              <w:t>Wykluczenie cyfrowe</w:t>
            </w:r>
            <w:r>
              <w:rPr>
                <w:rFonts w:ascii="Times New Roman" w:hAnsi="Times New Roman" w:cs="Times New Roman"/>
                <w:sz w:val="20"/>
                <w:szCs w:val="20"/>
              </w:rPr>
              <w:t>.</w:t>
            </w:r>
          </w:p>
        </w:tc>
      </w:tr>
      <w:tr w:rsidR="00B56B71" w:rsidRPr="000F066F" w14:paraId="2960C2C2" w14:textId="77777777" w:rsidTr="00B56B71">
        <w:trPr>
          <w:trHeight w:val="327"/>
        </w:trPr>
        <w:tc>
          <w:tcPr>
            <w:tcW w:w="2498" w:type="pct"/>
          </w:tcPr>
          <w:p w14:paraId="4BD8375E" w14:textId="77777777" w:rsidR="00B56B71" w:rsidRPr="000F066F" w:rsidRDefault="00B56B71" w:rsidP="007E7F3E">
            <w:pPr>
              <w:pStyle w:val="Akapitzlist"/>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02" w:type="pct"/>
          </w:tcPr>
          <w:p w14:paraId="40D0E7FE" w14:textId="77777777" w:rsidR="00B56B71" w:rsidRPr="000F066F" w:rsidRDefault="00B56B71" w:rsidP="00B56B71">
            <w:pPr>
              <w:pStyle w:val="Akapitzlist"/>
              <w:numPr>
                <w:ilvl w:val="0"/>
                <w:numId w:val="65"/>
              </w:numPr>
              <w:spacing w:line="276" w:lineRule="auto"/>
              <w:ind w:left="325"/>
              <w:rPr>
                <w:rFonts w:ascii="Times New Roman" w:hAnsi="Times New Roman" w:cs="Times New Roman"/>
                <w:sz w:val="20"/>
                <w:szCs w:val="20"/>
              </w:rPr>
            </w:pPr>
            <w:r w:rsidRPr="000F066F">
              <w:rPr>
                <w:rFonts w:ascii="Times New Roman" w:hAnsi="Times New Roman" w:cs="Times New Roman"/>
                <w:sz w:val="20"/>
                <w:szCs w:val="20"/>
              </w:rPr>
              <w:t>Wzrost kosztów życia mieszkańców obszaru.</w:t>
            </w:r>
          </w:p>
        </w:tc>
      </w:tr>
    </w:tbl>
    <w:p w14:paraId="251A8B9C" w14:textId="2580191C" w:rsidR="00A62189" w:rsidRDefault="00A17173" w:rsidP="00A17173">
      <w:pPr>
        <w:jc w:val="center"/>
        <w:rPr>
          <w:rFonts w:ascii="Times New Roman" w:hAnsi="Times New Roman" w:cs="Times New Roman"/>
          <w:i/>
          <w:iCs/>
          <w:sz w:val="20"/>
          <w:szCs w:val="20"/>
        </w:rPr>
      </w:pPr>
      <w:r w:rsidRPr="001F75C9">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p>
    <w:p w14:paraId="3636B1E5" w14:textId="77777777" w:rsidR="00A17173" w:rsidRPr="003F717D" w:rsidRDefault="00A17173" w:rsidP="00293649">
      <w:pPr>
        <w:spacing w:after="0"/>
        <w:jc w:val="center"/>
        <w:rPr>
          <w:rFonts w:ascii="Times New Roman" w:hAnsi="Times New Roman" w:cs="Times New Roman"/>
          <w:b/>
          <w:bCs/>
        </w:rPr>
      </w:pPr>
      <w:r w:rsidRPr="003F717D">
        <w:rPr>
          <w:rFonts w:ascii="Times New Roman" w:hAnsi="Times New Roman" w:cs="Times New Roman"/>
          <w:b/>
          <w:bCs/>
        </w:rPr>
        <w:t>Wnioski z analizy SWOT</w:t>
      </w:r>
    </w:p>
    <w:p w14:paraId="54B53AFE" w14:textId="553231E6" w:rsidR="004F3356" w:rsidRPr="001B3FC4" w:rsidRDefault="004F3356" w:rsidP="00EE5304">
      <w:pPr>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O</w:t>
      </w:r>
      <w:r w:rsidRPr="003E4854">
        <w:rPr>
          <w:rFonts w:ascii="Times New Roman" w:hAnsi="Times New Roman" w:cs="Times New Roman"/>
          <w:color w:val="000000" w:themeColor="text1"/>
        </w:rPr>
        <w:t xml:space="preserve">bszar </w:t>
      </w:r>
      <w:r>
        <w:rPr>
          <w:rFonts w:ascii="Times New Roman" w:hAnsi="Times New Roman" w:cs="Times New Roman"/>
          <w:color w:val="000000" w:themeColor="text1"/>
        </w:rPr>
        <w:t>Bialskopodlask</w:t>
      </w:r>
      <w:r w:rsidR="00460149">
        <w:rPr>
          <w:rFonts w:ascii="Times New Roman" w:hAnsi="Times New Roman" w:cs="Times New Roman"/>
          <w:color w:val="000000" w:themeColor="text1"/>
        </w:rPr>
        <w:t>iej</w:t>
      </w:r>
      <w:r>
        <w:rPr>
          <w:rFonts w:ascii="Times New Roman" w:hAnsi="Times New Roman" w:cs="Times New Roman"/>
          <w:color w:val="000000" w:themeColor="text1"/>
        </w:rPr>
        <w:t xml:space="preserve"> LGD</w:t>
      </w:r>
      <w:r w:rsidRPr="003E4854">
        <w:rPr>
          <w:rFonts w:ascii="Times New Roman" w:hAnsi="Times New Roman" w:cs="Times New Roman"/>
          <w:color w:val="000000" w:themeColor="text1"/>
        </w:rPr>
        <w:t xml:space="preserve"> posiada </w:t>
      </w:r>
      <w:r>
        <w:rPr>
          <w:rFonts w:ascii="Times New Roman" w:hAnsi="Times New Roman" w:cs="Times New Roman"/>
          <w:color w:val="000000" w:themeColor="text1"/>
        </w:rPr>
        <w:t xml:space="preserve">specyficzną </w:t>
      </w:r>
      <w:r w:rsidRPr="003E4854">
        <w:rPr>
          <w:rFonts w:ascii="Times New Roman" w:hAnsi="Times New Roman" w:cs="Times New Roman"/>
          <w:color w:val="000000" w:themeColor="text1"/>
        </w:rPr>
        <w:t>histori</w:t>
      </w:r>
      <w:r>
        <w:rPr>
          <w:rFonts w:ascii="Times New Roman" w:hAnsi="Times New Roman" w:cs="Times New Roman"/>
          <w:color w:val="000000" w:themeColor="text1"/>
        </w:rPr>
        <w:t xml:space="preserve">ę i </w:t>
      </w:r>
      <w:r w:rsidRPr="003E4854">
        <w:rPr>
          <w:rFonts w:ascii="Times New Roman" w:hAnsi="Times New Roman" w:cs="Times New Roman"/>
          <w:color w:val="000000" w:themeColor="text1"/>
        </w:rPr>
        <w:t>tradycj</w:t>
      </w:r>
      <w:r>
        <w:rPr>
          <w:rFonts w:ascii="Times New Roman" w:hAnsi="Times New Roman" w:cs="Times New Roman"/>
          <w:color w:val="000000" w:themeColor="text1"/>
        </w:rPr>
        <w:t>ę, co ma wpływ na całe</w:t>
      </w:r>
      <w:r w:rsidRPr="003E4854">
        <w:rPr>
          <w:rFonts w:ascii="Times New Roman" w:hAnsi="Times New Roman" w:cs="Times New Roman"/>
          <w:color w:val="000000" w:themeColor="text1"/>
        </w:rPr>
        <w:t xml:space="preserve"> dziedzictw</w:t>
      </w:r>
      <w:r>
        <w:rPr>
          <w:rFonts w:ascii="Times New Roman" w:hAnsi="Times New Roman" w:cs="Times New Roman"/>
          <w:color w:val="000000" w:themeColor="text1"/>
        </w:rPr>
        <w:t xml:space="preserve">o </w:t>
      </w:r>
      <w:r w:rsidRPr="003E4854">
        <w:rPr>
          <w:rFonts w:ascii="Times New Roman" w:hAnsi="Times New Roman" w:cs="Times New Roman"/>
          <w:color w:val="000000" w:themeColor="text1"/>
        </w:rPr>
        <w:t>kulturowe</w:t>
      </w:r>
      <w:r>
        <w:rPr>
          <w:rFonts w:ascii="Times New Roman" w:hAnsi="Times New Roman" w:cs="Times New Roman"/>
          <w:color w:val="000000" w:themeColor="text1"/>
        </w:rPr>
        <w:t xml:space="preserve"> obszaru</w:t>
      </w:r>
      <w:r w:rsidRPr="003E4854">
        <w:rPr>
          <w:rFonts w:ascii="Times New Roman" w:hAnsi="Times New Roman" w:cs="Times New Roman"/>
          <w:color w:val="000000" w:themeColor="text1"/>
        </w:rPr>
        <w:t>. Biorąc pod uwagę inne aspekty funkcjonowania, można wskazać mocne i słabe strony oraz szanse i zagrożenia, które w</w:t>
      </w:r>
      <w:r>
        <w:rPr>
          <w:rFonts w:ascii="Times New Roman" w:hAnsi="Times New Roman" w:cs="Times New Roman"/>
          <w:color w:val="000000" w:themeColor="text1"/>
        </w:rPr>
        <w:t> </w:t>
      </w:r>
      <w:r w:rsidRPr="003E4854">
        <w:rPr>
          <w:rFonts w:ascii="Times New Roman" w:hAnsi="Times New Roman" w:cs="Times New Roman"/>
          <w:color w:val="000000" w:themeColor="text1"/>
        </w:rPr>
        <w:t>największym stopniu determinują zakres podejmowanych działań.</w:t>
      </w:r>
    </w:p>
    <w:p w14:paraId="47A4FB83" w14:textId="01B12A20" w:rsidR="004F3356" w:rsidRDefault="004F3356" w:rsidP="00EE5304">
      <w:pPr>
        <w:tabs>
          <w:tab w:val="left" w:pos="900"/>
        </w:tabs>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ab/>
      </w:r>
      <w:r w:rsidRPr="00270E12">
        <w:rPr>
          <w:rFonts w:ascii="Times New Roman" w:hAnsi="Times New Roman" w:cs="Times New Roman"/>
          <w:color w:val="000000" w:themeColor="text1"/>
        </w:rPr>
        <w:t xml:space="preserve">Aktualna sytuacja demograficzna kształtuje się na tym terenie niekorzystnie, ponieważ systematycznie maleje liczba mieszkańców, </w:t>
      </w:r>
      <w:r>
        <w:rPr>
          <w:rFonts w:ascii="Times New Roman" w:hAnsi="Times New Roman" w:cs="Times New Roman"/>
          <w:color w:val="000000" w:themeColor="text1"/>
        </w:rPr>
        <w:t>co</w:t>
      </w:r>
      <w:r w:rsidRPr="00270E12">
        <w:rPr>
          <w:rFonts w:ascii="Times New Roman" w:hAnsi="Times New Roman" w:cs="Times New Roman"/>
          <w:color w:val="000000" w:themeColor="text1"/>
        </w:rPr>
        <w:t xml:space="preserve"> spowodowan</w:t>
      </w:r>
      <w:r>
        <w:rPr>
          <w:rFonts w:ascii="Times New Roman" w:hAnsi="Times New Roman" w:cs="Times New Roman"/>
          <w:color w:val="000000" w:themeColor="text1"/>
        </w:rPr>
        <w:t>e</w:t>
      </w:r>
      <w:r w:rsidRPr="00270E12">
        <w:rPr>
          <w:rFonts w:ascii="Times New Roman" w:hAnsi="Times New Roman" w:cs="Times New Roman"/>
          <w:color w:val="000000" w:themeColor="text1"/>
        </w:rPr>
        <w:t xml:space="preserve"> jest ujemnym</w:t>
      </w:r>
      <w:r>
        <w:rPr>
          <w:rFonts w:ascii="Times New Roman" w:hAnsi="Times New Roman" w:cs="Times New Roman"/>
          <w:color w:val="000000" w:themeColor="text1"/>
        </w:rPr>
        <w:t xml:space="preserve"> przyrostem naturalnym i ujemnym, pogłębiającym się saldem migracji. Rozwój tej sytuacji w połączeniu z depopulacją województwa lubelskiego, a szczególnie jego krańców wschodnich i niekorzystną strukturą piramidy </w:t>
      </w:r>
      <w:r w:rsidR="00460149">
        <w:rPr>
          <w:rFonts w:ascii="Times New Roman" w:hAnsi="Times New Roman" w:cs="Times New Roman"/>
          <w:color w:val="000000" w:themeColor="text1"/>
        </w:rPr>
        <w:t xml:space="preserve">płci i </w:t>
      </w:r>
      <w:r>
        <w:rPr>
          <w:rFonts w:ascii="Times New Roman" w:hAnsi="Times New Roman" w:cs="Times New Roman"/>
          <w:color w:val="000000" w:themeColor="text1"/>
        </w:rPr>
        <w:t xml:space="preserve">wieku oraz stopniowym tempem wzrostu wskaźników obciążenia demograficznego może bardzo negatywnie wpłynąć na rozwój obszaru. Istotne jest zatem dążenie do dostosowania usług do zmian demograficznych, ale też zwiększenie atrakcyjności osiedleńczej tego obszaru. Szansą jest cyfryzacja życia codziennego – zapewnienie mieszkańcom szerokopasmowego Internetu, który umożliwi naukę i pracę zdalną. </w:t>
      </w:r>
      <w:r w:rsidRPr="00912B7C">
        <w:rPr>
          <w:rFonts w:ascii="Times New Roman" w:hAnsi="Times New Roman" w:cs="Times New Roman"/>
          <w:color w:val="000000" w:themeColor="text1"/>
        </w:rPr>
        <w:t>Malejąca liczba mieszkańców wynika między innymi z odpływu młodych osób</w:t>
      </w:r>
      <w:r>
        <w:rPr>
          <w:rFonts w:ascii="Times New Roman" w:hAnsi="Times New Roman" w:cs="Times New Roman"/>
          <w:color w:val="000000" w:themeColor="text1"/>
        </w:rPr>
        <w:t xml:space="preserve"> </w:t>
      </w:r>
      <w:r w:rsidRPr="00912B7C">
        <w:rPr>
          <w:rFonts w:ascii="Times New Roman" w:hAnsi="Times New Roman" w:cs="Times New Roman"/>
          <w:color w:val="000000" w:themeColor="text1"/>
        </w:rPr>
        <w:t xml:space="preserve">w poszukiwaniu lepszych perspektyw życiowych. Młodzi ludzie wyjeżdżają na studia, po których nie wracają. Stworzenie </w:t>
      </w:r>
      <w:r w:rsidRPr="00912B7C">
        <w:rPr>
          <w:rFonts w:ascii="Times New Roman" w:hAnsi="Times New Roman" w:cs="Times New Roman"/>
          <w:color w:val="000000" w:themeColor="text1"/>
        </w:rPr>
        <w:lastRenderedPageBreak/>
        <w:t>odpowiednich warunków dla rozwoju przedsiębiorczości będzie pierwszym czynnikiem, który zachęci do powrotu</w:t>
      </w:r>
      <w:r>
        <w:rPr>
          <w:rFonts w:ascii="Times New Roman" w:hAnsi="Times New Roman" w:cs="Times New Roman"/>
          <w:color w:val="000000" w:themeColor="text1"/>
        </w:rPr>
        <w:t xml:space="preserve"> do gmin z obszaru LGD. </w:t>
      </w:r>
      <w:r w:rsidRPr="00912B7C">
        <w:rPr>
          <w:rFonts w:ascii="Times New Roman" w:hAnsi="Times New Roman" w:cs="Times New Roman"/>
          <w:color w:val="000000" w:themeColor="text1"/>
        </w:rPr>
        <w:t>Na jakość życia, pracy i przebywania w danym miejscu duży wpływ ma jakość środowiska i czyste powietrze. Zagrożenia wynikające z zanieczyszczeń środowiska poprzez niską emisję można niwelować. Należy zwiększać świadomość ekologiczną wśród mieszkańców.</w:t>
      </w:r>
      <w:r>
        <w:rPr>
          <w:rFonts w:ascii="Times New Roman" w:hAnsi="Times New Roman" w:cs="Times New Roman"/>
          <w:color w:val="000000" w:themeColor="text1"/>
        </w:rPr>
        <w:t xml:space="preserve"> Dla miejsc takich jak gminy LGD bardzo ważne będzie też wzmacnianie lokalnej tożsamości i budowanie więzi społecznych oraz zachęcanie do zawiązywania partnerstw i realizacji inicjatyw oddolnych. Poza Gminą Tuczna notuje się niską aktywność mieszkańców </w:t>
      </w:r>
      <w:r>
        <w:rPr>
          <w:rFonts w:ascii="Times New Roman" w:hAnsi="Times New Roman" w:cs="Times New Roman"/>
          <w:color w:val="000000" w:themeColor="text1"/>
        </w:rPr>
        <w:br/>
        <w:t xml:space="preserve">w organizacjach pozarządowych. </w:t>
      </w:r>
    </w:p>
    <w:p w14:paraId="1F51B73E" w14:textId="04A9B617" w:rsidR="004F3356" w:rsidRDefault="004F3356" w:rsidP="00EE5304">
      <w:pPr>
        <w:tabs>
          <w:tab w:val="left" w:pos="900"/>
        </w:tabs>
        <w:spacing w:after="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ab/>
        <w:t xml:space="preserve">Pomimo rosnących wskaźników gospodarczych, poziom przedsiębiorczości wśród mieszkańców obszaru nadal jest niezadawalający. Na obszarze LGD funkcjonuje stosunkowo niewielka ilość podmiotów gospodarczych małych, które oferowałyby odpowiednią ilość i jakość miejsc pracy. </w:t>
      </w:r>
      <w:r w:rsidRPr="00B75257">
        <w:rPr>
          <w:rFonts w:ascii="Times New Roman" w:hAnsi="Times New Roman" w:cs="Times New Roman"/>
          <w:color w:val="000000" w:themeColor="text1"/>
        </w:rPr>
        <w:t>Należy podjąć działania niwelujące tę niekorzystną sytuację, ponieważ prowadzić ona będzie do dalszego obniżania się dochodów gospodarstw domowych oraz rosnącej liczby emigracji w celach zarobkowych. Bezrobocie jest również najczęstszą przyczyną wykluczenia społecznego i ubożenia, które zmusza do korzystania z pomocy społecznej</w:t>
      </w:r>
      <w:r>
        <w:rPr>
          <w:rFonts w:ascii="Times New Roman" w:hAnsi="Times New Roman" w:cs="Times New Roman"/>
          <w:color w:val="000000" w:themeColor="text1"/>
        </w:rPr>
        <w:t>, a na terenie Bialskopodlask</w:t>
      </w:r>
      <w:r w:rsidR="00417CF3">
        <w:rPr>
          <w:rFonts w:ascii="Times New Roman" w:hAnsi="Times New Roman" w:cs="Times New Roman"/>
          <w:color w:val="000000" w:themeColor="text1"/>
        </w:rPr>
        <w:t>iej</w:t>
      </w:r>
      <w:r>
        <w:rPr>
          <w:rFonts w:ascii="Times New Roman" w:hAnsi="Times New Roman" w:cs="Times New Roman"/>
          <w:color w:val="000000" w:themeColor="text1"/>
        </w:rPr>
        <w:t xml:space="preserve"> LGD – pomimo stopniowego zmniejszania się bezrobocia, następuje szybkie pogłębianie się zjawiska bezrobocia długotrwałego. Wśród osób bezrobotnych w większości gmin obszaru przeważają mężczyźni, co jest zjawiskiem odmiennym niż w przypadku województwa i kraju. </w:t>
      </w:r>
    </w:p>
    <w:p w14:paraId="45424E14" w14:textId="4AC0EB54" w:rsidR="00A17173" w:rsidRPr="004F3356" w:rsidRDefault="004F3356" w:rsidP="00A62189">
      <w:pPr>
        <w:tabs>
          <w:tab w:val="left" w:pos="900"/>
        </w:tabs>
        <w:spacing w:after="80" w:line="276"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ab/>
        <w:t xml:space="preserve">Niewątpliwym atutem obszaru LGD jest jego historia i dziedzictwo kulturowe. Ze względu na przeszłe wydarzenia, na obszarze łączą się ze sobą i współistnieją ślady i wspomnienia po wielu kulturach. Dzięki temu pod względem kultury i zabytków obszar ten jest wielowymiarowy, a przez to bardzo interesujący dla turystów. Dodatkową zaletą jest położenie w lewobrzeżnej części doliny Bugu, posiadającej wyjątkową, niedotkniętą działaniem człowieka przyrodę, która powinna być chroniona ze względu na swoje walory przyrodnicze, ale również ekonomiczno-rozwojowe obszaru, ponieważ czyste powietrze i natura są istotnym czynnikiem decydującym o chęci spędzenia wolnego czasu, z dala od dużych miast. </w:t>
      </w:r>
    </w:p>
    <w:p w14:paraId="4B7D0CBC" w14:textId="09504695" w:rsidR="00F010F9" w:rsidRDefault="00F010F9" w:rsidP="00CF301F">
      <w:pPr>
        <w:pStyle w:val="podnagowek"/>
        <w:numPr>
          <w:ilvl w:val="0"/>
          <w:numId w:val="17"/>
        </w:numPr>
        <w:spacing w:after="80"/>
        <w:ind w:left="782" w:hanging="357"/>
        <w:rPr>
          <w:sz w:val="22"/>
          <w:szCs w:val="22"/>
        </w:rPr>
      </w:pPr>
      <w:bookmarkStart w:id="91" w:name="_Toc135896900"/>
      <w:bookmarkStart w:id="92" w:name="_Toc133484345"/>
      <w:r>
        <w:rPr>
          <w:sz w:val="22"/>
          <w:szCs w:val="22"/>
        </w:rPr>
        <w:t>Wnioski z diagnozy</w:t>
      </w:r>
      <w:bookmarkEnd w:id="91"/>
    </w:p>
    <w:p w14:paraId="5F16988D" w14:textId="77777777" w:rsidR="00CF301F" w:rsidRPr="00CF301F" w:rsidRDefault="00CF301F" w:rsidP="00CF301F">
      <w:pPr>
        <w:pStyle w:val="podnagowek"/>
        <w:numPr>
          <w:ilvl w:val="0"/>
          <w:numId w:val="0"/>
        </w:numPr>
        <w:spacing w:after="0" w:line="276" w:lineRule="auto"/>
        <w:ind w:firstLine="709"/>
        <w:outlineLvl w:val="9"/>
        <w:rPr>
          <w:b w:val="0"/>
          <w:bCs w:val="0"/>
          <w:sz w:val="22"/>
          <w:szCs w:val="22"/>
        </w:rPr>
      </w:pPr>
      <w:r w:rsidRPr="00CF301F">
        <w:rPr>
          <w:b w:val="0"/>
          <w:bCs w:val="0"/>
          <w:sz w:val="22"/>
          <w:szCs w:val="22"/>
        </w:rPr>
        <w:t>Na podstawie danych statystycznych, opinii mieszkańców wyrażonych w ankietach oraz spotkań z nimi określono problemy oraz potencjały, które w największym stopniu oddziałują bądź mogą oddziaływać na obszar LGD. Słabe strony oraz zagrożenia powinny być pokonywane przez mocne strony oraz szanse rozwoju, które stoją przed obszarem. Na ich podstawie zostały wysunięte wnioski na temat obszaru LGD, które ukazują również potrzeby mieszkańców.</w:t>
      </w:r>
    </w:p>
    <w:p w14:paraId="7FE15EF2" w14:textId="77777777" w:rsidR="00416D1A" w:rsidRPr="00B54B9B" w:rsidRDefault="00CF301F" w:rsidP="00416D1A">
      <w:pPr>
        <w:spacing w:after="0" w:line="276" w:lineRule="auto"/>
        <w:ind w:firstLine="708"/>
        <w:jc w:val="both"/>
        <w:rPr>
          <w:rFonts w:ascii="Times New Roman" w:hAnsi="Times New Roman" w:cs="Times New Roman"/>
          <w:color w:val="000000" w:themeColor="text1"/>
        </w:rPr>
      </w:pPr>
      <w:r w:rsidRPr="00416D1A">
        <w:rPr>
          <w:rFonts w:ascii="Times New Roman" w:hAnsi="Times New Roman" w:cs="Times New Roman"/>
          <w:color w:val="000000" w:themeColor="text1"/>
        </w:rPr>
        <w:t xml:space="preserve">Niewątpliwie przy określaniu potrzeb rozwojowych obszaru należy szczególną uwagę zwrócić na strukturę wieku. </w:t>
      </w:r>
      <w:r w:rsidR="00416D1A" w:rsidRPr="00B54B9B">
        <w:rPr>
          <w:rFonts w:ascii="Times New Roman" w:hAnsi="Times New Roman" w:cs="Times New Roman"/>
          <w:color w:val="000000" w:themeColor="text1"/>
        </w:rPr>
        <w:t>Dane demograficzne wskazują, że obszar LGD jest obszarem stosunkowo szybko starzejącym się. Udział najstarszych grup ludności znacznie wzrósł w badanym okresie przy jednoczesnym spadku udziału ludności w wieku produkcyjny</w:t>
      </w:r>
      <w:r w:rsidR="00416D1A">
        <w:rPr>
          <w:rFonts w:ascii="Times New Roman" w:hAnsi="Times New Roman" w:cs="Times New Roman"/>
          <w:color w:val="000000" w:themeColor="text1"/>
        </w:rPr>
        <w:t>m. Należy jednak zwrócić uwagę na pozytywny fakt, jakim jest wzrost liczby ludności w wieku przedprodukcyjnym</w:t>
      </w:r>
      <w:r w:rsidR="00416D1A">
        <w:t xml:space="preserve">. </w:t>
      </w:r>
      <w:r w:rsidR="00416D1A" w:rsidRPr="00B54B9B">
        <w:rPr>
          <w:rFonts w:ascii="Times New Roman" w:hAnsi="Times New Roman" w:cs="Times New Roman"/>
          <w:color w:val="000000" w:themeColor="text1"/>
        </w:rPr>
        <w:t>Warto zwrócić uwagę na znaczny udział osób w wieku przedemerytalnym, który pozwala wnioskować, że udział mieszkańców w wieku poprodukcyjnym nadal będzie się zwiększał. Jednocześnie, biorąc pod uwagę zwężanie się piramidy ku jej podstawie, można przewidywać, iż udział ludności w wieku przedprodukcyjnym i produkcyjnym stopniowo będzie malał. Spodziewać się wi</w:t>
      </w:r>
      <w:r w:rsidR="00416D1A">
        <w:rPr>
          <w:rFonts w:ascii="Times New Roman" w:hAnsi="Times New Roman" w:cs="Times New Roman"/>
          <w:color w:val="000000" w:themeColor="text1"/>
        </w:rPr>
        <w:t>ę</w:t>
      </w:r>
      <w:r w:rsidR="00416D1A" w:rsidRPr="00B54B9B">
        <w:rPr>
          <w:rFonts w:ascii="Times New Roman" w:hAnsi="Times New Roman" w:cs="Times New Roman"/>
          <w:color w:val="000000" w:themeColor="text1"/>
        </w:rPr>
        <w:t>c można w najbliższych latach wzrostu</w:t>
      </w:r>
      <w:r w:rsidR="00416D1A">
        <w:rPr>
          <w:rFonts w:ascii="Times New Roman" w:hAnsi="Times New Roman" w:cs="Times New Roman"/>
          <w:color w:val="000000" w:themeColor="text1"/>
        </w:rPr>
        <w:t xml:space="preserve"> wartości</w:t>
      </w:r>
      <w:r w:rsidR="00416D1A" w:rsidRPr="00B54B9B">
        <w:rPr>
          <w:rFonts w:ascii="Times New Roman" w:hAnsi="Times New Roman" w:cs="Times New Roman"/>
          <w:color w:val="000000" w:themeColor="text1"/>
        </w:rPr>
        <w:t xml:space="preserve"> wskaźników obciążenia demograficznego</w:t>
      </w:r>
      <w:r w:rsidR="00416D1A">
        <w:rPr>
          <w:rFonts w:ascii="Times New Roman" w:hAnsi="Times New Roman" w:cs="Times New Roman"/>
          <w:color w:val="000000" w:themeColor="text1"/>
        </w:rPr>
        <w:t>.</w:t>
      </w:r>
    </w:p>
    <w:p w14:paraId="427EC8E3" w14:textId="7DBB4721" w:rsidR="00CF301F" w:rsidRPr="00CF301F" w:rsidRDefault="00CF301F" w:rsidP="00CF301F">
      <w:pPr>
        <w:pStyle w:val="podnagowek"/>
        <w:numPr>
          <w:ilvl w:val="0"/>
          <w:numId w:val="0"/>
        </w:numPr>
        <w:spacing w:after="0" w:line="276" w:lineRule="auto"/>
        <w:ind w:firstLine="709"/>
        <w:outlineLvl w:val="9"/>
        <w:rPr>
          <w:b w:val="0"/>
          <w:bCs w:val="0"/>
          <w:sz w:val="22"/>
          <w:szCs w:val="22"/>
        </w:rPr>
      </w:pPr>
      <w:r w:rsidRPr="00CF301F">
        <w:rPr>
          <w:b w:val="0"/>
          <w:bCs w:val="0"/>
          <w:sz w:val="22"/>
          <w:szCs w:val="22"/>
        </w:rPr>
        <w:t xml:space="preserve">Pomimo wzrostu wskaźników gospodarczych, obszar cechuje niski poziom przedsiębiorczości oraz niewystarczająca ilość atrakcyjnych miejsc pracy, co również potwierdzali sami mieszkańcy na spotkaniach. Jednak należy zwrócić uwagę na fakt, że wskaźniki dotyczące przedsiębiorczości na obszarze LGD w ciągu ostatnich lat uległy poprawie, a dynamika ich wzrostu jest większa niż w województwie i kraju. Również w ciągu ostatnich lat obserwuje się systematyczny spadek bezrobocia </w:t>
      </w:r>
      <w:r w:rsidRPr="00CF301F">
        <w:rPr>
          <w:b w:val="0"/>
          <w:bCs w:val="0"/>
          <w:color w:val="000000"/>
          <w:sz w:val="22"/>
          <w:szCs w:val="22"/>
        </w:rPr>
        <w:t>(</w:t>
      </w:r>
      <w:r w:rsidRPr="00CF301F">
        <w:rPr>
          <w:b w:val="0"/>
          <w:bCs w:val="0"/>
          <w:sz w:val="22"/>
          <w:szCs w:val="22"/>
        </w:rPr>
        <w:t>wyjątek stanowił rok 2020, kiedy wystąpił nagły wzrost liczby bezrobotnych – wzrost wystąpił zarówno w województwie i kraju). Natomiast niepokojący jest fakt wzrostu bezrobocia długoterminowego. Pomimo deficytów w przedsiębiorczości, pozytywny jest fakt, iż mieszkańcy podczas realizacji poprzedniej LSR wyrażali duże zainteresowanie dofinansowaniem działalności gospodarczych.</w:t>
      </w:r>
    </w:p>
    <w:p w14:paraId="14ED882E" w14:textId="2FEF90AD" w:rsidR="00CF301F" w:rsidRDefault="00CF301F" w:rsidP="00CF301F">
      <w:pPr>
        <w:pStyle w:val="podnagowek"/>
        <w:numPr>
          <w:ilvl w:val="0"/>
          <w:numId w:val="0"/>
        </w:numPr>
        <w:spacing w:after="0" w:line="276" w:lineRule="auto"/>
        <w:ind w:firstLine="709"/>
        <w:outlineLvl w:val="9"/>
        <w:rPr>
          <w:b w:val="0"/>
          <w:bCs w:val="0"/>
          <w:sz w:val="22"/>
          <w:szCs w:val="22"/>
        </w:rPr>
      </w:pPr>
      <w:r w:rsidRPr="00CF301F">
        <w:rPr>
          <w:b w:val="0"/>
          <w:bCs w:val="0"/>
          <w:sz w:val="22"/>
          <w:szCs w:val="22"/>
        </w:rPr>
        <w:t xml:space="preserve">Aktywność lokalnej społeczności i liczba efektywnie działających formalnych grup mieszkańców stopniowo rosła na przestrzeni analizowanych lat, </w:t>
      </w:r>
      <w:r w:rsidR="00416D1A">
        <w:rPr>
          <w:b w:val="0"/>
          <w:bCs w:val="0"/>
          <w:sz w:val="22"/>
          <w:szCs w:val="22"/>
        </w:rPr>
        <w:t xml:space="preserve">jednak </w:t>
      </w:r>
      <w:r w:rsidRPr="00CF301F">
        <w:rPr>
          <w:b w:val="0"/>
          <w:bCs w:val="0"/>
          <w:sz w:val="22"/>
          <w:szCs w:val="22"/>
        </w:rPr>
        <w:t xml:space="preserve">liczba zarejestrowanych organizacji pozarządowych w przeliczeniu na 10 tys. mieszkańców była </w:t>
      </w:r>
      <w:r w:rsidR="00416D1A">
        <w:rPr>
          <w:b w:val="0"/>
          <w:bCs w:val="0"/>
          <w:sz w:val="22"/>
          <w:szCs w:val="22"/>
        </w:rPr>
        <w:t>niższa</w:t>
      </w:r>
      <w:r w:rsidRPr="00CF301F">
        <w:rPr>
          <w:b w:val="0"/>
          <w:bCs w:val="0"/>
          <w:sz w:val="22"/>
          <w:szCs w:val="22"/>
        </w:rPr>
        <w:t xml:space="preserve"> od średniej dla województwa i kraju. </w:t>
      </w:r>
      <w:r w:rsidR="00416D1A">
        <w:rPr>
          <w:b w:val="0"/>
          <w:bCs w:val="0"/>
          <w:sz w:val="22"/>
          <w:szCs w:val="22"/>
        </w:rPr>
        <w:t>Również sami</w:t>
      </w:r>
      <w:r w:rsidRPr="00CF301F">
        <w:rPr>
          <w:b w:val="0"/>
          <w:bCs w:val="0"/>
          <w:sz w:val="22"/>
          <w:szCs w:val="22"/>
        </w:rPr>
        <w:t xml:space="preserve"> mieszkańcy na spotkaniach zauważali, że występują braki w aktywności społecznej oraz integracji różnych podmiotów. </w:t>
      </w:r>
    </w:p>
    <w:p w14:paraId="280C0BEF" w14:textId="14A4A55B" w:rsidR="00416D1A" w:rsidRPr="00416D1A" w:rsidRDefault="00416D1A" w:rsidP="00416D1A">
      <w:pPr>
        <w:spacing w:after="0" w:line="276" w:lineRule="auto"/>
        <w:ind w:firstLine="708"/>
        <w:jc w:val="both"/>
        <w:rPr>
          <w:rFonts w:ascii="Times New Roman" w:hAnsi="Times New Roman" w:cs="Times New Roman"/>
        </w:rPr>
      </w:pPr>
      <w:r w:rsidRPr="004C75A2">
        <w:rPr>
          <w:rFonts w:ascii="Times New Roman" w:hAnsi="Times New Roman" w:cs="Times New Roman"/>
        </w:rPr>
        <w:lastRenderedPageBreak/>
        <w:t xml:space="preserve">Ziemie obszaru LGD stanowiły przez wiele wieków tereny pogranicza, na których ścierały się wpływy Polski, Rusi oraz Litwy. Wpływ na kształtowanie się różnych aspektów dziedzictwa kulturowego miały różne kultury i tradycje. Ze względu na wielowiekowe krzyżowanie się kultur wschodu i zachodu, również w aspekcie religijnym, na terenie obszaru znajdują się obiekty dziedzictwa kulturowego, które rzadko spotykane są w innych częściach kraju. </w:t>
      </w:r>
      <w:r w:rsidRPr="00B53A59">
        <w:rPr>
          <w:rFonts w:ascii="Times New Roman" w:hAnsi="Times New Roman" w:cs="Times New Roman"/>
        </w:rPr>
        <w:t>Obszar LGD posiada historię i dziedzictwo, którego wyrazem są liczne zabytki znajdujące się na terenie gmin wchodzących w skład Bialskopodlask</w:t>
      </w:r>
      <w:r w:rsidR="00417CF3">
        <w:rPr>
          <w:rFonts w:ascii="Times New Roman" w:hAnsi="Times New Roman" w:cs="Times New Roman"/>
        </w:rPr>
        <w:t>iej</w:t>
      </w:r>
      <w:r w:rsidRPr="00B53A59">
        <w:rPr>
          <w:rFonts w:ascii="Times New Roman" w:hAnsi="Times New Roman" w:cs="Times New Roman"/>
        </w:rPr>
        <w:t xml:space="preserve"> LGD. Niewątpliwym atutem regionu jest także środowisko przyrodnicze – ukształtowanie terenu, liczna i bogata fauna i flora.</w:t>
      </w:r>
    </w:p>
    <w:p w14:paraId="2144B999" w14:textId="19584550" w:rsidR="00CF301F" w:rsidRDefault="00CF301F" w:rsidP="00CF301F">
      <w:pPr>
        <w:pStyle w:val="podnagowek"/>
        <w:numPr>
          <w:ilvl w:val="0"/>
          <w:numId w:val="0"/>
        </w:numPr>
        <w:spacing w:after="0" w:line="276" w:lineRule="auto"/>
        <w:ind w:firstLine="709"/>
        <w:outlineLvl w:val="9"/>
        <w:rPr>
          <w:b w:val="0"/>
          <w:bCs w:val="0"/>
          <w:sz w:val="22"/>
          <w:szCs w:val="22"/>
        </w:rPr>
      </w:pPr>
      <w:r w:rsidRPr="00CF301F">
        <w:rPr>
          <w:b w:val="0"/>
          <w:bCs w:val="0"/>
          <w:sz w:val="22"/>
          <w:szCs w:val="22"/>
        </w:rPr>
        <w:t xml:space="preserve">Biorąc pod uwagę strukturę wieku i zachodzące zmiany, należy ukierunkować działania tak, aby zapewnić mieszkańcom odpowiednie warunki do życia na obszarze. Przede wszystkim przy doborze przedsięwzięć należy zwrócić uwagę na osoby młode, które zamieszkują obszar. Skierowanie działań na zapewnienie im warunków do rozwoju może przyczynić się do zachęcenia ich do pozostania na obszarze bądź powrotu w miejsce zamieszkania po zdobyciu wykształcenia. Dlatego część z działań należy ukierunkować na rozszerzenie oferty spędzania czasu wolnego dla dzieci i młodzieży, ale przede wszystkim należy zapewnić młodym mieszkańcom możliwość poszerzania swojej wiedzy oraz rozwoju pasji i talentów w miejscu, w którym żyją, bez konieczności wyjeżdżania do większych miast. Przedsięwzięcia skierowane do dzieci i młodzieży pozwolą im również na większą integrację </w:t>
      </w:r>
      <w:r w:rsidRPr="00CF301F">
        <w:rPr>
          <w:b w:val="0"/>
          <w:bCs w:val="0"/>
          <w:sz w:val="22"/>
          <w:szCs w:val="22"/>
        </w:rPr>
        <w:br/>
        <w:t xml:space="preserve">i zbudowanie tożsamości lokalnej. Działania ukierunkowane na dzieci i młodzież poprzez zapewnienie im opieki, rozwój ich pasji i talentów oraz wyrównanie szans edukacyjnych mogą przyczynić się również do zwiększenia zainteresowania obszarem jako miejscem do życia dla osób, które chcą żyć na wsi, ale mieć dostęp do usług na takim samym poziomie jak w miastach, szczególnie w zakresie edukacji dzieci. </w:t>
      </w:r>
    </w:p>
    <w:p w14:paraId="703AB14E" w14:textId="5A8A5632" w:rsidR="001B01CD" w:rsidRPr="00CF301F" w:rsidRDefault="008979D5" w:rsidP="00CF301F">
      <w:pPr>
        <w:pStyle w:val="podnagowek"/>
        <w:numPr>
          <w:ilvl w:val="0"/>
          <w:numId w:val="0"/>
        </w:numPr>
        <w:spacing w:after="0" w:line="276" w:lineRule="auto"/>
        <w:ind w:firstLine="709"/>
        <w:outlineLvl w:val="9"/>
        <w:rPr>
          <w:b w:val="0"/>
          <w:bCs w:val="0"/>
          <w:sz w:val="22"/>
          <w:szCs w:val="22"/>
        </w:rPr>
      </w:pPr>
      <w:r>
        <w:rPr>
          <w:b w:val="0"/>
          <w:bCs w:val="0"/>
          <w:sz w:val="22"/>
          <w:szCs w:val="22"/>
        </w:rPr>
        <w:t>Na podstawie danych GUS oraz z obserwacji własnego otoczenia</w:t>
      </w:r>
      <w:r w:rsidR="002B51CD">
        <w:rPr>
          <w:b w:val="0"/>
          <w:bCs w:val="0"/>
          <w:sz w:val="22"/>
          <w:szCs w:val="22"/>
        </w:rPr>
        <w:t>,</w:t>
      </w:r>
      <w:r>
        <w:rPr>
          <w:b w:val="0"/>
          <w:bCs w:val="0"/>
          <w:sz w:val="22"/>
          <w:szCs w:val="22"/>
        </w:rPr>
        <w:t xml:space="preserve"> mieszkańcy podczas spotkań podjęli decyzję, że należy skierować działania na rzecz wspierania osób z niepełnosprawnościami i ich opiekunów, gdyż to oni są grupą w niekorzystnej sytuacji. Uczestnicy spotkań zwrócili uwagę, że potrzeby osób z niepełnosprawnościami i ich opiekunów są duże i wymagają znacznych nakładów pieniężnych, jednak realizacja nawet niewielkich działań przyczyni się do popraw jakości ich życia. Jednym z wymienianych problemów osób z niepełnosprawnościami i ich opiekunów są przeszkody architektoniczne oraz niedostosowana do ich potrzeb infrastruktura. Szczególe braki zauważono w infrastrukturze dla dzieci. W związku z tym uznano, że w kolejnych latach działania będą kierowane na dostosowanie ogólnodostępnej infrastruktury publicznej dla osób z niepełnosprawnościami i ich opiekunów, co niewątpliwie będzie innowacją na obszarze. Również działania zwiększające dostęp do oferty edukacyjnej, </w:t>
      </w:r>
      <w:r w:rsidR="00CD2FC2">
        <w:rPr>
          <w:b w:val="0"/>
          <w:bCs w:val="0"/>
          <w:sz w:val="22"/>
          <w:szCs w:val="22"/>
        </w:rPr>
        <w:t>kulturalnej i integracyjnej będą kierowane do osób z niepełnosprawnościami i ich opiekunów.</w:t>
      </w:r>
    </w:p>
    <w:p w14:paraId="265C2D80" w14:textId="694282D3" w:rsidR="00CF301F" w:rsidRPr="00CF301F" w:rsidRDefault="00CF301F" w:rsidP="001B01CD">
      <w:pPr>
        <w:pStyle w:val="podnagowek"/>
        <w:numPr>
          <w:ilvl w:val="0"/>
          <w:numId w:val="0"/>
        </w:numPr>
        <w:spacing w:after="0" w:line="276" w:lineRule="auto"/>
        <w:ind w:firstLine="709"/>
        <w:outlineLvl w:val="9"/>
        <w:rPr>
          <w:b w:val="0"/>
          <w:bCs w:val="0"/>
          <w:sz w:val="22"/>
          <w:szCs w:val="22"/>
        </w:rPr>
      </w:pPr>
      <w:r w:rsidRPr="00CF301F">
        <w:rPr>
          <w:b w:val="0"/>
          <w:bCs w:val="0"/>
          <w:sz w:val="22"/>
          <w:szCs w:val="22"/>
        </w:rPr>
        <w:t xml:space="preserve">Działania jakie będzie podejmować LGD w kolejnych latach powinny być również skierowane na pobudzenie przedsiębiorczości wśród wszystkich mieszkańców, na co zwracali uwagę sami mieszkańcy zarówno na spotkaniach konsultacyjnych jak również w ankietach przeprowadzonych na potrzeby budowania LSR. Przedsięwzięcia powinny obejmować równocześnie rozwój działalności w celu zwiększenia dywersyfikacji gospodarczej, tak aby zapewnić bezpieczeństwo przedsiębiorcom. Ważne jest także stworzenie systemu zachęt </w:t>
      </w:r>
      <w:r w:rsidRPr="00CF301F">
        <w:rPr>
          <w:b w:val="0"/>
          <w:bCs w:val="0"/>
          <w:sz w:val="22"/>
          <w:szCs w:val="22"/>
        </w:rPr>
        <w:br/>
        <w:t xml:space="preserve">i wsparcia dla inwestorów czy udogodnień i pomocy przy zakładaniu działalności gospodarczej. Również kursy </w:t>
      </w:r>
      <w:r w:rsidRPr="00CF301F">
        <w:rPr>
          <w:b w:val="0"/>
          <w:bCs w:val="0"/>
          <w:sz w:val="22"/>
          <w:szCs w:val="22"/>
        </w:rPr>
        <w:br/>
        <w:t>i szkolenia w zakresie zwiększania kompetencji mieszkańców, w tym cyfrowych, oraz promowanie uczenia się przez całe życie wpłynie pozytywnie na pobudzenie gospodarcze obszaru. Działania powinny być także skierowane na zwiększenie innowacyjności i konkurencyjności lokalnej gospodarki poprzez wprowadzenie nowych modeli biznesowych oraz cyfryzację produktów i usług. Istotne jest, żeby rozwijane działalności bazowały na lokalnych zasobach i przyczyniały się do ich promocji.</w:t>
      </w:r>
      <w:r w:rsidR="00B56B71">
        <w:rPr>
          <w:b w:val="0"/>
          <w:bCs w:val="0"/>
          <w:sz w:val="22"/>
          <w:szCs w:val="22"/>
        </w:rPr>
        <w:t xml:space="preserve"> Również pomoc należy skierować do właścicieli małych gospodarstw rolnych na rozwój agroturystyki, która wciąż jest popularnym rodzajem wypoczynku, szczególnie na tak malowniczych terenach jak obszar LGD oraz rozwój zagród edukacyjnych, które tym samym przyczynią się do zwiększenia możliwości spędzania czasu wolnego.</w:t>
      </w:r>
    </w:p>
    <w:p w14:paraId="394A3D39" w14:textId="0B685FAA" w:rsidR="00CF301F" w:rsidRPr="00CF301F" w:rsidRDefault="00CF301F" w:rsidP="00CF301F">
      <w:pPr>
        <w:pStyle w:val="podnagowek"/>
        <w:numPr>
          <w:ilvl w:val="0"/>
          <w:numId w:val="0"/>
        </w:numPr>
        <w:spacing w:after="0" w:line="276" w:lineRule="auto"/>
        <w:ind w:firstLine="709"/>
        <w:outlineLvl w:val="9"/>
        <w:rPr>
          <w:b w:val="0"/>
          <w:bCs w:val="0"/>
          <w:sz w:val="22"/>
          <w:szCs w:val="22"/>
        </w:rPr>
      </w:pPr>
      <w:r w:rsidRPr="00CF301F">
        <w:rPr>
          <w:b w:val="0"/>
          <w:bCs w:val="0"/>
          <w:sz w:val="22"/>
          <w:szCs w:val="22"/>
        </w:rPr>
        <w:t xml:space="preserve">Zarówno dane GUS jak i rozmowy z mieszkańcami podczas konsultacji pokazały, iż obszar ma potencjał do rozwoju w kierunku rekreacji i aktywnego wypoczynku, z którego mogą korzystać mieszkańcy obszaru oraz sąsiednich dużych miast. Ponadto biorąc pod uwagę fakt, iż mieszkańcy narzekali na słabo rozwiniętą infrastrukturę turystyczną oraz niewystarczającą ofertę spędzania czasu wolnego, rozwój działalności gospodarczej mieszkańców powinien być skierowany głównie na te obszary. Dlatego przedsięwzięcia związane z rozwojem działalności gospodarczych należy skierować na rozszerzenie oferty kulturalnej, rozwój infrastruktury rekreacyjnej, rozwój usług związanych z rozrywką, gastronomią oraz z tworzeniem miejsc, gdzie mieszkańcy będą mogli spotykać się w czasie wolnym oraz zwiększające atrakcyjność turystyczną obszaru. Z punktu widzenia rozwoju gospodarczego niezwykle </w:t>
      </w:r>
      <w:r w:rsidRPr="00CF301F">
        <w:rPr>
          <w:b w:val="0"/>
          <w:bCs w:val="0"/>
          <w:sz w:val="22"/>
          <w:szCs w:val="22"/>
        </w:rPr>
        <w:lastRenderedPageBreak/>
        <w:t xml:space="preserve">ważne jest wspieranie już istniejących działalności poprzez ich integrację i animowanie do współpracy różnych branż, realizacji projektów partnerskich oraz wymianę doświadczeń, co przyczyni się do podejmowania działań na rzecz rozwoju obszaru na bazie lokalnych produktów i wspierania mniejszych przedsiębiorstw. Oprócz animowania do współpracy, LGD powinno kłaść nacisk na częstą komunikację i spotkania przeznaczone dla przedsiębiorców </w:t>
      </w:r>
      <w:r w:rsidRPr="00CF301F">
        <w:rPr>
          <w:b w:val="0"/>
          <w:bCs w:val="0"/>
          <w:sz w:val="22"/>
          <w:szCs w:val="22"/>
        </w:rPr>
        <w:br/>
        <w:t>i mieszkańców, którzy będą zainteresowani podejmowaniem działalności gospodarczej, w celu zwiększeni</w:t>
      </w:r>
      <w:r w:rsidR="004F66E4">
        <w:rPr>
          <w:b w:val="0"/>
          <w:bCs w:val="0"/>
          <w:sz w:val="22"/>
          <w:szCs w:val="22"/>
        </w:rPr>
        <w:t>a</w:t>
      </w:r>
      <w:r w:rsidRPr="00CF301F">
        <w:rPr>
          <w:b w:val="0"/>
          <w:bCs w:val="0"/>
          <w:sz w:val="22"/>
          <w:szCs w:val="22"/>
        </w:rPr>
        <w:t xml:space="preserve"> ich świadomości w zakresie pozyskiwania funduszy zewnętrznych na rozwój działalności oraz przedstawienia korzyści jakie płyną ze współpracy lokalnej. </w:t>
      </w:r>
    </w:p>
    <w:p w14:paraId="701B969C" w14:textId="05645A9A" w:rsidR="00CF301F" w:rsidRPr="00CF301F" w:rsidRDefault="00CF301F" w:rsidP="00CF301F">
      <w:pPr>
        <w:pStyle w:val="podnagowek"/>
        <w:numPr>
          <w:ilvl w:val="0"/>
          <w:numId w:val="0"/>
        </w:numPr>
        <w:spacing w:after="0" w:line="276" w:lineRule="auto"/>
        <w:ind w:firstLine="709"/>
        <w:outlineLvl w:val="9"/>
        <w:rPr>
          <w:b w:val="0"/>
          <w:bCs w:val="0"/>
          <w:sz w:val="22"/>
          <w:szCs w:val="22"/>
        </w:rPr>
      </w:pPr>
      <w:r w:rsidRPr="00CF301F">
        <w:rPr>
          <w:b w:val="0"/>
          <w:bCs w:val="0"/>
          <w:sz w:val="22"/>
          <w:szCs w:val="22"/>
        </w:rPr>
        <w:t xml:space="preserve">Na rozwój obszaru ma również wpływ mocny kapitał społeczny i zaangażowanie mieszkańców w życie swoich społeczności. Na obszarze </w:t>
      </w:r>
      <w:r w:rsidR="001B01CD">
        <w:rPr>
          <w:b w:val="0"/>
          <w:bCs w:val="0"/>
          <w:sz w:val="22"/>
          <w:szCs w:val="22"/>
        </w:rPr>
        <w:t xml:space="preserve">można zaobserwować niską aktywność społeczną oraz brak jest osób, które wzięłyby na siebie rolę lidera motywującego mieszkańców do działania. </w:t>
      </w:r>
      <w:r w:rsidRPr="00CF301F">
        <w:rPr>
          <w:b w:val="0"/>
          <w:bCs w:val="0"/>
          <w:sz w:val="22"/>
          <w:szCs w:val="22"/>
        </w:rPr>
        <w:t xml:space="preserve">Dlatego bardzo ważne będzie skierowanie działań integrujących i wzmacniających tożsamość lokalną oraz kreujących lokalnych liderów życia społecznego </w:t>
      </w:r>
      <w:r w:rsidR="001B01CD">
        <w:rPr>
          <w:b w:val="0"/>
          <w:bCs w:val="0"/>
          <w:sz w:val="22"/>
          <w:szCs w:val="22"/>
        </w:rPr>
        <w:br/>
      </w:r>
      <w:r w:rsidRPr="00CF301F">
        <w:rPr>
          <w:b w:val="0"/>
          <w:bCs w:val="0"/>
          <w:sz w:val="22"/>
          <w:szCs w:val="22"/>
        </w:rPr>
        <w:t xml:space="preserve">i publicznego. Zaangażowana i kreatywna społeczność oraz aktywni liderzy działający na tym obszarze są szansą na wzrost popularności oddolnych inicjatyw, odpowiedzialności społecznej i tworzenia wielosektorowych partnerstw. Inicjatywy oddolne powinny być wspierane zarówno przez LGD jak i lokalne samorządy, tak aby wykorzystać pomysłowość i innowacyjność mieszkańców, którzy będą już nie tylko partycypować w podejmowaniu decyzji </w:t>
      </w:r>
      <w:r w:rsidR="00212137">
        <w:rPr>
          <w:b w:val="0"/>
          <w:bCs w:val="0"/>
          <w:sz w:val="22"/>
          <w:szCs w:val="22"/>
        </w:rPr>
        <w:br/>
      </w:r>
      <w:r w:rsidRPr="00CF301F">
        <w:rPr>
          <w:b w:val="0"/>
          <w:bCs w:val="0"/>
          <w:sz w:val="22"/>
          <w:szCs w:val="22"/>
        </w:rPr>
        <w:t>o obszarze, ale również zaczną sami go zmieniać. Zwiększenie integracji między społecznością lokalną przyczyni się także do współpracy zarówno organizacji pozarządowych jak i nieformalnych grup mieszkańców z innymi społecznościami w kraju i za granicą, co wpłynie na promocję tradycji i kultury regionu poza granicami LGD, województwa oraz kraju, a także pozwoli na poznanie innych regionów oraz na wymianę dobrych praktyk.</w:t>
      </w:r>
    </w:p>
    <w:p w14:paraId="6D6DD5E1" w14:textId="3C6A925C" w:rsidR="00CF301F" w:rsidRPr="00CF301F" w:rsidRDefault="00CF301F" w:rsidP="00CF301F">
      <w:pPr>
        <w:pStyle w:val="podnagowek"/>
        <w:numPr>
          <w:ilvl w:val="0"/>
          <w:numId w:val="0"/>
        </w:numPr>
        <w:spacing w:after="0" w:line="276" w:lineRule="auto"/>
        <w:ind w:firstLine="709"/>
        <w:outlineLvl w:val="9"/>
        <w:rPr>
          <w:b w:val="0"/>
          <w:bCs w:val="0"/>
          <w:sz w:val="22"/>
          <w:szCs w:val="22"/>
        </w:rPr>
      </w:pPr>
      <w:r w:rsidRPr="00CF301F">
        <w:rPr>
          <w:b w:val="0"/>
          <w:bCs w:val="0"/>
          <w:sz w:val="22"/>
          <w:szCs w:val="22"/>
        </w:rPr>
        <w:t xml:space="preserve">Wszystkie powyższe działania powinny również być skierowane do seniorów, którzy stanowią liczną grupę w lokalnej społeczności. Przede wszystkim należy skierować do nich działania aktywizujące oraz włączające do życia w społeczeństwie, tak, aby jak najdłużej mogli brać aktywny udział w rozwoju gospodarczym obszaru oraz </w:t>
      </w:r>
      <w:r w:rsidRPr="00CF301F">
        <w:rPr>
          <w:b w:val="0"/>
          <w:bCs w:val="0"/>
          <w:sz w:val="22"/>
          <w:szCs w:val="22"/>
        </w:rPr>
        <w:br/>
        <w:t>w życiu publicznym i społecznym. Działania należy także skierować na przedłużenie kariery zawodowej seniorów. Szczególny nacisk powinien być położony na edukację seniorów w zakresie cyfryzacji i zagrożeń z niej płynących, w czym mogą być pomocne zajęcia i spotkania międzypokoleniowe. Działania należy ukierunkować także na zwiększenie oferty spędzania czasu wolnego seniorów zarówno poprzez tworzenie klubów seniora, jak i różnego rodzaju zajęcia oraz promowanie zdrowego i aktywnego trybu życia. LGD powinno również promować rozwój wolontariatu oraz opieki nad osobami starszymi i dostosowanie usług lokalnych do ich potrzeb. Biorąc pod uwagę niską frekwencję seniorów na spotkaniach konsultacyjnych, działania powinny zostać skierowane na zwiększenie świadomości osób starszych na temat funkcjonowania LGD i włączenie ich do współdziałania na rzecz lokalnej społeczności. Dlatego sposób informowania seniorów o działaniach LGD powinien odbywać się zarówno cyfrowo jak i tradycyjnymi metodami poprzez rozwieszanie plakatów informacyjnych na terenie gmin oraz organizowanie spotkań przeznaczonych dla tej grupy odbiorców.</w:t>
      </w:r>
    </w:p>
    <w:p w14:paraId="29B318A4" w14:textId="77777777" w:rsidR="00CF301F" w:rsidRPr="00CF301F" w:rsidRDefault="00CF301F" w:rsidP="00CF301F">
      <w:pPr>
        <w:pStyle w:val="podnagowek"/>
        <w:numPr>
          <w:ilvl w:val="0"/>
          <w:numId w:val="0"/>
        </w:numPr>
        <w:spacing w:after="0" w:line="276" w:lineRule="auto"/>
        <w:ind w:firstLine="709"/>
        <w:outlineLvl w:val="9"/>
        <w:rPr>
          <w:b w:val="0"/>
          <w:bCs w:val="0"/>
          <w:sz w:val="22"/>
          <w:szCs w:val="22"/>
        </w:rPr>
      </w:pPr>
      <w:r w:rsidRPr="00CF301F">
        <w:rPr>
          <w:b w:val="0"/>
          <w:bCs w:val="0"/>
          <w:sz w:val="22"/>
          <w:szCs w:val="22"/>
        </w:rPr>
        <w:t xml:space="preserve">W działania na rzecz lokalnego rozwoju oraz tworzenia miejsc do wypoczynku i integracji powinna być zaangażowana cała społeczność, która obejmuje mieszkańców, przedsiębiorców oraz samorządy lokalne. Dlatego część działań powinna być ukierunkowana na rozwój ogólnodostępnej infrastruktury rekreacyjnej, która będzie dostosowana do osób z różnymi potrzebami, tak aby zarówno dzieci i młodzież, osoby w wieku produkcyjnym jak </w:t>
      </w:r>
      <w:r w:rsidRPr="00CF301F">
        <w:rPr>
          <w:b w:val="0"/>
          <w:bCs w:val="0"/>
          <w:sz w:val="22"/>
          <w:szCs w:val="22"/>
        </w:rPr>
        <w:br/>
        <w:t xml:space="preserve">i seniorzy, a także osoby z niepełnosprawnościami mogły z niej korzystać i spędzać wspólnie czas. Istotne jest również zadbanie o przestrzeń i zwiększenie ilości miejsc do wypoczynku i rekreacji nie tylko dla mieszkańców, ale również dla osób odwiedzających obszar LGD. Głównym zadaniem powinno być wykorzystanie zasobów naturalnych przy jednoczesnej ich ochronie poprzez rozwój tras rowerowych ukierunkowujących ruch mieszkańców na terenach cennych przyrodniczo. </w:t>
      </w:r>
    </w:p>
    <w:p w14:paraId="56C527D0" w14:textId="6CC7171B" w:rsidR="00CF301F" w:rsidRPr="00CF301F" w:rsidRDefault="00CF301F" w:rsidP="00CF301F">
      <w:pPr>
        <w:pStyle w:val="podnagowek"/>
        <w:numPr>
          <w:ilvl w:val="0"/>
          <w:numId w:val="0"/>
        </w:numPr>
        <w:spacing w:after="0" w:line="276" w:lineRule="auto"/>
        <w:ind w:firstLine="709"/>
        <w:outlineLvl w:val="9"/>
        <w:rPr>
          <w:b w:val="0"/>
          <w:bCs w:val="0"/>
          <w:sz w:val="22"/>
          <w:szCs w:val="22"/>
        </w:rPr>
      </w:pPr>
      <w:r w:rsidRPr="00CF301F">
        <w:rPr>
          <w:b w:val="0"/>
          <w:bCs w:val="0"/>
          <w:sz w:val="22"/>
          <w:szCs w:val="22"/>
        </w:rPr>
        <w:t>Ponieważ mieszkańcy zwracali uwagę na korzyści płynące z realizacji projektów w partnerstwi</w:t>
      </w:r>
      <w:r w:rsidR="00BB2C35">
        <w:rPr>
          <w:b w:val="0"/>
          <w:bCs w:val="0"/>
          <w:sz w:val="22"/>
          <w:szCs w:val="22"/>
        </w:rPr>
        <w:t>e</w:t>
      </w:r>
      <w:r w:rsidRPr="00CF301F">
        <w:rPr>
          <w:b w:val="0"/>
          <w:bCs w:val="0"/>
          <w:sz w:val="22"/>
          <w:szCs w:val="22"/>
        </w:rPr>
        <w:t>, które LGD realizowała z powodzeniem w poprzedniej perspektywie, będą też podejmowane działania w tym zakresie. LGD będzie aktywnie animował</w:t>
      </w:r>
      <w:r w:rsidR="00212137">
        <w:rPr>
          <w:b w:val="0"/>
          <w:bCs w:val="0"/>
          <w:sz w:val="22"/>
          <w:szCs w:val="22"/>
        </w:rPr>
        <w:t>a</w:t>
      </w:r>
      <w:r w:rsidRPr="00CF301F">
        <w:rPr>
          <w:b w:val="0"/>
          <w:bCs w:val="0"/>
          <w:sz w:val="22"/>
          <w:szCs w:val="22"/>
        </w:rPr>
        <w:t xml:space="preserve"> mieszkańców do realizacji projektów w partnerstwie </w:t>
      </w:r>
      <w:r w:rsidR="00BB2C35">
        <w:rPr>
          <w:b w:val="0"/>
          <w:bCs w:val="0"/>
          <w:sz w:val="22"/>
          <w:szCs w:val="22"/>
        </w:rPr>
        <w:t xml:space="preserve">lokalnym, krajowym </w:t>
      </w:r>
      <w:r w:rsidR="00BB2C35">
        <w:rPr>
          <w:b w:val="0"/>
          <w:bCs w:val="0"/>
          <w:sz w:val="22"/>
          <w:szCs w:val="22"/>
        </w:rPr>
        <w:br/>
        <w:t>i zagranicznym</w:t>
      </w:r>
      <w:r w:rsidR="00BB2C35" w:rsidRPr="00CF301F">
        <w:rPr>
          <w:b w:val="0"/>
          <w:bCs w:val="0"/>
          <w:sz w:val="22"/>
          <w:szCs w:val="22"/>
        </w:rPr>
        <w:t xml:space="preserve"> </w:t>
      </w:r>
      <w:r w:rsidRPr="00CF301F">
        <w:rPr>
          <w:b w:val="0"/>
          <w:bCs w:val="0"/>
          <w:sz w:val="22"/>
          <w:szCs w:val="22"/>
        </w:rPr>
        <w:t xml:space="preserve">dzieląc się swoim doświadczeniem w tym zakresie. Realizacja takich projektów da efekt synergii </w:t>
      </w:r>
      <w:r w:rsidR="00BB2C35">
        <w:rPr>
          <w:b w:val="0"/>
          <w:bCs w:val="0"/>
          <w:sz w:val="22"/>
          <w:szCs w:val="22"/>
        </w:rPr>
        <w:br/>
      </w:r>
      <w:r w:rsidRPr="00CF301F">
        <w:rPr>
          <w:b w:val="0"/>
          <w:bCs w:val="0"/>
          <w:sz w:val="22"/>
          <w:szCs w:val="22"/>
        </w:rPr>
        <w:t xml:space="preserve">i przyczyni się do zdobycia nowych doświadczeń (wzmocni kadrę organizacji partnerskich), zwiększenia wiedzy </w:t>
      </w:r>
      <w:r w:rsidR="00BB2C35">
        <w:rPr>
          <w:b w:val="0"/>
          <w:bCs w:val="0"/>
          <w:sz w:val="22"/>
          <w:szCs w:val="22"/>
        </w:rPr>
        <w:br/>
      </w:r>
      <w:r w:rsidRPr="00CF301F">
        <w:rPr>
          <w:b w:val="0"/>
          <w:bCs w:val="0"/>
          <w:sz w:val="22"/>
          <w:szCs w:val="22"/>
        </w:rPr>
        <w:t>w zakresie realizacji projektów w partnerstwie, pozwoli lepiej rozpoznać potrzeby grup docelowych realizowanych działań oraz przyczyni się do promocji produktów lokalnych poza obszarem</w:t>
      </w:r>
      <w:r w:rsidR="00BB2C35">
        <w:rPr>
          <w:b w:val="0"/>
          <w:bCs w:val="0"/>
          <w:sz w:val="22"/>
          <w:szCs w:val="22"/>
        </w:rPr>
        <w:t>, a także przyniesie nowe źródło wiedzy na temat obszaru osób z zewnątrz (</w:t>
      </w:r>
      <w:r w:rsidR="00BB2C35" w:rsidRPr="00BB2C35">
        <w:rPr>
          <w:b w:val="0"/>
          <w:bCs w:val="0"/>
          <w:sz w:val="22"/>
          <w:szCs w:val="22"/>
        </w:rPr>
        <w:t>zewnętrzne spojrzenie na LGD</w:t>
      </w:r>
      <w:r w:rsidR="00BB2C35">
        <w:rPr>
          <w:b w:val="0"/>
          <w:bCs w:val="0"/>
          <w:sz w:val="22"/>
          <w:szCs w:val="22"/>
        </w:rPr>
        <w:t>).</w:t>
      </w:r>
    </w:p>
    <w:p w14:paraId="2A6710C2" w14:textId="7144CDD7" w:rsidR="00F010F9" w:rsidRPr="00212137" w:rsidRDefault="00CF301F" w:rsidP="00212137">
      <w:pPr>
        <w:pStyle w:val="podnagowek"/>
        <w:numPr>
          <w:ilvl w:val="0"/>
          <w:numId w:val="0"/>
        </w:numPr>
        <w:spacing w:after="0" w:line="276" w:lineRule="auto"/>
        <w:ind w:firstLine="709"/>
        <w:outlineLvl w:val="9"/>
        <w:rPr>
          <w:b w:val="0"/>
          <w:bCs w:val="0"/>
          <w:sz w:val="22"/>
          <w:szCs w:val="22"/>
        </w:rPr>
      </w:pPr>
      <w:r w:rsidRPr="00CF301F">
        <w:rPr>
          <w:b w:val="0"/>
          <w:bCs w:val="0"/>
          <w:sz w:val="22"/>
          <w:szCs w:val="22"/>
        </w:rPr>
        <w:lastRenderedPageBreak/>
        <w:t>Reasumując: zadaniem LGD na najbliższe lata jest podjęcie szeregu działań pobudzających aktywność społeczną i gospodarczą mieszkańców, promujących zdrowy i aktywny styl życia oraz dbanie o środowisko naturalne, a także racjonalne wykorzystywanie zasobów i przestrzeni.</w:t>
      </w:r>
    </w:p>
    <w:p w14:paraId="4481173F" w14:textId="77777777" w:rsidR="00F010F9" w:rsidRPr="0085535E" w:rsidRDefault="00F010F9" w:rsidP="00F010F9">
      <w:pPr>
        <w:pStyle w:val="Akapitzlist"/>
        <w:numPr>
          <w:ilvl w:val="0"/>
          <w:numId w:val="5"/>
        </w:numPr>
        <w:spacing w:line="276" w:lineRule="auto"/>
        <w:jc w:val="both"/>
        <w:rPr>
          <w:rFonts w:ascii="Times New Roman" w:hAnsi="Times New Roman" w:cs="Times New Roman"/>
          <w:b/>
          <w:bCs/>
          <w:color w:val="000000" w:themeColor="text1"/>
        </w:rPr>
      </w:pPr>
      <w:r w:rsidRPr="0085535E">
        <w:rPr>
          <w:rFonts w:ascii="Times New Roman" w:hAnsi="Times New Roman" w:cs="Times New Roman"/>
          <w:b/>
          <w:bCs/>
          <w:color w:val="000000" w:themeColor="text1"/>
        </w:rPr>
        <w:t>Kluczowe problemy i potrzeby:</w:t>
      </w:r>
    </w:p>
    <w:p w14:paraId="2765B7A3" w14:textId="77777777" w:rsidR="00F010F9" w:rsidRPr="0085535E" w:rsidRDefault="00F010F9" w:rsidP="00F010F9">
      <w:pPr>
        <w:pStyle w:val="Akapitzlist"/>
        <w:numPr>
          <w:ilvl w:val="0"/>
          <w:numId w:val="6"/>
        </w:numPr>
        <w:spacing w:before="240" w:after="0" w:line="276" w:lineRule="auto"/>
        <w:jc w:val="both"/>
        <w:rPr>
          <w:rFonts w:ascii="Times New Roman" w:hAnsi="Times New Roman" w:cs="Times New Roman"/>
          <w:color w:val="000000" w:themeColor="text1"/>
        </w:rPr>
      </w:pPr>
      <w:r w:rsidRPr="0085535E">
        <w:rPr>
          <w:rFonts w:ascii="Times New Roman" w:hAnsi="Times New Roman" w:cs="Times New Roman"/>
          <w:color w:val="000000" w:themeColor="text1"/>
        </w:rPr>
        <w:t>niewystarczająco dostosowana infrastruktura i usługi publiczne do zachodzących zmian demograficznych;</w:t>
      </w:r>
    </w:p>
    <w:p w14:paraId="0442BA57" w14:textId="77777777" w:rsidR="00F010F9" w:rsidRPr="0085535E" w:rsidRDefault="00F010F9" w:rsidP="00F010F9">
      <w:pPr>
        <w:pStyle w:val="Default"/>
        <w:numPr>
          <w:ilvl w:val="0"/>
          <w:numId w:val="6"/>
        </w:numPr>
        <w:spacing w:line="276" w:lineRule="auto"/>
        <w:jc w:val="both"/>
        <w:rPr>
          <w:sz w:val="22"/>
          <w:szCs w:val="22"/>
        </w:rPr>
      </w:pPr>
      <w:r w:rsidRPr="0085535E">
        <w:rPr>
          <w:sz w:val="22"/>
          <w:szCs w:val="22"/>
        </w:rPr>
        <w:t xml:space="preserve">braki w przedsiębiorczości i innowacyjności – niedostateczny rozwój lokalnej przedsiębiorczości; </w:t>
      </w:r>
    </w:p>
    <w:p w14:paraId="0EF35215" w14:textId="77777777" w:rsidR="00F010F9" w:rsidRPr="0085535E" w:rsidRDefault="00F010F9" w:rsidP="00F010F9">
      <w:pPr>
        <w:pStyle w:val="Akapitzlist"/>
        <w:numPr>
          <w:ilvl w:val="0"/>
          <w:numId w:val="6"/>
        </w:numPr>
        <w:spacing w:line="276" w:lineRule="auto"/>
        <w:jc w:val="both"/>
        <w:rPr>
          <w:rFonts w:ascii="Times New Roman" w:hAnsi="Times New Roman" w:cs="Times New Roman"/>
          <w:color w:val="000000" w:themeColor="text1"/>
        </w:rPr>
      </w:pPr>
      <w:r w:rsidRPr="0085535E">
        <w:rPr>
          <w:rFonts w:ascii="Times New Roman" w:hAnsi="Times New Roman" w:cs="Times New Roman"/>
          <w:color w:val="000000" w:themeColor="text1"/>
        </w:rPr>
        <w:t>niedostatecznie zagospodarowany potencjał kulturowy, przyrodniczy i turystyczny;</w:t>
      </w:r>
    </w:p>
    <w:p w14:paraId="27A0A521" w14:textId="77777777" w:rsidR="00F010F9" w:rsidRDefault="00F010F9" w:rsidP="00F010F9">
      <w:pPr>
        <w:pStyle w:val="Akapitzlist"/>
        <w:numPr>
          <w:ilvl w:val="0"/>
          <w:numId w:val="6"/>
        </w:numPr>
        <w:spacing w:line="276" w:lineRule="auto"/>
        <w:jc w:val="both"/>
        <w:rPr>
          <w:rFonts w:ascii="Times New Roman" w:hAnsi="Times New Roman" w:cs="Times New Roman"/>
          <w:color w:val="000000" w:themeColor="text1"/>
        </w:rPr>
      </w:pPr>
      <w:r w:rsidRPr="0085535E">
        <w:rPr>
          <w:rFonts w:ascii="Times New Roman" w:hAnsi="Times New Roman" w:cs="Times New Roman"/>
          <w:color w:val="000000" w:themeColor="text1"/>
        </w:rPr>
        <w:t>niedostateczna aktywność społeczna mieszkańców;</w:t>
      </w:r>
    </w:p>
    <w:p w14:paraId="58EBB0FD" w14:textId="61D85336" w:rsidR="00F010F9" w:rsidRPr="0085535E" w:rsidRDefault="00F010F9" w:rsidP="00F010F9">
      <w:pPr>
        <w:pStyle w:val="Akapitzlist"/>
        <w:numPr>
          <w:ilvl w:val="0"/>
          <w:numId w:val="6"/>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niewystarczająco dostosowana do osób z niepełnosprawnościami</w:t>
      </w:r>
      <w:r w:rsidR="00212137">
        <w:rPr>
          <w:rFonts w:ascii="Times New Roman" w:hAnsi="Times New Roman" w:cs="Times New Roman"/>
          <w:color w:val="000000" w:themeColor="text1"/>
        </w:rPr>
        <w:t xml:space="preserve"> i ich opiekunów og</w:t>
      </w:r>
      <w:r>
        <w:rPr>
          <w:rFonts w:ascii="Times New Roman" w:hAnsi="Times New Roman" w:cs="Times New Roman"/>
          <w:color w:val="000000" w:themeColor="text1"/>
        </w:rPr>
        <w:t>ólnodostępna infrastruktura publiczna;</w:t>
      </w:r>
    </w:p>
    <w:p w14:paraId="64F1B71E" w14:textId="77777777" w:rsidR="00F010F9" w:rsidRPr="00B15D14" w:rsidRDefault="00F010F9" w:rsidP="00F010F9">
      <w:pPr>
        <w:pStyle w:val="Akapitzlist"/>
        <w:numPr>
          <w:ilvl w:val="0"/>
          <w:numId w:val="6"/>
        </w:numPr>
        <w:spacing w:line="276" w:lineRule="auto"/>
        <w:jc w:val="both"/>
        <w:rPr>
          <w:rFonts w:ascii="Times New Roman" w:hAnsi="Times New Roman" w:cs="Times New Roman"/>
          <w:color w:val="000000" w:themeColor="text1"/>
        </w:rPr>
      </w:pPr>
      <w:r w:rsidRPr="0085535E">
        <w:rPr>
          <w:rFonts w:ascii="Times New Roman" w:hAnsi="Times New Roman" w:cs="Times New Roman"/>
          <w:color w:val="000000" w:themeColor="text1"/>
        </w:rPr>
        <w:t>niewystarczająca dostępność mieszkańców do usług społecznych i zdrowotnych.</w:t>
      </w:r>
    </w:p>
    <w:p w14:paraId="280AF89B" w14:textId="77777777" w:rsidR="00F010F9" w:rsidRPr="0085535E" w:rsidRDefault="00F010F9" w:rsidP="00F010F9">
      <w:pPr>
        <w:pStyle w:val="Akapitzlist"/>
        <w:numPr>
          <w:ilvl w:val="0"/>
          <w:numId w:val="5"/>
        </w:numPr>
        <w:spacing w:line="276" w:lineRule="auto"/>
        <w:jc w:val="both"/>
        <w:rPr>
          <w:rFonts w:ascii="Times New Roman" w:hAnsi="Times New Roman" w:cs="Times New Roman"/>
          <w:b/>
          <w:bCs/>
          <w:color w:val="000000" w:themeColor="text1"/>
        </w:rPr>
      </w:pPr>
      <w:r w:rsidRPr="0085535E">
        <w:rPr>
          <w:rFonts w:ascii="Times New Roman" w:hAnsi="Times New Roman" w:cs="Times New Roman"/>
          <w:b/>
          <w:bCs/>
          <w:color w:val="000000" w:themeColor="text1"/>
        </w:rPr>
        <w:t>Kluczowe zasoby i potencjały:</w:t>
      </w:r>
    </w:p>
    <w:p w14:paraId="47F00BB4" w14:textId="77777777" w:rsidR="00F010F9" w:rsidRPr="0085535E" w:rsidRDefault="00F010F9" w:rsidP="00F010F9">
      <w:pPr>
        <w:pStyle w:val="Akapitzlist"/>
        <w:numPr>
          <w:ilvl w:val="0"/>
          <w:numId w:val="6"/>
        </w:numPr>
        <w:spacing w:line="276" w:lineRule="auto"/>
        <w:jc w:val="both"/>
        <w:rPr>
          <w:rFonts w:ascii="Times New Roman" w:hAnsi="Times New Roman" w:cs="Times New Roman"/>
          <w:color w:val="000000" w:themeColor="text1"/>
        </w:rPr>
      </w:pPr>
      <w:r w:rsidRPr="0085535E">
        <w:rPr>
          <w:rFonts w:ascii="Times New Roman" w:hAnsi="Times New Roman" w:cs="Times New Roman"/>
          <w:color w:val="000000" w:themeColor="text1"/>
        </w:rPr>
        <w:t>walory przyrodnicze i krajobrazowe;</w:t>
      </w:r>
    </w:p>
    <w:p w14:paraId="5EFDD779" w14:textId="74E2B917" w:rsidR="00F010F9" w:rsidRPr="004740A7" w:rsidRDefault="00F010F9" w:rsidP="00F010F9">
      <w:pPr>
        <w:pStyle w:val="Akapitzlist"/>
        <w:numPr>
          <w:ilvl w:val="0"/>
          <w:numId w:val="6"/>
        </w:numPr>
        <w:spacing w:line="276" w:lineRule="auto"/>
        <w:jc w:val="both"/>
        <w:rPr>
          <w:rFonts w:ascii="Times New Roman" w:hAnsi="Times New Roman" w:cs="Times New Roman"/>
          <w:color w:val="000000" w:themeColor="text1"/>
        </w:rPr>
      </w:pPr>
      <w:r w:rsidRPr="0085535E">
        <w:rPr>
          <w:rFonts w:ascii="Times New Roman" w:hAnsi="Times New Roman" w:cs="Times New Roman"/>
          <w:color w:val="000000" w:themeColor="text1"/>
        </w:rPr>
        <w:t>bogata historia i dziedzictwo kulturowe, w tym cenne zabytki</w:t>
      </w:r>
      <w:r w:rsidR="001744D2">
        <w:rPr>
          <w:rFonts w:ascii="Times New Roman" w:hAnsi="Times New Roman" w:cs="Times New Roman"/>
          <w:color w:val="000000" w:themeColor="text1"/>
        </w:rPr>
        <w:t>,</w:t>
      </w:r>
      <w:r>
        <w:rPr>
          <w:rFonts w:ascii="Times New Roman" w:hAnsi="Times New Roman" w:cs="Times New Roman"/>
          <w:color w:val="000000" w:themeColor="text1"/>
        </w:rPr>
        <w:t xml:space="preserve"> wielokulturowość </w:t>
      </w:r>
      <w:r>
        <w:rPr>
          <w:rFonts w:ascii="Times New Roman" w:hAnsi="Times New Roman" w:cs="Times New Roman"/>
          <w:color w:val="000000" w:themeColor="text1"/>
        </w:rPr>
        <w:br/>
        <w:t>i wielowyznaniowość obszaru;</w:t>
      </w:r>
    </w:p>
    <w:p w14:paraId="149B52B3" w14:textId="77777777" w:rsidR="00F010F9" w:rsidRDefault="00F010F9" w:rsidP="00F010F9">
      <w:pPr>
        <w:pStyle w:val="Akapitzlist"/>
        <w:numPr>
          <w:ilvl w:val="0"/>
          <w:numId w:val="6"/>
        </w:numPr>
        <w:spacing w:line="276" w:lineRule="auto"/>
        <w:jc w:val="both"/>
        <w:rPr>
          <w:rFonts w:ascii="Times New Roman" w:hAnsi="Times New Roman" w:cs="Times New Roman"/>
          <w:color w:val="000000" w:themeColor="text1"/>
        </w:rPr>
      </w:pPr>
      <w:r w:rsidRPr="0085535E">
        <w:rPr>
          <w:rFonts w:ascii="Times New Roman" w:hAnsi="Times New Roman" w:cs="Times New Roman"/>
          <w:color w:val="000000" w:themeColor="text1"/>
        </w:rPr>
        <w:t>warunki umożliwiające rozwój funkcji osiedleńczej obszaru;</w:t>
      </w:r>
    </w:p>
    <w:p w14:paraId="02AD1166" w14:textId="58F49047" w:rsidR="00F010F9" w:rsidRPr="00212137" w:rsidRDefault="00F010F9" w:rsidP="00F010F9">
      <w:pPr>
        <w:pStyle w:val="Akapitzlist"/>
        <w:numPr>
          <w:ilvl w:val="0"/>
          <w:numId w:val="6"/>
        </w:numPr>
        <w:spacing w:line="276" w:lineRule="auto"/>
        <w:jc w:val="both"/>
        <w:rPr>
          <w:rFonts w:ascii="Times New Roman" w:hAnsi="Times New Roman" w:cs="Times New Roman"/>
          <w:color w:val="000000" w:themeColor="text1"/>
        </w:rPr>
      </w:pPr>
      <w:r w:rsidRPr="00212137">
        <w:rPr>
          <w:rFonts w:ascii="Times New Roman" w:hAnsi="Times New Roman" w:cs="Times New Roman"/>
        </w:rPr>
        <w:t>doświadczenie we współpracy wielosektorowej, w tym w ramach Bialskopodlaskiej LGD</w:t>
      </w:r>
      <w:r w:rsidR="001744D2">
        <w:rPr>
          <w:rFonts w:ascii="Times New Roman" w:hAnsi="Times New Roman" w:cs="Times New Roman"/>
        </w:rPr>
        <w:t>.</w:t>
      </w:r>
    </w:p>
    <w:p w14:paraId="1BBA1F5F" w14:textId="3166B00F" w:rsidR="00A17173" w:rsidRDefault="00A17173" w:rsidP="00293649">
      <w:pPr>
        <w:pStyle w:val="podnagowek"/>
        <w:numPr>
          <w:ilvl w:val="0"/>
          <w:numId w:val="10"/>
        </w:numPr>
        <w:spacing w:after="80" w:line="276" w:lineRule="auto"/>
        <w:ind w:left="782" w:hanging="357"/>
        <w:rPr>
          <w:sz w:val="22"/>
          <w:szCs w:val="22"/>
        </w:rPr>
      </w:pPr>
      <w:bookmarkStart w:id="93" w:name="_Toc135896901"/>
      <w:r w:rsidRPr="004155A1">
        <w:rPr>
          <w:sz w:val="22"/>
          <w:szCs w:val="22"/>
        </w:rPr>
        <w:t>Grupy docelowe</w:t>
      </w:r>
      <w:bookmarkEnd w:id="92"/>
      <w:bookmarkEnd w:id="93"/>
    </w:p>
    <w:p w14:paraId="4E524BA3" w14:textId="3E3C94DA" w:rsidR="00A17173" w:rsidRPr="003F717D" w:rsidRDefault="00A17173" w:rsidP="00EE5304">
      <w:pPr>
        <w:spacing w:after="0" w:line="276" w:lineRule="auto"/>
        <w:ind w:firstLine="709"/>
        <w:jc w:val="both"/>
        <w:rPr>
          <w:rFonts w:ascii="Times New Roman" w:hAnsi="Times New Roman" w:cs="Times New Roman"/>
        </w:rPr>
      </w:pPr>
      <w:r w:rsidRPr="003F717D">
        <w:rPr>
          <w:rFonts w:ascii="Times New Roman" w:hAnsi="Times New Roman" w:cs="Times New Roman"/>
        </w:rPr>
        <w:t>Szczegółowa diagnoza obszaru</w:t>
      </w:r>
      <w:r w:rsidR="001744D2">
        <w:rPr>
          <w:rFonts w:ascii="Times New Roman" w:hAnsi="Times New Roman" w:cs="Times New Roman"/>
        </w:rPr>
        <w:t>,</w:t>
      </w:r>
      <w:r w:rsidRPr="003F717D">
        <w:rPr>
          <w:rFonts w:ascii="Times New Roman" w:hAnsi="Times New Roman" w:cs="Times New Roman"/>
        </w:rPr>
        <w:t xml:space="preserve"> wypracowana na podstawie danych statystycznych oraz szeroko prowadzonych konsultacji społecznych, pozwala na określenie grup docelowych, które powinny być objęte wsparciem w ramach realizacji LSR. Na podstawie wszystkich danych zawartych w diagnozie można wyróżnić </w:t>
      </w:r>
      <w:r w:rsidR="00B9077E">
        <w:rPr>
          <w:rFonts w:ascii="Times New Roman" w:hAnsi="Times New Roman" w:cs="Times New Roman"/>
        </w:rPr>
        <w:t xml:space="preserve">cztery </w:t>
      </w:r>
      <w:r w:rsidRPr="003F717D">
        <w:rPr>
          <w:rFonts w:ascii="Times New Roman" w:hAnsi="Times New Roman" w:cs="Times New Roman"/>
        </w:rPr>
        <w:t>grup</w:t>
      </w:r>
      <w:r w:rsidR="001744D2">
        <w:rPr>
          <w:rFonts w:ascii="Times New Roman" w:hAnsi="Times New Roman" w:cs="Times New Roman"/>
        </w:rPr>
        <w:t>y</w:t>
      </w:r>
      <w:r w:rsidRPr="003F717D">
        <w:rPr>
          <w:rFonts w:ascii="Times New Roman" w:hAnsi="Times New Roman" w:cs="Times New Roman"/>
        </w:rPr>
        <w:t xml:space="preserve"> docelow</w:t>
      </w:r>
      <w:r w:rsidR="001744D2">
        <w:rPr>
          <w:rFonts w:ascii="Times New Roman" w:hAnsi="Times New Roman" w:cs="Times New Roman"/>
        </w:rPr>
        <w:t>e</w:t>
      </w:r>
      <w:r w:rsidRPr="003F717D">
        <w:rPr>
          <w:rFonts w:ascii="Times New Roman" w:hAnsi="Times New Roman" w:cs="Times New Roman"/>
        </w:rPr>
        <w:t xml:space="preserve"> oraz jedną grupę w niekorzystnej sytuacji, która wymaga szczególnego wsparcia.</w:t>
      </w:r>
    </w:p>
    <w:p w14:paraId="462C9B09" w14:textId="35275746" w:rsidR="00A17173" w:rsidRPr="006F1CF5" w:rsidRDefault="00A17173" w:rsidP="00EE5304">
      <w:pPr>
        <w:spacing w:after="0" w:line="276" w:lineRule="auto"/>
        <w:ind w:firstLine="709"/>
        <w:jc w:val="both"/>
        <w:rPr>
          <w:rFonts w:ascii="Times New Roman" w:hAnsi="Times New Roman" w:cs="Times New Roman"/>
          <w:color w:val="000000" w:themeColor="text1"/>
        </w:rPr>
      </w:pPr>
      <w:r w:rsidRPr="003F717D">
        <w:rPr>
          <w:rFonts w:ascii="Times New Roman" w:hAnsi="Times New Roman" w:cs="Times New Roman"/>
        </w:rPr>
        <w:t xml:space="preserve">Pierwszą grupę docelową stanowią wszyscy mieszkańcy obszaru, ponieważ LSR powinna realizować cele służące zaspokajaniu potrzeb lokalnej społeczności. </w:t>
      </w:r>
      <w:r>
        <w:rPr>
          <w:rFonts w:ascii="Times New Roman" w:hAnsi="Times New Roman" w:cs="Times New Roman"/>
          <w:color w:val="000000" w:themeColor="text1"/>
        </w:rPr>
        <w:t>Drugą</w:t>
      </w:r>
      <w:r w:rsidRPr="003F717D">
        <w:rPr>
          <w:rFonts w:ascii="Times New Roman" w:hAnsi="Times New Roman" w:cs="Times New Roman"/>
          <w:color w:val="000000" w:themeColor="text1"/>
        </w:rPr>
        <w:t xml:space="preserve"> </w:t>
      </w:r>
      <w:r w:rsidR="004F3356" w:rsidRPr="003F717D">
        <w:rPr>
          <w:rFonts w:ascii="Times New Roman" w:hAnsi="Times New Roman" w:cs="Times New Roman"/>
          <w:color w:val="000000" w:themeColor="text1"/>
        </w:rPr>
        <w:t xml:space="preserve">grupę docelową stanowią organizacje pozarządowe i ich członkowie. Aktywność lokalnej społeczności i liczba efektywnie działających formalnych grup mieszkańców stopniowo rosła na przestrzeni analizowanych lat, jednak wciąż nie jest wystarczająca, o czym świadczy niekorzystna liczba zarejestrowanych organizacji pozarządowych w przeliczeniu na 10 tys. mieszkańców. Niewystarczające zaangażowanie i niską aktywność społeczności lokalnej potwierdza mała liczba osób biorących udział </w:t>
      </w:r>
      <w:r w:rsidR="004F3356">
        <w:rPr>
          <w:rFonts w:ascii="Times New Roman" w:hAnsi="Times New Roman" w:cs="Times New Roman"/>
          <w:color w:val="000000" w:themeColor="text1"/>
        </w:rPr>
        <w:br/>
      </w:r>
      <w:r w:rsidR="004F3356" w:rsidRPr="003F717D">
        <w:rPr>
          <w:rFonts w:ascii="Times New Roman" w:hAnsi="Times New Roman" w:cs="Times New Roman"/>
          <w:color w:val="000000" w:themeColor="text1"/>
        </w:rPr>
        <w:t>w konsultacjach oraz w badaniu ankietowym dotyczącym budowania LSR.</w:t>
      </w:r>
      <w:r w:rsidRPr="003F717D">
        <w:rPr>
          <w:rFonts w:ascii="Times New Roman" w:hAnsi="Times New Roman" w:cs="Times New Roman"/>
          <w:color w:val="000000" w:themeColor="text1"/>
        </w:rPr>
        <w:t xml:space="preserve"> </w:t>
      </w:r>
      <w:r>
        <w:rPr>
          <w:rFonts w:ascii="Times New Roman" w:hAnsi="Times New Roman" w:cs="Times New Roman"/>
          <w:color w:val="000000" w:themeColor="text1"/>
        </w:rPr>
        <w:t>Trzecią</w:t>
      </w:r>
      <w:r w:rsidRPr="003F717D">
        <w:rPr>
          <w:rFonts w:ascii="Times New Roman" w:hAnsi="Times New Roman" w:cs="Times New Roman"/>
          <w:color w:val="000000" w:themeColor="text1"/>
        </w:rPr>
        <w:t xml:space="preserve"> </w:t>
      </w:r>
      <w:r w:rsidR="004F3356" w:rsidRPr="003F717D">
        <w:rPr>
          <w:rFonts w:ascii="Times New Roman" w:hAnsi="Times New Roman" w:cs="Times New Roman"/>
          <w:color w:val="000000" w:themeColor="text1"/>
        </w:rPr>
        <w:t>grupę docelową stanowią przedsiębiorcy – pomimo, iż poziom przedsiębiorczości mieszkańców poprawia się, to wskaźnik</w:t>
      </w:r>
      <w:r w:rsidR="004F3356">
        <w:rPr>
          <w:rFonts w:ascii="Times New Roman" w:hAnsi="Times New Roman" w:cs="Times New Roman"/>
          <w:color w:val="000000" w:themeColor="text1"/>
        </w:rPr>
        <w:t xml:space="preserve"> </w:t>
      </w:r>
      <w:r w:rsidR="004F3356" w:rsidRPr="003F717D">
        <w:rPr>
          <w:rFonts w:ascii="Times New Roman" w:hAnsi="Times New Roman" w:cs="Times New Roman"/>
          <w:color w:val="000000" w:themeColor="text1"/>
        </w:rPr>
        <w:t>dotycząc</w:t>
      </w:r>
      <w:r w:rsidR="004F3356">
        <w:rPr>
          <w:rFonts w:ascii="Times New Roman" w:hAnsi="Times New Roman" w:cs="Times New Roman"/>
          <w:color w:val="000000" w:themeColor="text1"/>
        </w:rPr>
        <w:t>y podmiotów wpisanych do rejestru REGON jest na</w:t>
      </w:r>
      <w:r w:rsidR="004F3356" w:rsidRPr="003F717D">
        <w:rPr>
          <w:rFonts w:ascii="Times New Roman" w:hAnsi="Times New Roman" w:cs="Times New Roman"/>
          <w:color w:val="000000" w:themeColor="text1"/>
        </w:rPr>
        <w:t xml:space="preserve"> niższym poziomie w porównaniu do województwa i kraju. Ponadto obszar charakteryzuje się niewystarczającą ilością atrakcyjnych miejsc pracy, co również potwierdzali sami mieszkańcy na spotkaniach. W ciągu ostatnich lat obserwuje się systematyczny spadek bezrobocia </w:t>
      </w:r>
      <w:r w:rsidR="004F3356" w:rsidRPr="003F717D">
        <w:rPr>
          <w:rFonts w:ascii="Times New Roman" w:hAnsi="Times New Roman" w:cs="Times New Roman"/>
          <w:color w:val="000000"/>
        </w:rPr>
        <w:t>(</w:t>
      </w:r>
      <w:r w:rsidR="004F3356" w:rsidRPr="003F717D">
        <w:rPr>
          <w:rFonts w:ascii="Times New Roman" w:hAnsi="Times New Roman" w:cs="Times New Roman"/>
          <w:color w:val="000000" w:themeColor="text1"/>
        </w:rPr>
        <w:t>wyjątek stanowił rok 2020, kiedy wystąpił nagły wzrost liczby bezrobotnych – wzrost wystąpił zarówno w województwie i kraju). Natomiast niepokojący jest fakt wzrostu bezrobocia długoterminowego</w:t>
      </w:r>
      <w:r w:rsidR="00EE5304">
        <w:rPr>
          <w:rFonts w:ascii="Times New Roman" w:hAnsi="Times New Roman" w:cs="Times New Roman"/>
          <w:color w:val="000000" w:themeColor="text1"/>
        </w:rPr>
        <w:t>.</w:t>
      </w:r>
    </w:p>
    <w:p w14:paraId="3844748C" w14:textId="725C97AA" w:rsidR="00A17173" w:rsidRPr="00C54AD1" w:rsidRDefault="00A17173" w:rsidP="00EE5304">
      <w:pPr>
        <w:pStyle w:val="Akapitzlist"/>
        <w:spacing w:after="0" w:line="276" w:lineRule="auto"/>
        <w:ind w:left="0" w:firstLine="708"/>
        <w:jc w:val="both"/>
        <w:rPr>
          <w:rFonts w:ascii="Times New Roman" w:hAnsi="Times New Roman" w:cs="Times New Roman"/>
        </w:rPr>
      </w:pPr>
      <w:r>
        <w:rPr>
          <w:rFonts w:ascii="Times New Roman" w:hAnsi="Times New Roman" w:cs="Times New Roman"/>
        </w:rPr>
        <w:t>Czwartą</w:t>
      </w:r>
      <w:r w:rsidRPr="003F717D">
        <w:rPr>
          <w:rFonts w:ascii="Times New Roman" w:hAnsi="Times New Roman" w:cs="Times New Roman"/>
        </w:rPr>
        <w:t xml:space="preserve"> grupę docelową stanowią osoby młode do 25. roku życia, ze względu na ich odpływ do większych aglomeracji miejskich, a także małe zaangażowanie w sprawy lokalne</w:t>
      </w:r>
      <w:r w:rsidR="001744D2">
        <w:rPr>
          <w:rFonts w:ascii="Times New Roman" w:hAnsi="Times New Roman" w:cs="Times New Roman"/>
        </w:rPr>
        <w:t>,</w:t>
      </w:r>
      <w:r w:rsidRPr="003F717D">
        <w:rPr>
          <w:rFonts w:ascii="Times New Roman" w:hAnsi="Times New Roman" w:cs="Times New Roman"/>
        </w:rPr>
        <w:t xml:space="preserve"> o czym świadczy m.in. niski udział osób do 25</w:t>
      </w:r>
      <w:r w:rsidR="001744D2">
        <w:rPr>
          <w:rFonts w:ascii="Times New Roman" w:hAnsi="Times New Roman" w:cs="Times New Roman"/>
        </w:rPr>
        <w:t>.</w:t>
      </w:r>
      <w:r w:rsidRPr="003F717D">
        <w:rPr>
          <w:rFonts w:ascii="Times New Roman" w:hAnsi="Times New Roman" w:cs="Times New Roman"/>
        </w:rPr>
        <w:t xml:space="preserve"> </w:t>
      </w:r>
      <w:r w:rsidR="001744D2" w:rsidRPr="003F717D">
        <w:rPr>
          <w:rFonts w:ascii="Times New Roman" w:hAnsi="Times New Roman" w:cs="Times New Roman"/>
        </w:rPr>
        <w:t>R</w:t>
      </w:r>
      <w:r w:rsidRPr="003F717D">
        <w:rPr>
          <w:rFonts w:ascii="Times New Roman" w:hAnsi="Times New Roman" w:cs="Times New Roman"/>
        </w:rPr>
        <w:t>oku życia w spotkaniach konsultacyjnych oraz w ankietach prowadzonych przez LGD na potrzeby opracowania LSR</w:t>
      </w:r>
      <w:r w:rsidR="004F3356">
        <w:rPr>
          <w:rFonts w:ascii="Times New Roman" w:hAnsi="Times New Roman" w:cs="Times New Roman"/>
        </w:rPr>
        <w:t xml:space="preserve">. </w:t>
      </w:r>
      <w:r>
        <w:rPr>
          <w:rFonts w:ascii="Times New Roman" w:hAnsi="Times New Roman" w:cs="Times New Roman"/>
          <w:color w:val="000000" w:themeColor="text1"/>
        </w:rPr>
        <w:t>W ramach wdrażania LSR nastąpi także aktywizacja seniorów. Jak wynika z diagnozy, obszar objęty LSR charakteryzuje się zjawiskiem starzejącego się społeczeństwa. Osoby starsze często wykazują chęć aktywności</w:t>
      </w:r>
      <w:r w:rsidRPr="006815C5">
        <w:rPr>
          <w:rFonts w:ascii="Times New Roman" w:hAnsi="Times New Roman" w:cs="Times New Roman"/>
          <w:color w:val="000000" w:themeColor="text1"/>
        </w:rPr>
        <w:t>, pragną się integrować, ale brakuje im nierzadko środków.</w:t>
      </w:r>
    </w:p>
    <w:p w14:paraId="3A6F2BB4" w14:textId="3CC96628" w:rsidR="00234273" w:rsidRDefault="00A17173" w:rsidP="00A62189">
      <w:pPr>
        <w:spacing w:after="80" w:line="276" w:lineRule="auto"/>
        <w:ind w:firstLine="709"/>
        <w:jc w:val="both"/>
        <w:rPr>
          <w:rFonts w:ascii="Times New Roman" w:hAnsi="Times New Roman" w:cs="Times New Roman"/>
        </w:rPr>
      </w:pPr>
      <w:r w:rsidRPr="00F729D5">
        <w:rPr>
          <w:rFonts w:ascii="Times New Roman" w:hAnsi="Times New Roman" w:cs="Times New Roman"/>
        </w:rPr>
        <w:t xml:space="preserve">Ponadto w ramach grup docelowych została wskazana </w:t>
      </w:r>
      <w:r w:rsidR="001744D2">
        <w:rPr>
          <w:rFonts w:ascii="Times New Roman" w:hAnsi="Times New Roman" w:cs="Times New Roman"/>
        </w:rPr>
        <w:t xml:space="preserve">podczas konsultacji z mieszkańcami </w:t>
      </w:r>
      <w:r w:rsidRPr="00F729D5">
        <w:rPr>
          <w:rFonts w:ascii="Times New Roman" w:hAnsi="Times New Roman" w:cs="Times New Roman"/>
        </w:rPr>
        <w:t xml:space="preserve">również grupa </w:t>
      </w:r>
      <w:r>
        <w:rPr>
          <w:rFonts w:ascii="Times New Roman" w:hAnsi="Times New Roman" w:cs="Times New Roman"/>
        </w:rPr>
        <w:t xml:space="preserve">w niekorzystnej sytuacji. Grupę taką w przypadku </w:t>
      </w:r>
      <w:r w:rsidR="004F3356">
        <w:rPr>
          <w:rFonts w:ascii="Times New Roman" w:hAnsi="Times New Roman" w:cs="Times New Roman"/>
        </w:rPr>
        <w:t>B</w:t>
      </w:r>
      <w:r>
        <w:rPr>
          <w:rFonts w:ascii="Times New Roman" w:hAnsi="Times New Roman" w:cs="Times New Roman"/>
        </w:rPr>
        <w:t>LGD stanowią osoby z niepełnosprawnościami</w:t>
      </w:r>
      <w:r w:rsidR="00212137">
        <w:rPr>
          <w:rFonts w:ascii="Times New Roman" w:hAnsi="Times New Roman" w:cs="Times New Roman"/>
        </w:rPr>
        <w:t xml:space="preserve"> i ich opiekunowie</w:t>
      </w:r>
      <w:r>
        <w:rPr>
          <w:rFonts w:ascii="Times New Roman" w:hAnsi="Times New Roman" w:cs="Times New Roman"/>
        </w:rPr>
        <w:t>.</w:t>
      </w:r>
    </w:p>
    <w:p w14:paraId="73F7003D" w14:textId="6360C9C8" w:rsidR="00212137" w:rsidRDefault="00212137" w:rsidP="00212137">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br w:type="page"/>
      </w:r>
    </w:p>
    <w:p w14:paraId="37D78E40" w14:textId="77777777" w:rsidR="00A17173" w:rsidRPr="006822F6" w:rsidRDefault="00A17173" w:rsidP="00A17173">
      <w:pPr>
        <w:pStyle w:val="Gwne"/>
        <w:ind w:left="1077" w:hanging="510"/>
        <w:rPr>
          <w:sz w:val="22"/>
          <w:szCs w:val="22"/>
        </w:rPr>
      </w:pPr>
      <w:bookmarkStart w:id="94" w:name="_Toc135896902"/>
      <w:r w:rsidRPr="006822F6">
        <w:rPr>
          <w:sz w:val="22"/>
          <w:szCs w:val="22"/>
        </w:rPr>
        <w:lastRenderedPageBreak/>
        <w:t>SPÓJNOŚĆ, KOMPLEMENTARNOŚĆ I SYNERGIA</w:t>
      </w:r>
      <w:bookmarkEnd w:id="94"/>
    </w:p>
    <w:p w14:paraId="6378F268" w14:textId="77777777" w:rsidR="00A17173" w:rsidRPr="005E3FAE" w:rsidRDefault="00A17173" w:rsidP="00A17173">
      <w:pPr>
        <w:spacing w:after="0" w:line="276" w:lineRule="auto"/>
        <w:ind w:firstLine="709"/>
        <w:jc w:val="both"/>
        <w:rPr>
          <w:rFonts w:ascii="Times New Roman" w:hAnsi="Times New Roman" w:cs="Times New Roman"/>
          <w:color w:val="000000" w:themeColor="text1"/>
        </w:rPr>
      </w:pPr>
      <w:r w:rsidRPr="005E3FAE">
        <w:rPr>
          <w:rFonts w:ascii="Times New Roman" w:hAnsi="Times New Roman" w:cs="Times New Roman"/>
          <w:color w:val="000000" w:themeColor="text1"/>
        </w:rPr>
        <w:t>Zgodnie ze specyfiką podejścia Rozwoju Lokalnego Kierowanego przez Społeczność</w:t>
      </w:r>
      <w:r>
        <w:rPr>
          <w:rFonts w:ascii="Times New Roman" w:hAnsi="Times New Roman" w:cs="Times New Roman"/>
          <w:color w:val="000000" w:themeColor="text1"/>
        </w:rPr>
        <w:t xml:space="preserve"> (RLKS),</w:t>
      </w:r>
      <w:r w:rsidRPr="005E3FAE">
        <w:rPr>
          <w:rFonts w:ascii="Times New Roman" w:hAnsi="Times New Roman" w:cs="Times New Roman"/>
          <w:color w:val="000000" w:themeColor="text1"/>
        </w:rPr>
        <w:t xml:space="preserve"> LSR ma</w:t>
      </w:r>
      <w:r>
        <w:rPr>
          <w:rFonts w:ascii="Times New Roman" w:hAnsi="Times New Roman" w:cs="Times New Roman"/>
          <w:color w:val="000000" w:themeColor="text1"/>
        </w:rPr>
        <w:t xml:space="preserve"> </w:t>
      </w:r>
      <w:r w:rsidRPr="005E3FAE">
        <w:rPr>
          <w:rFonts w:ascii="Times New Roman" w:hAnsi="Times New Roman" w:cs="Times New Roman"/>
          <w:color w:val="000000" w:themeColor="text1"/>
        </w:rPr>
        <w:t>charakter zintegrowany. Zintegrowane podejście dla przedsięwzięć planowanych do realizacji</w:t>
      </w:r>
      <w:r>
        <w:rPr>
          <w:rFonts w:ascii="Times New Roman" w:hAnsi="Times New Roman" w:cs="Times New Roman"/>
          <w:color w:val="000000" w:themeColor="text1"/>
        </w:rPr>
        <w:t xml:space="preserve"> </w:t>
      </w:r>
      <w:r w:rsidRPr="005E3FAE">
        <w:rPr>
          <w:rFonts w:ascii="Times New Roman" w:hAnsi="Times New Roman" w:cs="Times New Roman"/>
          <w:color w:val="000000" w:themeColor="text1"/>
        </w:rPr>
        <w:t xml:space="preserve">w ramach wdrażania dotyczy </w:t>
      </w:r>
      <w:r>
        <w:rPr>
          <w:rFonts w:ascii="Times New Roman" w:hAnsi="Times New Roman" w:cs="Times New Roman"/>
          <w:color w:val="000000" w:themeColor="text1"/>
        </w:rPr>
        <w:t xml:space="preserve">dwóch </w:t>
      </w:r>
      <w:r w:rsidRPr="005E3FAE">
        <w:rPr>
          <w:rFonts w:ascii="Times New Roman" w:hAnsi="Times New Roman" w:cs="Times New Roman"/>
          <w:color w:val="000000" w:themeColor="text1"/>
        </w:rPr>
        <w:t>aspektów:</w:t>
      </w:r>
    </w:p>
    <w:p w14:paraId="31F872B9" w14:textId="77777777" w:rsidR="00A17173" w:rsidRDefault="00A17173" w:rsidP="00CD2D87">
      <w:pPr>
        <w:pStyle w:val="Akapitzlist"/>
        <w:numPr>
          <w:ilvl w:val="0"/>
          <w:numId w:val="12"/>
        </w:numPr>
        <w:spacing w:after="0" w:line="276" w:lineRule="auto"/>
        <w:jc w:val="both"/>
        <w:rPr>
          <w:rFonts w:ascii="Times New Roman" w:hAnsi="Times New Roman" w:cs="Times New Roman"/>
          <w:color w:val="000000" w:themeColor="text1"/>
        </w:rPr>
      </w:pPr>
      <w:r w:rsidRPr="005E3FAE">
        <w:rPr>
          <w:rFonts w:ascii="Times New Roman" w:hAnsi="Times New Roman" w:cs="Times New Roman"/>
          <w:color w:val="000000" w:themeColor="text1"/>
        </w:rPr>
        <w:t>Zintegrowania celów i przedsięwzięć zaplanowanych w ramach LSR zapewniających spójne</w:t>
      </w:r>
      <w:r>
        <w:rPr>
          <w:rFonts w:ascii="Times New Roman" w:hAnsi="Times New Roman" w:cs="Times New Roman"/>
          <w:color w:val="000000" w:themeColor="text1"/>
        </w:rPr>
        <w:t xml:space="preserve"> </w:t>
      </w:r>
      <w:r w:rsidRPr="005E3FAE">
        <w:rPr>
          <w:rFonts w:ascii="Times New Roman" w:hAnsi="Times New Roman" w:cs="Times New Roman"/>
          <w:color w:val="000000" w:themeColor="text1"/>
        </w:rPr>
        <w:t>i kompleksowe rozwiązanie zidentyfikowanych w analizie SWOT problemów, zachowując przy</w:t>
      </w:r>
      <w:r>
        <w:rPr>
          <w:rFonts w:ascii="Times New Roman" w:hAnsi="Times New Roman" w:cs="Times New Roman"/>
          <w:color w:val="000000" w:themeColor="text1"/>
        </w:rPr>
        <w:t xml:space="preserve"> </w:t>
      </w:r>
      <w:r w:rsidRPr="00312117">
        <w:rPr>
          <w:rFonts w:ascii="Times New Roman" w:hAnsi="Times New Roman" w:cs="Times New Roman"/>
          <w:color w:val="000000" w:themeColor="text1"/>
        </w:rPr>
        <w:t>tym odpowiednią kolejność realizacji przedsięwzięć oraz współpracę różnych podmiotów.</w:t>
      </w:r>
    </w:p>
    <w:p w14:paraId="2355EF1D" w14:textId="11C408D6" w:rsidR="00A17173" w:rsidRPr="00F64C73" w:rsidRDefault="00A17173" w:rsidP="00CD2D87">
      <w:pPr>
        <w:pStyle w:val="Akapitzlist"/>
        <w:numPr>
          <w:ilvl w:val="0"/>
          <w:numId w:val="12"/>
        </w:numPr>
        <w:spacing w:after="0" w:line="276" w:lineRule="auto"/>
        <w:jc w:val="both"/>
        <w:rPr>
          <w:rFonts w:ascii="Times New Roman" w:hAnsi="Times New Roman" w:cs="Times New Roman"/>
          <w:color w:val="000000" w:themeColor="text1"/>
        </w:rPr>
      </w:pPr>
      <w:r w:rsidRPr="00312117">
        <w:rPr>
          <w:rFonts w:ascii="Times New Roman" w:hAnsi="Times New Roman" w:cs="Times New Roman"/>
          <w:color w:val="000000" w:themeColor="text1"/>
        </w:rPr>
        <w:t>Zgodności cel</w:t>
      </w:r>
      <w:r>
        <w:rPr>
          <w:rFonts w:ascii="Times New Roman" w:hAnsi="Times New Roman" w:cs="Times New Roman"/>
          <w:color w:val="000000" w:themeColor="text1"/>
        </w:rPr>
        <w:t>u</w:t>
      </w:r>
      <w:r w:rsidRPr="0031211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 przedsięwzięć </w:t>
      </w:r>
      <w:r w:rsidRPr="00312117">
        <w:rPr>
          <w:rFonts w:ascii="Times New Roman" w:hAnsi="Times New Roman" w:cs="Times New Roman"/>
          <w:color w:val="000000" w:themeColor="text1"/>
        </w:rPr>
        <w:t>LSR z dokumentami strategicznymi/planistycznymi na poziomie krajowym, regionalnym i lokalnym oraz zgodności co do celów</w:t>
      </w:r>
      <w:r>
        <w:rPr>
          <w:rFonts w:ascii="Times New Roman" w:hAnsi="Times New Roman" w:cs="Times New Roman"/>
          <w:color w:val="000000" w:themeColor="text1"/>
        </w:rPr>
        <w:t xml:space="preserve"> </w:t>
      </w:r>
      <w:r w:rsidRPr="00312117">
        <w:rPr>
          <w:rFonts w:ascii="Times New Roman" w:hAnsi="Times New Roman" w:cs="Times New Roman"/>
          <w:color w:val="000000" w:themeColor="text1"/>
        </w:rPr>
        <w:t xml:space="preserve">przekrojowych </w:t>
      </w:r>
      <w:r w:rsidRPr="00312117">
        <w:rPr>
          <w:rFonts w:ascii="Times New Roman" w:hAnsi="Times New Roman"/>
        </w:rPr>
        <w:t>PS WPR 2023–2027</w:t>
      </w:r>
      <w:r w:rsidR="005768A5">
        <w:rPr>
          <w:rFonts w:ascii="Times New Roman" w:hAnsi="Times New Roman"/>
        </w:rPr>
        <w:t>.</w:t>
      </w:r>
    </w:p>
    <w:p w14:paraId="32C2DF16" w14:textId="77777777" w:rsidR="00A17173" w:rsidRDefault="00A17173" w:rsidP="00A17173">
      <w:pPr>
        <w:pStyle w:val="Gwne"/>
        <w:numPr>
          <w:ilvl w:val="0"/>
          <w:numId w:val="0"/>
        </w:numPr>
        <w:spacing w:after="0" w:line="276" w:lineRule="auto"/>
        <w:ind w:firstLine="709"/>
        <w:outlineLvl w:val="9"/>
        <w:rPr>
          <w:b w:val="0"/>
          <w:bCs w:val="0"/>
          <w:sz w:val="22"/>
          <w:szCs w:val="22"/>
        </w:rPr>
      </w:pPr>
      <w:r w:rsidRPr="00D06B9F">
        <w:rPr>
          <w:b w:val="0"/>
          <w:bCs w:val="0"/>
          <w:sz w:val="22"/>
          <w:szCs w:val="22"/>
        </w:rPr>
        <w:t>Pojęcie zintegrowanych działań, wzajemnie uzupełniających się, wprost wynika z idei racjonalności programowania strategicznego, które zakłada osiągnięcie założonych celów przy jak najlepszym zaangażowaniu zasobów. Zastosowanie tego typu narzędzi sprawnego działania powoduje tworzenie się między przedsięwzięciami połączeń o charakterze wzajemnego oddziaływania, które potęguje zamierzony do osiągnięcia efekt, jakim jest założony cel. Realizacja przedsięwzięć w sposób zintegrowany i komplementarny jest zatem zarówno konieczna, jak i pożądana. W tym kierunku podąża również przedmiotowa Lokalna Strategia Rozwoju</w:t>
      </w:r>
      <w:r>
        <w:rPr>
          <w:b w:val="0"/>
          <w:bCs w:val="0"/>
          <w:sz w:val="22"/>
          <w:szCs w:val="22"/>
        </w:rPr>
        <w:t>.</w:t>
      </w:r>
    </w:p>
    <w:p w14:paraId="78F527A1" w14:textId="3F141779" w:rsidR="00A17173" w:rsidRDefault="00A17173" w:rsidP="00A17173">
      <w:pPr>
        <w:pStyle w:val="Gwne"/>
        <w:numPr>
          <w:ilvl w:val="0"/>
          <w:numId w:val="0"/>
        </w:numPr>
        <w:spacing w:after="0" w:line="276" w:lineRule="auto"/>
        <w:ind w:firstLine="709"/>
        <w:outlineLvl w:val="9"/>
        <w:rPr>
          <w:b w:val="0"/>
          <w:bCs w:val="0"/>
          <w:sz w:val="22"/>
          <w:szCs w:val="22"/>
        </w:rPr>
      </w:pPr>
      <w:r>
        <w:rPr>
          <w:b w:val="0"/>
          <w:bCs w:val="0"/>
          <w:sz w:val="22"/>
          <w:szCs w:val="22"/>
        </w:rPr>
        <w:t>Lokalna Strategia Rozwoju w odpowiedzi na zidentyfikowane problemy obszaru określa cel, który uwzględnia kontekst innych dokumentów strategicznych na szczeblu lokalnym, a także dokumentów wyższego szczebla. P</w:t>
      </w:r>
      <w:r w:rsidRPr="001C7DC9">
        <w:rPr>
          <w:b w:val="0"/>
          <w:bCs w:val="0"/>
          <w:sz w:val="22"/>
          <w:szCs w:val="22"/>
        </w:rPr>
        <w:t xml:space="preserve">lanowane w ramach </w:t>
      </w:r>
      <w:r>
        <w:rPr>
          <w:b w:val="0"/>
          <w:bCs w:val="0"/>
          <w:sz w:val="22"/>
          <w:szCs w:val="22"/>
        </w:rPr>
        <w:t>je</w:t>
      </w:r>
      <w:r w:rsidR="00F80629">
        <w:rPr>
          <w:b w:val="0"/>
          <w:bCs w:val="0"/>
          <w:sz w:val="22"/>
          <w:szCs w:val="22"/>
        </w:rPr>
        <w:t>j</w:t>
      </w:r>
      <w:r w:rsidRPr="001C7DC9">
        <w:rPr>
          <w:b w:val="0"/>
          <w:bCs w:val="0"/>
          <w:sz w:val="22"/>
          <w:szCs w:val="22"/>
        </w:rPr>
        <w:t xml:space="preserve"> realizacji konkretne przedsięwzięcia są spójne oraz powiązane ze sobą </w:t>
      </w:r>
      <w:r>
        <w:rPr>
          <w:b w:val="0"/>
          <w:bCs w:val="0"/>
          <w:sz w:val="22"/>
          <w:szCs w:val="22"/>
        </w:rPr>
        <w:br/>
      </w:r>
      <w:r w:rsidRPr="001C7DC9">
        <w:rPr>
          <w:b w:val="0"/>
          <w:bCs w:val="0"/>
          <w:sz w:val="22"/>
          <w:szCs w:val="22"/>
        </w:rPr>
        <w:t>i wzajemnie się uzupełniają. Tworzą logiczne związki i wzajemnie na siebie oddziałują. W ramach zaplanowan</w:t>
      </w:r>
      <w:r>
        <w:rPr>
          <w:b w:val="0"/>
          <w:bCs w:val="0"/>
          <w:sz w:val="22"/>
          <w:szCs w:val="22"/>
        </w:rPr>
        <w:t xml:space="preserve">ego </w:t>
      </w:r>
      <w:bookmarkStart w:id="95" w:name="_Hlk133247709"/>
      <w:bookmarkStart w:id="96" w:name="_Hlk133247913"/>
      <w:r w:rsidRPr="001C7DC9">
        <w:rPr>
          <w:b w:val="0"/>
          <w:bCs w:val="0"/>
          <w:sz w:val="22"/>
          <w:szCs w:val="22"/>
        </w:rPr>
        <w:t>w LSR ce</w:t>
      </w:r>
      <w:r>
        <w:rPr>
          <w:b w:val="0"/>
          <w:bCs w:val="0"/>
          <w:sz w:val="22"/>
          <w:szCs w:val="22"/>
        </w:rPr>
        <w:t>lu</w:t>
      </w:r>
      <w:r w:rsidRPr="001C7DC9">
        <w:rPr>
          <w:b w:val="0"/>
          <w:bCs w:val="0"/>
          <w:sz w:val="22"/>
          <w:szCs w:val="22"/>
        </w:rPr>
        <w:t xml:space="preserve"> </w:t>
      </w:r>
      <w:bookmarkStart w:id="97" w:name="_Hlk131509430"/>
      <w:bookmarkEnd w:id="95"/>
      <w:r w:rsidR="00A11F3A">
        <w:rPr>
          <w:rFonts w:eastAsia="Calibri"/>
          <w:b w:val="0"/>
          <w:bCs w:val="0"/>
          <w:i/>
          <w:iCs/>
          <w:sz w:val="22"/>
          <w:szCs w:val="22"/>
        </w:rPr>
        <w:t>Zbudowanie Bialskopodlaskiego kapitału społecznego</w:t>
      </w:r>
      <w:r>
        <w:rPr>
          <w:rFonts w:eastAsia="Calibri"/>
          <w:b w:val="0"/>
          <w:bCs w:val="0"/>
          <w:i/>
          <w:iCs/>
          <w:sz w:val="22"/>
          <w:szCs w:val="22"/>
        </w:rPr>
        <w:t xml:space="preserve">, </w:t>
      </w:r>
      <w:bookmarkEnd w:id="97"/>
      <w:r>
        <w:rPr>
          <w:rFonts w:eastAsia="Calibri"/>
          <w:b w:val="0"/>
          <w:bCs w:val="0"/>
          <w:sz w:val="22"/>
          <w:szCs w:val="22"/>
        </w:rPr>
        <w:t>zawarto</w:t>
      </w:r>
      <w:r w:rsidRPr="009437AF">
        <w:rPr>
          <w:rFonts w:eastAsia="Calibri"/>
          <w:b w:val="0"/>
          <w:bCs w:val="0"/>
          <w:i/>
          <w:iCs/>
          <w:sz w:val="22"/>
          <w:szCs w:val="22"/>
        </w:rPr>
        <w:t xml:space="preserve"> </w:t>
      </w:r>
      <w:r w:rsidRPr="001C7DC9">
        <w:rPr>
          <w:b w:val="0"/>
          <w:bCs w:val="0"/>
          <w:sz w:val="22"/>
          <w:szCs w:val="22"/>
        </w:rPr>
        <w:t xml:space="preserve">kompleksowe podejście do rozwiązania problemu </w:t>
      </w:r>
      <w:r>
        <w:rPr>
          <w:b w:val="0"/>
          <w:bCs w:val="0"/>
          <w:sz w:val="22"/>
          <w:szCs w:val="22"/>
        </w:rPr>
        <w:t xml:space="preserve">jakim jest </w:t>
      </w:r>
      <w:bookmarkEnd w:id="96"/>
      <w:r>
        <w:rPr>
          <w:b w:val="0"/>
          <w:bCs w:val="0"/>
          <w:sz w:val="22"/>
          <w:szCs w:val="22"/>
        </w:rPr>
        <w:t>n</w:t>
      </w:r>
      <w:r w:rsidRPr="00697B79">
        <w:rPr>
          <w:b w:val="0"/>
          <w:bCs w:val="0"/>
          <w:sz w:val="22"/>
          <w:szCs w:val="22"/>
        </w:rPr>
        <w:t>iewystarczając</w:t>
      </w:r>
      <w:r w:rsidR="004C4A5D">
        <w:rPr>
          <w:b w:val="0"/>
          <w:bCs w:val="0"/>
          <w:sz w:val="22"/>
          <w:szCs w:val="22"/>
        </w:rPr>
        <w:t>e</w:t>
      </w:r>
      <w:r w:rsidRPr="00697B79">
        <w:rPr>
          <w:b w:val="0"/>
          <w:bCs w:val="0"/>
          <w:sz w:val="22"/>
          <w:szCs w:val="22"/>
        </w:rPr>
        <w:t xml:space="preserve"> </w:t>
      </w:r>
      <w:r w:rsidR="004C4A5D">
        <w:rPr>
          <w:b w:val="0"/>
          <w:bCs w:val="0"/>
          <w:sz w:val="22"/>
          <w:szCs w:val="22"/>
        </w:rPr>
        <w:t>zaangażowanie</w:t>
      </w:r>
      <w:r w:rsidRPr="00697B79">
        <w:rPr>
          <w:b w:val="0"/>
          <w:bCs w:val="0"/>
          <w:sz w:val="22"/>
          <w:szCs w:val="22"/>
        </w:rPr>
        <w:t xml:space="preserve"> </w:t>
      </w:r>
      <w:r w:rsidR="00A11F3A">
        <w:rPr>
          <w:b w:val="0"/>
          <w:bCs w:val="0"/>
          <w:sz w:val="22"/>
          <w:szCs w:val="22"/>
        </w:rPr>
        <w:t>kapitał</w:t>
      </w:r>
      <w:r w:rsidR="004C4A5D">
        <w:rPr>
          <w:b w:val="0"/>
          <w:bCs w:val="0"/>
          <w:sz w:val="22"/>
          <w:szCs w:val="22"/>
        </w:rPr>
        <w:t>u</w:t>
      </w:r>
      <w:r w:rsidR="00A11F3A">
        <w:rPr>
          <w:b w:val="0"/>
          <w:bCs w:val="0"/>
          <w:sz w:val="22"/>
          <w:szCs w:val="22"/>
        </w:rPr>
        <w:t xml:space="preserve"> ludzki</w:t>
      </w:r>
      <w:r w:rsidR="004C4A5D">
        <w:rPr>
          <w:b w:val="0"/>
          <w:bCs w:val="0"/>
          <w:sz w:val="22"/>
          <w:szCs w:val="22"/>
        </w:rPr>
        <w:t>ego do rozwoju</w:t>
      </w:r>
      <w:r w:rsidRPr="00697B79">
        <w:rPr>
          <w:b w:val="0"/>
          <w:bCs w:val="0"/>
          <w:sz w:val="22"/>
          <w:szCs w:val="22"/>
        </w:rPr>
        <w:t xml:space="preserve"> obszaru</w:t>
      </w:r>
      <w:r w:rsidR="00A11F3A">
        <w:rPr>
          <w:b w:val="0"/>
          <w:bCs w:val="0"/>
          <w:sz w:val="22"/>
          <w:szCs w:val="22"/>
        </w:rPr>
        <w:t xml:space="preserve">, który przekłada się na </w:t>
      </w:r>
      <w:r w:rsidR="00A11F3A" w:rsidRPr="00A11F3A">
        <w:rPr>
          <w:b w:val="0"/>
          <w:bCs w:val="0"/>
          <w:sz w:val="22"/>
          <w:szCs w:val="22"/>
        </w:rPr>
        <w:t>nisk</w:t>
      </w:r>
      <w:r w:rsidR="00A11F3A">
        <w:rPr>
          <w:b w:val="0"/>
          <w:bCs w:val="0"/>
          <w:sz w:val="22"/>
          <w:szCs w:val="22"/>
        </w:rPr>
        <w:t xml:space="preserve">ą </w:t>
      </w:r>
      <w:r w:rsidR="00A11F3A" w:rsidRPr="00A11F3A">
        <w:rPr>
          <w:b w:val="0"/>
          <w:bCs w:val="0"/>
          <w:sz w:val="22"/>
          <w:szCs w:val="22"/>
        </w:rPr>
        <w:t>przedsiębiorczość</w:t>
      </w:r>
      <w:r w:rsidR="00A11F3A">
        <w:rPr>
          <w:b w:val="0"/>
          <w:bCs w:val="0"/>
          <w:sz w:val="22"/>
          <w:szCs w:val="22"/>
        </w:rPr>
        <w:t xml:space="preserve"> oraz </w:t>
      </w:r>
      <w:r w:rsidR="00A11F3A" w:rsidRPr="00A11F3A">
        <w:rPr>
          <w:b w:val="0"/>
          <w:bCs w:val="0"/>
          <w:sz w:val="22"/>
          <w:szCs w:val="22"/>
        </w:rPr>
        <w:t xml:space="preserve">dochody </w:t>
      </w:r>
      <w:r w:rsidR="00A11F3A">
        <w:rPr>
          <w:b w:val="0"/>
          <w:bCs w:val="0"/>
          <w:sz w:val="22"/>
          <w:szCs w:val="22"/>
        </w:rPr>
        <w:t xml:space="preserve">mieszkańców, a także ich </w:t>
      </w:r>
      <w:r w:rsidR="00A11F3A" w:rsidRPr="00A11F3A">
        <w:rPr>
          <w:b w:val="0"/>
          <w:bCs w:val="0"/>
          <w:sz w:val="22"/>
          <w:szCs w:val="22"/>
        </w:rPr>
        <w:t>mał</w:t>
      </w:r>
      <w:r w:rsidR="00A11F3A">
        <w:rPr>
          <w:b w:val="0"/>
          <w:bCs w:val="0"/>
          <w:sz w:val="22"/>
          <w:szCs w:val="22"/>
        </w:rPr>
        <w:t>ą</w:t>
      </w:r>
      <w:r w:rsidR="00A11F3A" w:rsidRPr="00A11F3A">
        <w:rPr>
          <w:b w:val="0"/>
          <w:bCs w:val="0"/>
          <w:sz w:val="22"/>
          <w:szCs w:val="22"/>
        </w:rPr>
        <w:t xml:space="preserve"> aktywność społeczn</w:t>
      </w:r>
      <w:r w:rsidR="00A11F3A">
        <w:rPr>
          <w:b w:val="0"/>
          <w:bCs w:val="0"/>
          <w:sz w:val="22"/>
          <w:szCs w:val="22"/>
        </w:rPr>
        <w:t>ą</w:t>
      </w:r>
      <w:r w:rsidR="00A11F3A" w:rsidRPr="00A11F3A">
        <w:rPr>
          <w:b w:val="0"/>
          <w:bCs w:val="0"/>
          <w:sz w:val="22"/>
          <w:szCs w:val="22"/>
        </w:rPr>
        <w:t xml:space="preserve"> </w:t>
      </w:r>
      <w:r w:rsidR="00A11F3A">
        <w:rPr>
          <w:b w:val="0"/>
          <w:bCs w:val="0"/>
          <w:sz w:val="22"/>
          <w:szCs w:val="22"/>
        </w:rPr>
        <w:t>oraz</w:t>
      </w:r>
      <w:r w:rsidR="00A11F3A" w:rsidRPr="00A11F3A">
        <w:rPr>
          <w:b w:val="0"/>
          <w:bCs w:val="0"/>
          <w:sz w:val="22"/>
          <w:szCs w:val="22"/>
        </w:rPr>
        <w:t xml:space="preserve"> niekorzystn</w:t>
      </w:r>
      <w:r w:rsidR="00A11F3A">
        <w:rPr>
          <w:b w:val="0"/>
          <w:bCs w:val="0"/>
          <w:sz w:val="22"/>
          <w:szCs w:val="22"/>
        </w:rPr>
        <w:t>ą</w:t>
      </w:r>
      <w:r w:rsidR="00A11F3A" w:rsidRPr="00A11F3A">
        <w:rPr>
          <w:b w:val="0"/>
          <w:bCs w:val="0"/>
          <w:sz w:val="22"/>
          <w:szCs w:val="22"/>
        </w:rPr>
        <w:t xml:space="preserve"> sytuacj</w:t>
      </w:r>
      <w:r w:rsidR="00F80629">
        <w:rPr>
          <w:b w:val="0"/>
          <w:bCs w:val="0"/>
          <w:sz w:val="22"/>
          <w:szCs w:val="22"/>
        </w:rPr>
        <w:t>ę</w:t>
      </w:r>
      <w:r w:rsidR="00A11F3A" w:rsidRPr="00A11F3A">
        <w:rPr>
          <w:b w:val="0"/>
          <w:bCs w:val="0"/>
          <w:sz w:val="22"/>
          <w:szCs w:val="22"/>
        </w:rPr>
        <w:t xml:space="preserve"> demograficzn</w:t>
      </w:r>
      <w:r w:rsidR="00A11F3A">
        <w:rPr>
          <w:b w:val="0"/>
          <w:bCs w:val="0"/>
          <w:sz w:val="22"/>
          <w:szCs w:val="22"/>
        </w:rPr>
        <w:t>ą</w:t>
      </w:r>
      <w:r>
        <w:rPr>
          <w:b w:val="0"/>
          <w:bCs w:val="0"/>
          <w:sz w:val="22"/>
          <w:szCs w:val="22"/>
        </w:rPr>
        <w:t>.</w:t>
      </w:r>
      <w:r w:rsidRPr="001C7DC9">
        <w:rPr>
          <w:b w:val="0"/>
          <w:bCs w:val="0"/>
          <w:sz w:val="22"/>
          <w:szCs w:val="22"/>
        </w:rPr>
        <w:t xml:space="preserve"> </w:t>
      </w:r>
      <w:bookmarkStart w:id="98" w:name="_Hlk131510467"/>
      <w:r w:rsidRPr="00C46ABD">
        <w:rPr>
          <w:b w:val="0"/>
          <w:bCs w:val="0"/>
          <w:sz w:val="22"/>
          <w:szCs w:val="22"/>
        </w:rPr>
        <w:t xml:space="preserve">Cel ten realizowany będzie przez </w:t>
      </w:r>
      <w:r>
        <w:rPr>
          <w:b w:val="0"/>
          <w:bCs w:val="0"/>
          <w:sz w:val="22"/>
          <w:szCs w:val="22"/>
        </w:rPr>
        <w:t>przedsięwzięcia,</w:t>
      </w:r>
      <w:bookmarkEnd w:id="98"/>
      <w:r>
        <w:rPr>
          <w:b w:val="0"/>
          <w:bCs w:val="0"/>
          <w:sz w:val="22"/>
          <w:szCs w:val="22"/>
        </w:rPr>
        <w:t xml:space="preserve"> w ramach których zostaną zaspokojone potrzeby mieszkańców zgłoszone podczas konsultacji społecznych, które koncentrowały się na </w:t>
      </w:r>
      <w:r w:rsidR="00A11F3A">
        <w:rPr>
          <w:b w:val="0"/>
          <w:bCs w:val="0"/>
          <w:sz w:val="22"/>
          <w:szCs w:val="22"/>
        </w:rPr>
        <w:t>stworzeniu warunków do rozwoju w miejscu zamieszkania</w:t>
      </w:r>
      <w:r>
        <w:rPr>
          <w:b w:val="0"/>
          <w:bCs w:val="0"/>
          <w:sz w:val="22"/>
          <w:szCs w:val="22"/>
        </w:rPr>
        <w:t>. Realizacja przedsięwzięć przyczyni się do zwiększenia integracji mieszkańców oraz zwiększy ich aktywność w zakresie podejmowania działań na rzecz poprawy jakości życia na obszarze, co przełoży się również na aktywizację gospodarczą w oparciu o lokalne zasoby</w:t>
      </w:r>
      <w:r w:rsidR="00C43865">
        <w:rPr>
          <w:b w:val="0"/>
          <w:bCs w:val="0"/>
          <w:sz w:val="22"/>
          <w:szCs w:val="22"/>
        </w:rPr>
        <w:t>.</w:t>
      </w:r>
      <w:r>
        <w:rPr>
          <w:b w:val="0"/>
          <w:bCs w:val="0"/>
          <w:sz w:val="22"/>
          <w:szCs w:val="22"/>
        </w:rPr>
        <w:t xml:space="preserve"> Zaplanowane do realizacji przedsięwzięcia będą również mocno oddziaływać na osoby w niekorzystnej sytuacji oraz na ludzi młodych </w:t>
      </w:r>
      <w:r w:rsidR="00C43865">
        <w:rPr>
          <w:b w:val="0"/>
          <w:bCs w:val="0"/>
          <w:sz w:val="22"/>
          <w:szCs w:val="22"/>
        </w:rPr>
        <w:br/>
      </w:r>
      <w:r>
        <w:rPr>
          <w:b w:val="0"/>
          <w:bCs w:val="0"/>
          <w:sz w:val="22"/>
          <w:szCs w:val="22"/>
        </w:rPr>
        <w:t xml:space="preserve">i seniorów. W realizację przedsięwzięć będą zaangażowane różne podmioty, zarówno organizacje pozarządowe, podmioty z sektora gospodarczego, indywidualni mieszkańcy, a także jednostki samorządowe, co dodatkowo wzmocni integrację obszaru. Przedsięwzięcia zaplanowane do realizacji w ramach LSR będą wpływać na osiągnięcie wskaźników rezultatu </w:t>
      </w:r>
      <w:r w:rsidRPr="009E093A">
        <w:rPr>
          <w:b w:val="0"/>
          <w:bCs w:val="0"/>
          <w:sz w:val="22"/>
          <w:szCs w:val="22"/>
        </w:rPr>
        <w:t xml:space="preserve">Planu Strategicznego </w:t>
      </w:r>
      <w:r>
        <w:rPr>
          <w:b w:val="0"/>
          <w:bCs w:val="0"/>
          <w:sz w:val="22"/>
          <w:szCs w:val="22"/>
        </w:rPr>
        <w:t xml:space="preserve">dla </w:t>
      </w:r>
      <w:r w:rsidRPr="009E093A">
        <w:rPr>
          <w:b w:val="0"/>
          <w:bCs w:val="0"/>
          <w:sz w:val="22"/>
          <w:szCs w:val="22"/>
        </w:rPr>
        <w:t>Wspólnej Polityki Rolnej</w:t>
      </w:r>
      <w:r>
        <w:rPr>
          <w:b w:val="0"/>
          <w:bCs w:val="0"/>
          <w:sz w:val="22"/>
          <w:szCs w:val="22"/>
        </w:rPr>
        <w:t>, a</w:t>
      </w:r>
      <w:r>
        <w:rPr>
          <w:b w:val="0"/>
          <w:bCs w:val="0"/>
          <w:i/>
          <w:iCs/>
          <w:sz w:val="22"/>
          <w:szCs w:val="22"/>
        </w:rPr>
        <w:t xml:space="preserve"> </w:t>
      </w:r>
      <w:r w:rsidRPr="00A41BCE">
        <w:rPr>
          <w:b w:val="0"/>
          <w:bCs w:val="0"/>
          <w:sz w:val="22"/>
          <w:szCs w:val="22"/>
        </w:rPr>
        <w:t>zapewnienie ich realizacji będzie się odbywać</w:t>
      </w:r>
      <w:r>
        <w:rPr>
          <w:b w:val="0"/>
          <w:bCs w:val="0"/>
          <w:sz w:val="22"/>
          <w:szCs w:val="22"/>
        </w:rPr>
        <w:t xml:space="preserve"> </w:t>
      </w:r>
      <w:r w:rsidRPr="00A41BCE">
        <w:rPr>
          <w:b w:val="0"/>
          <w:bCs w:val="0"/>
          <w:sz w:val="22"/>
          <w:szCs w:val="22"/>
        </w:rPr>
        <w:t>poprzez kryteria dostępu oraz kryteria punktowe przyznawane wnioskodawcom w trakcie oceny</w:t>
      </w:r>
      <w:r>
        <w:rPr>
          <w:b w:val="0"/>
          <w:bCs w:val="0"/>
          <w:sz w:val="22"/>
          <w:szCs w:val="22"/>
        </w:rPr>
        <w:t xml:space="preserve"> </w:t>
      </w:r>
      <w:r w:rsidRPr="00A41BCE">
        <w:rPr>
          <w:b w:val="0"/>
          <w:bCs w:val="0"/>
          <w:sz w:val="22"/>
          <w:szCs w:val="22"/>
        </w:rPr>
        <w:t>operacji.</w:t>
      </w:r>
    </w:p>
    <w:p w14:paraId="6FFE471E" w14:textId="77777777" w:rsidR="00A17173" w:rsidRDefault="00A17173" w:rsidP="00A17173">
      <w:pPr>
        <w:pStyle w:val="Gwne"/>
        <w:numPr>
          <w:ilvl w:val="0"/>
          <w:numId w:val="0"/>
        </w:numPr>
        <w:spacing w:line="276" w:lineRule="auto"/>
        <w:ind w:firstLine="709"/>
        <w:outlineLvl w:val="9"/>
        <w:rPr>
          <w:b w:val="0"/>
          <w:bCs w:val="0"/>
          <w:sz w:val="22"/>
          <w:szCs w:val="22"/>
        </w:rPr>
      </w:pPr>
      <w:r>
        <w:rPr>
          <w:b w:val="0"/>
          <w:bCs w:val="0"/>
          <w:sz w:val="22"/>
          <w:szCs w:val="22"/>
        </w:rPr>
        <w:t>Zgodność celu LSR w odniesieniu do dokumentów strategicznych przedstawiono w tabeli poniżej.</w:t>
      </w:r>
    </w:p>
    <w:p w14:paraId="08FB3F04" w14:textId="00D5498A" w:rsidR="00A17173" w:rsidRPr="00EE350C" w:rsidRDefault="00A17173" w:rsidP="00A17173">
      <w:pPr>
        <w:pStyle w:val="Legenda"/>
        <w:spacing w:after="0"/>
        <w:jc w:val="center"/>
        <w:rPr>
          <w:rFonts w:ascii="Times New Roman" w:hAnsi="Times New Roman" w:cs="Times New Roman"/>
          <w:b/>
          <w:bCs/>
          <w:i w:val="0"/>
          <w:iCs w:val="0"/>
          <w:color w:val="000000" w:themeColor="text1"/>
          <w:sz w:val="20"/>
          <w:szCs w:val="20"/>
        </w:rPr>
      </w:pPr>
      <w:bookmarkStart w:id="99" w:name="_Toc135896558"/>
      <w:r w:rsidRPr="000B5B23">
        <w:rPr>
          <w:rFonts w:ascii="Times New Roman" w:hAnsi="Times New Roman" w:cs="Times New Roman"/>
          <w:b/>
          <w:bCs/>
          <w:i w:val="0"/>
          <w:iCs w:val="0"/>
          <w:color w:val="000000" w:themeColor="text1"/>
          <w:sz w:val="20"/>
          <w:szCs w:val="20"/>
        </w:rPr>
        <w:t xml:space="preserve">Tabela </w:t>
      </w:r>
      <w:r w:rsidRPr="000B5B23">
        <w:rPr>
          <w:rFonts w:ascii="Times New Roman" w:hAnsi="Times New Roman" w:cs="Times New Roman"/>
          <w:b/>
          <w:bCs/>
          <w:i w:val="0"/>
          <w:iCs w:val="0"/>
          <w:color w:val="000000" w:themeColor="text1"/>
          <w:sz w:val="20"/>
          <w:szCs w:val="20"/>
        </w:rPr>
        <w:fldChar w:fldCharType="begin"/>
      </w:r>
      <w:r w:rsidRPr="000B5B23">
        <w:rPr>
          <w:rFonts w:ascii="Times New Roman" w:hAnsi="Times New Roman" w:cs="Times New Roman"/>
          <w:b/>
          <w:bCs/>
          <w:i w:val="0"/>
          <w:iCs w:val="0"/>
          <w:color w:val="000000" w:themeColor="text1"/>
          <w:sz w:val="20"/>
          <w:szCs w:val="20"/>
        </w:rPr>
        <w:instrText xml:space="preserve"> SEQ Tabela \* ARABIC </w:instrText>
      </w:r>
      <w:r w:rsidRPr="000B5B23">
        <w:rPr>
          <w:rFonts w:ascii="Times New Roman" w:hAnsi="Times New Roman" w:cs="Times New Roman"/>
          <w:b/>
          <w:bCs/>
          <w:i w:val="0"/>
          <w:iCs w:val="0"/>
          <w:color w:val="000000" w:themeColor="text1"/>
          <w:sz w:val="20"/>
          <w:szCs w:val="20"/>
        </w:rPr>
        <w:fldChar w:fldCharType="separate"/>
      </w:r>
      <w:r w:rsidR="004C4A5D">
        <w:rPr>
          <w:rFonts w:ascii="Times New Roman" w:hAnsi="Times New Roman" w:cs="Times New Roman"/>
          <w:b/>
          <w:bCs/>
          <w:i w:val="0"/>
          <w:iCs w:val="0"/>
          <w:noProof/>
          <w:color w:val="000000" w:themeColor="text1"/>
          <w:sz w:val="20"/>
          <w:szCs w:val="20"/>
        </w:rPr>
        <w:t>16</w:t>
      </w:r>
      <w:r w:rsidRPr="000B5B23">
        <w:rPr>
          <w:rFonts w:ascii="Times New Roman" w:hAnsi="Times New Roman" w:cs="Times New Roman"/>
          <w:b/>
          <w:bCs/>
          <w:i w:val="0"/>
          <w:iCs w:val="0"/>
          <w:color w:val="000000" w:themeColor="text1"/>
          <w:sz w:val="20"/>
          <w:szCs w:val="20"/>
        </w:rPr>
        <w:fldChar w:fldCharType="end"/>
      </w:r>
      <w:r w:rsidRPr="000B5B23">
        <w:rPr>
          <w:rFonts w:ascii="Times New Roman" w:hAnsi="Times New Roman" w:cs="Times New Roman"/>
          <w:b/>
          <w:bCs/>
          <w:i w:val="0"/>
          <w:iCs w:val="0"/>
          <w:color w:val="000000" w:themeColor="text1"/>
          <w:sz w:val="20"/>
          <w:szCs w:val="20"/>
        </w:rPr>
        <w:t xml:space="preserve"> Zgodność cel</w:t>
      </w:r>
      <w:r w:rsidR="00F80629">
        <w:rPr>
          <w:rFonts w:ascii="Times New Roman" w:hAnsi="Times New Roman" w:cs="Times New Roman"/>
          <w:b/>
          <w:bCs/>
          <w:i w:val="0"/>
          <w:iCs w:val="0"/>
          <w:color w:val="000000" w:themeColor="text1"/>
          <w:sz w:val="20"/>
          <w:szCs w:val="20"/>
        </w:rPr>
        <w:t>u</w:t>
      </w:r>
      <w:r w:rsidRPr="000B5B23">
        <w:rPr>
          <w:rFonts w:ascii="Times New Roman" w:hAnsi="Times New Roman" w:cs="Times New Roman"/>
          <w:b/>
          <w:bCs/>
          <w:i w:val="0"/>
          <w:iCs w:val="0"/>
          <w:color w:val="000000" w:themeColor="text1"/>
          <w:sz w:val="20"/>
          <w:szCs w:val="20"/>
        </w:rPr>
        <w:t xml:space="preserve"> LSR z innymi dokumentami strategicznym</w:t>
      </w:r>
      <w:r>
        <w:rPr>
          <w:rFonts w:ascii="Times New Roman" w:hAnsi="Times New Roman" w:cs="Times New Roman"/>
          <w:b/>
          <w:bCs/>
          <w:i w:val="0"/>
          <w:iCs w:val="0"/>
          <w:color w:val="000000" w:themeColor="text1"/>
          <w:sz w:val="20"/>
          <w:szCs w:val="20"/>
        </w:rPr>
        <w:t>i</w:t>
      </w:r>
      <w:bookmarkEnd w:id="99"/>
    </w:p>
    <w:tbl>
      <w:tblPr>
        <w:tblW w:w="5000" w:type="pct"/>
        <w:jc w:val="center"/>
        <w:tblCellMar>
          <w:left w:w="10" w:type="dxa"/>
          <w:right w:w="10" w:type="dxa"/>
        </w:tblCellMar>
        <w:tblLook w:val="04A0" w:firstRow="1" w:lastRow="0" w:firstColumn="1" w:lastColumn="0" w:noHBand="0" w:noVBand="1"/>
      </w:tblPr>
      <w:tblGrid>
        <w:gridCol w:w="740"/>
        <w:gridCol w:w="2534"/>
        <w:gridCol w:w="6920"/>
      </w:tblGrid>
      <w:tr w:rsidR="00A17173" w:rsidRPr="006328BF" w14:paraId="7EDC1196" w14:textId="77777777" w:rsidTr="00E15165">
        <w:trPr>
          <w:trHeight w:val="539"/>
          <w:jc w:val="center"/>
        </w:trPr>
        <w:tc>
          <w:tcPr>
            <w:tcW w:w="363" w:type="pc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9AD2C56" w14:textId="77777777" w:rsidR="00A17173" w:rsidRPr="006328BF" w:rsidRDefault="00A17173" w:rsidP="00E15165">
            <w:pPr>
              <w:suppressAutoHyphens/>
              <w:autoSpaceDN w:val="0"/>
              <w:spacing w:after="0" w:line="276" w:lineRule="auto"/>
              <w:textAlignment w:val="baseline"/>
              <w:rPr>
                <w:rFonts w:ascii="Times New Roman" w:eastAsia="Calibri" w:hAnsi="Times New Roman" w:cs="Times New Roman"/>
                <w:b/>
                <w:bCs/>
                <w:sz w:val="20"/>
                <w:szCs w:val="20"/>
              </w:rPr>
            </w:pPr>
            <w:r w:rsidRPr="006328BF">
              <w:rPr>
                <w:rFonts w:ascii="Times New Roman" w:eastAsia="Calibri" w:hAnsi="Times New Roman" w:cs="Times New Roman"/>
                <w:b/>
                <w:bCs/>
                <w:sz w:val="20"/>
                <w:szCs w:val="20"/>
              </w:rPr>
              <w:t>Lp.</w:t>
            </w:r>
          </w:p>
        </w:tc>
        <w:tc>
          <w:tcPr>
            <w:tcW w:w="1243" w:type="pc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38A9556" w14:textId="77777777" w:rsidR="00A17173" w:rsidRPr="006328BF" w:rsidRDefault="00A17173" w:rsidP="00E15165">
            <w:pPr>
              <w:suppressAutoHyphens/>
              <w:autoSpaceDN w:val="0"/>
              <w:spacing w:after="0" w:line="276" w:lineRule="auto"/>
              <w:jc w:val="center"/>
              <w:textAlignment w:val="baseline"/>
              <w:rPr>
                <w:rFonts w:ascii="Times New Roman" w:eastAsia="Calibri" w:hAnsi="Times New Roman" w:cs="Times New Roman"/>
                <w:b/>
                <w:bCs/>
                <w:sz w:val="20"/>
                <w:szCs w:val="20"/>
              </w:rPr>
            </w:pPr>
            <w:r w:rsidRPr="00D06D59">
              <w:rPr>
                <w:rFonts w:ascii="Times New Roman" w:hAnsi="Times New Roman" w:cs="Times New Roman"/>
                <w:b/>
                <w:bCs/>
                <w:sz w:val="20"/>
                <w:szCs w:val="20"/>
              </w:rPr>
              <w:t xml:space="preserve">Nazwa dokumentu strategicznego / planistycznego </w:t>
            </w:r>
          </w:p>
        </w:tc>
        <w:tc>
          <w:tcPr>
            <w:tcW w:w="3394" w:type="pc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69009FE" w14:textId="50A9FD93" w:rsidR="00A17173" w:rsidRPr="006328BF" w:rsidRDefault="00A17173" w:rsidP="00E15165">
            <w:pPr>
              <w:suppressAutoHyphens/>
              <w:autoSpaceDN w:val="0"/>
              <w:spacing w:after="0" w:line="276" w:lineRule="auto"/>
              <w:jc w:val="center"/>
              <w:textAlignment w:val="baseline"/>
              <w:rPr>
                <w:rFonts w:ascii="Calibri" w:eastAsia="Calibri" w:hAnsi="Calibri" w:cs="Times New Roman"/>
              </w:rPr>
            </w:pPr>
            <w:r>
              <w:rPr>
                <w:rFonts w:ascii="Times New Roman" w:eastAsia="Calibri" w:hAnsi="Times New Roman" w:cs="Times New Roman"/>
                <w:b/>
                <w:bCs/>
                <w:sz w:val="20"/>
                <w:szCs w:val="20"/>
              </w:rPr>
              <w:t xml:space="preserve">Cel LSR: </w:t>
            </w:r>
            <w:r w:rsidR="00C43865" w:rsidRPr="00C43865">
              <w:rPr>
                <w:rFonts w:ascii="Times New Roman" w:eastAsia="Times New Roman" w:hAnsi="Times New Roman" w:cs="Times New Roman"/>
                <w:i/>
                <w:iCs/>
                <w:sz w:val="20"/>
                <w:szCs w:val="20"/>
                <w:lang w:eastAsia="pl-PL"/>
              </w:rPr>
              <w:t>Zbudowanie Bialskopodlaskiego kapitału społecznego</w:t>
            </w:r>
          </w:p>
        </w:tc>
      </w:tr>
      <w:tr w:rsidR="00A17173" w:rsidRPr="00620AEC" w14:paraId="6A467A3B" w14:textId="77777777" w:rsidTr="00E15165">
        <w:trPr>
          <w:trHeight w:val="340"/>
          <w:jc w:val="center"/>
        </w:trPr>
        <w:tc>
          <w:tcPr>
            <w:tcW w:w="3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BB029" w14:textId="77777777" w:rsidR="00A17173" w:rsidRPr="006328BF" w:rsidRDefault="00A17173" w:rsidP="00E15165">
            <w:pPr>
              <w:suppressAutoHyphens/>
              <w:autoSpaceDN w:val="0"/>
              <w:spacing w:after="0" w:line="276" w:lineRule="auto"/>
              <w:ind w:left="-112"/>
              <w:jc w:val="center"/>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1FAB8" w14:textId="09FF4BC5" w:rsidR="00A17173" w:rsidRPr="003078F8" w:rsidRDefault="00A17173" w:rsidP="00E15165">
            <w:pPr>
              <w:suppressAutoHyphens/>
              <w:autoSpaceDN w:val="0"/>
              <w:spacing w:after="0" w:line="276" w:lineRule="auto"/>
              <w:jc w:val="center"/>
              <w:textAlignment w:val="baseline"/>
              <w:rPr>
                <w:rFonts w:ascii="Calibri" w:eastAsia="Calibri" w:hAnsi="Calibri" w:cs="Times New Roman"/>
              </w:rPr>
            </w:pPr>
            <w:r>
              <w:rPr>
                <w:rFonts w:ascii="Times New Roman" w:eastAsia="Calibri" w:hAnsi="Times New Roman" w:cs="Times New Roman"/>
                <w:i/>
                <w:iCs/>
                <w:sz w:val="20"/>
                <w:szCs w:val="20"/>
              </w:rPr>
              <w:t xml:space="preserve">Strategia Rozwoju Województwa </w:t>
            </w:r>
            <w:r w:rsidR="00C43865">
              <w:rPr>
                <w:rFonts w:ascii="Times New Roman" w:eastAsia="Calibri" w:hAnsi="Times New Roman" w:cs="Times New Roman"/>
                <w:i/>
                <w:iCs/>
                <w:sz w:val="20"/>
                <w:szCs w:val="20"/>
              </w:rPr>
              <w:t>Lubelskiego do 2030 roku</w:t>
            </w:r>
            <w:r>
              <w:rPr>
                <w:rFonts w:ascii="Times New Roman" w:eastAsia="Calibri" w:hAnsi="Times New Roman" w:cs="Times New Roman"/>
                <w:i/>
                <w:iCs/>
                <w:sz w:val="20"/>
                <w:szCs w:val="20"/>
              </w:rPr>
              <w:t xml:space="preserve"> </w:t>
            </w:r>
            <w:r w:rsidRPr="005B67A8">
              <w:rPr>
                <w:rFonts w:ascii="Times New Roman" w:eastAsia="Calibri" w:hAnsi="Times New Roman" w:cs="Times New Roman"/>
                <w:sz w:val="20"/>
                <w:szCs w:val="20"/>
              </w:rPr>
              <w:t>(</w:t>
            </w:r>
            <w:r>
              <w:rPr>
                <w:rFonts w:ascii="Times New Roman" w:eastAsia="Calibri" w:hAnsi="Times New Roman" w:cs="Times New Roman"/>
                <w:sz w:val="20"/>
                <w:szCs w:val="20"/>
              </w:rPr>
              <w:t>SRW</w:t>
            </w:r>
            <w:r w:rsidR="00DF11E4">
              <w:rPr>
                <w:rFonts w:ascii="Times New Roman" w:eastAsia="Calibri" w:hAnsi="Times New Roman" w:cs="Times New Roman"/>
                <w:sz w:val="20"/>
                <w:szCs w:val="20"/>
              </w:rPr>
              <w:t>L</w:t>
            </w:r>
            <w:r>
              <w:rPr>
                <w:rFonts w:ascii="Times New Roman" w:eastAsia="Calibri" w:hAnsi="Times New Roman" w:cs="Times New Roman"/>
                <w:sz w:val="20"/>
                <w:szCs w:val="20"/>
              </w:rPr>
              <w:t xml:space="preserve"> 2030)</w:t>
            </w:r>
          </w:p>
        </w:tc>
        <w:tc>
          <w:tcPr>
            <w:tcW w:w="3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C5F46" w14:textId="5E2A1F5D" w:rsidR="00A17173" w:rsidRPr="00F00E50" w:rsidRDefault="00A17173" w:rsidP="00E15165">
            <w:pPr>
              <w:suppressAutoHyphens/>
              <w:autoSpaceDN w:val="0"/>
              <w:spacing w:after="0" w:line="276"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W </w:t>
            </w:r>
            <w:r>
              <w:rPr>
                <w:rFonts w:ascii="Times New Roman" w:eastAsia="Calibri" w:hAnsi="Times New Roman" w:cs="Times New Roman"/>
                <w:i/>
                <w:iCs/>
                <w:sz w:val="20"/>
                <w:szCs w:val="20"/>
              </w:rPr>
              <w:t>Strategii Rozwoju Województwa</w:t>
            </w:r>
            <w:r w:rsidR="00D577E5">
              <w:rPr>
                <w:rFonts w:ascii="Times New Roman" w:eastAsia="Calibri" w:hAnsi="Times New Roman" w:cs="Times New Roman"/>
                <w:i/>
                <w:iCs/>
                <w:sz w:val="20"/>
                <w:szCs w:val="20"/>
              </w:rPr>
              <w:t xml:space="preserve"> Lubelskiego do 2030 roku </w:t>
            </w:r>
            <w:r>
              <w:rPr>
                <w:rFonts w:ascii="Times New Roman" w:eastAsia="Calibri" w:hAnsi="Times New Roman" w:cs="Times New Roman"/>
                <w:sz w:val="20"/>
                <w:szCs w:val="20"/>
              </w:rPr>
              <w:t xml:space="preserve">została określona wizja rozwoju województwa: </w:t>
            </w:r>
            <w:r w:rsidR="00C43865" w:rsidRPr="00C43865">
              <w:rPr>
                <w:rStyle w:val="markedcontent"/>
                <w:rFonts w:ascii="Times New Roman" w:hAnsi="Times New Roman" w:cs="Times New Roman"/>
                <w:i/>
                <w:iCs/>
                <w:sz w:val="20"/>
                <w:szCs w:val="20"/>
              </w:rPr>
              <w:t>Województwo lubelskie racjonalnie wykorzystując specyfikę społeczno-gospodarczą, zasoby środowiska, a także policentryczność sieci</w:t>
            </w:r>
            <w:r w:rsidR="00C43865">
              <w:rPr>
                <w:rStyle w:val="markedcontent"/>
                <w:rFonts w:ascii="Times New Roman" w:hAnsi="Times New Roman" w:cs="Times New Roman"/>
                <w:i/>
                <w:iCs/>
                <w:sz w:val="20"/>
                <w:szCs w:val="20"/>
              </w:rPr>
              <w:t xml:space="preserve"> </w:t>
            </w:r>
            <w:r w:rsidR="00C43865" w:rsidRPr="00C43865">
              <w:rPr>
                <w:rStyle w:val="markedcontent"/>
                <w:rFonts w:ascii="Times New Roman" w:hAnsi="Times New Roman" w:cs="Times New Roman"/>
                <w:i/>
                <w:iCs/>
                <w:sz w:val="20"/>
                <w:szCs w:val="20"/>
              </w:rPr>
              <w:t>ośrodków miejskich rozwija się w sposób zrównoważony. Kreatywność i otwartość mieszkańców, aktywność naukowo-badawcza, tworzenie i stosowanie rozwiązań innowacyjnych oraz partnerstwo w zarządzaniu kształtują nowoczesny charakter regionu. Wzrasta jego znaczenie jako strategicznego producenta</w:t>
            </w:r>
            <w:r w:rsidR="00C43865">
              <w:rPr>
                <w:rStyle w:val="markedcontent"/>
                <w:rFonts w:ascii="Times New Roman" w:hAnsi="Times New Roman" w:cs="Times New Roman"/>
                <w:i/>
                <w:iCs/>
                <w:sz w:val="20"/>
                <w:szCs w:val="20"/>
              </w:rPr>
              <w:t xml:space="preserve"> </w:t>
            </w:r>
            <w:r w:rsidR="00C43865" w:rsidRPr="00C43865">
              <w:rPr>
                <w:rStyle w:val="markedcontent"/>
                <w:rFonts w:ascii="Times New Roman" w:hAnsi="Times New Roman" w:cs="Times New Roman"/>
                <w:i/>
                <w:iCs/>
                <w:sz w:val="20"/>
                <w:szCs w:val="20"/>
              </w:rPr>
              <w:t xml:space="preserve">finalnych wyrobów bazujących na surowcach rolniczych, dostarczyciela usług prozdrowotnych i czasu wolnego. W efekcie region oferuje atrakcyjną przestrzeń do życia, pracy </w:t>
            </w:r>
            <w:r w:rsidR="00C43865">
              <w:rPr>
                <w:rStyle w:val="markedcontent"/>
                <w:rFonts w:ascii="Times New Roman" w:hAnsi="Times New Roman" w:cs="Times New Roman"/>
                <w:i/>
                <w:iCs/>
                <w:sz w:val="20"/>
                <w:szCs w:val="20"/>
              </w:rPr>
              <w:br/>
            </w:r>
            <w:r w:rsidR="00C43865" w:rsidRPr="00C43865">
              <w:rPr>
                <w:rStyle w:val="markedcontent"/>
                <w:rFonts w:ascii="Times New Roman" w:hAnsi="Times New Roman" w:cs="Times New Roman"/>
                <w:i/>
                <w:iCs/>
                <w:sz w:val="20"/>
                <w:szCs w:val="20"/>
              </w:rPr>
              <w:t>i inwestowania w zdrowym i bezpiecznym otoczeniu</w:t>
            </w:r>
            <w:r w:rsidRPr="00C43865">
              <w:rPr>
                <w:rFonts w:ascii="Times New Roman" w:eastAsia="Calibri" w:hAnsi="Times New Roman" w:cs="Times New Roman"/>
                <w:i/>
                <w:iCs/>
                <w:sz w:val="20"/>
                <w:szCs w:val="20"/>
              </w:rPr>
              <w:t>.</w:t>
            </w:r>
            <w:r w:rsidRPr="00F00E50">
              <w:rPr>
                <w:rFonts w:ascii="Times New Roman" w:eastAsia="Calibri" w:hAnsi="Times New Roman" w:cs="Times New Roman"/>
                <w:i/>
                <w:iCs/>
                <w:sz w:val="20"/>
                <w:szCs w:val="20"/>
              </w:rPr>
              <w:t xml:space="preserve"> </w:t>
            </w:r>
            <w:r>
              <w:rPr>
                <w:rFonts w:ascii="Times New Roman" w:eastAsia="Calibri" w:hAnsi="Times New Roman" w:cs="Times New Roman"/>
                <w:sz w:val="20"/>
                <w:szCs w:val="20"/>
              </w:rPr>
              <w:t xml:space="preserve">Wizja ta zostanie osiągnięta poprzez realizację następujących </w:t>
            </w:r>
            <w:r w:rsidR="00DF11E4">
              <w:rPr>
                <w:rFonts w:ascii="Times New Roman" w:eastAsia="Calibri" w:hAnsi="Times New Roman" w:cs="Times New Roman"/>
                <w:sz w:val="20"/>
                <w:szCs w:val="20"/>
              </w:rPr>
              <w:t>celów strategicznych:</w:t>
            </w:r>
            <w:r>
              <w:rPr>
                <w:rFonts w:ascii="Times New Roman" w:eastAsia="Calibri" w:hAnsi="Times New Roman" w:cs="Times New Roman"/>
                <w:sz w:val="20"/>
                <w:szCs w:val="20"/>
              </w:rPr>
              <w:t xml:space="preserve"> </w:t>
            </w:r>
          </w:p>
          <w:p w14:paraId="3F9FF924" w14:textId="6DE14135" w:rsidR="00A17173" w:rsidRPr="00DF11E4" w:rsidRDefault="00DF11E4" w:rsidP="00E15165">
            <w:pPr>
              <w:spacing w:after="0" w:line="276" w:lineRule="auto"/>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sz w:val="20"/>
                <w:szCs w:val="20"/>
                <w:lang w:eastAsia="pl-PL"/>
              </w:rPr>
              <w:t xml:space="preserve">Cel strategiczny 1. </w:t>
            </w:r>
            <w:r>
              <w:rPr>
                <w:rFonts w:ascii="Times New Roman" w:eastAsia="Times New Roman" w:hAnsi="Times New Roman" w:cs="Times New Roman"/>
                <w:i/>
                <w:iCs/>
                <w:sz w:val="20"/>
                <w:szCs w:val="20"/>
                <w:lang w:eastAsia="pl-PL"/>
              </w:rPr>
              <w:t>Kształtowanie strategicznych zasobów rolnych</w:t>
            </w:r>
          </w:p>
          <w:p w14:paraId="7A4C28DF" w14:textId="03A57A8E" w:rsidR="00A17173" w:rsidRDefault="00DF11E4" w:rsidP="00E1516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Cel strategiczny 2. </w:t>
            </w:r>
            <w:r w:rsidRPr="00DF11E4">
              <w:rPr>
                <w:rFonts w:ascii="Times New Roman" w:eastAsia="Times New Roman" w:hAnsi="Times New Roman" w:cs="Times New Roman"/>
                <w:i/>
                <w:iCs/>
                <w:sz w:val="20"/>
                <w:szCs w:val="20"/>
                <w:lang w:eastAsia="pl-PL"/>
              </w:rPr>
              <w:t>Wzmocnienie powiązań i układów funkcjonalnych</w:t>
            </w:r>
          </w:p>
          <w:p w14:paraId="704DEB5B" w14:textId="5D54A793" w:rsidR="00A17173" w:rsidRPr="00D86B95" w:rsidRDefault="00DF11E4" w:rsidP="00E15165">
            <w:pPr>
              <w:spacing w:after="0" w:line="276" w:lineRule="auto"/>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sz w:val="20"/>
                <w:szCs w:val="20"/>
                <w:lang w:eastAsia="pl-PL"/>
              </w:rPr>
              <w:lastRenderedPageBreak/>
              <w:t xml:space="preserve">Cel strategiczny 3. </w:t>
            </w:r>
            <w:r>
              <w:rPr>
                <w:rFonts w:ascii="Times New Roman" w:eastAsia="Times New Roman" w:hAnsi="Times New Roman" w:cs="Times New Roman"/>
                <w:i/>
                <w:iCs/>
                <w:sz w:val="20"/>
                <w:szCs w:val="20"/>
                <w:lang w:eastAsia="pl-PL"/>
              </w:rPr>
              <w:t>Innowacyjny rozwój gospodarki oparty o zasoby i potencjał</w:t>
            </w:r>
            <w:r w:rsidR="00E041C6">
              <w:rPr>
                <w:rFonts w:ascii="Times New Roman" w:eastAsia="Times New Roman" w:hAnsi="Times New Roman" w:cs="Times New Roman"/>
                <w:i/>
                <w:iCs/>
                <w:sz w:val="20"/>
                <w:szCs w:val="20"/>
                <w:lang w:eastAsia="pl-PL"/>
              </w:rPr>
              <w:t>y</w:t>
            </w:r>
            <w:r>
              <w:rPr>
                <w:rFonts w:ascii="Times New Roman" w:eastAsia="Times New Roman" w:hAnsi="Times New Roman" w:cs="Times New Roman"/>
                <w:i/>
                <w:iCs/>
                <w:sz w:val="20"/>
                <w:szCs w:val="20"/>
                <w:lang w:eastAsia="pl-PL"/>
              </w:rPr>
              <w:t xml:space="preserve"> regionu</w:t>
            </w:r>
          </w:p>
          <w:p w14:paraId="784AF5F8" w14:textId="6E3AE426" w:rsidR="00A17173" w:rsidRPr="00DF11E4" w:rsidRDefault="00DF11E4" w:rsidP="00E15165">
            <w:pPr>
              <w:spacing w:after="0" w:line="276" w:lineRule="auto"/>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sz w:val="20"/>
                <w:szCs w:val="20"/>
                <w:lang w:eastAsia="pl-PL"/>
              </w:rPr>
              <w:t xml:space="preserve">Cel strategiczny 4. </w:t>
            </w:r>
            <w:r>
              <w:rPr>
                <w:rFonts w:ascii="Times New Roman" w:eastAsia="Times New Roman" w:hAnsi="Times New Roman" w:cs="Times New Roman"/>
                <w:i/>
                <w:iCs/>
                <w:sz w:val="20"/>
                <w:szCs w:val="20"/>
                <w:lang w:eastAsia="pl-PL"/>
              </w:rPr>
              <w:t>Wzmacnianie kapitału społecznego</w:t>
            </w:r>
          </w:p>
          <w:p w14:paraId="73B10CD7" w14:textId="2E678410" w:rsidR="00A17173" w:rsidRPr="00620AEC" w:rsidRDefault="00DF11E4" w:rsidP="00E15165">
            <w:pPr>
              <w:spacing w:line="276" w:lineRule="auto"/>
              <w:jc w:val="both"/>
              <w:rPr>
                <w:rFonts w:eastAsia="Calibri"/>
                <w:sz w:val="20"/>
                <w:szCs w:val="20"/>
              </w:rPr>
            </w:pPr>
            <w:r>
              <w:rPr>
                <w:rFonts w:ascii="Times New Roman" w:hAnsi="Times New Roman" w:cs="Times New Roman"/>
                <w:sz w:val="20"/>
                <w:szCs w:val="20"/>
              </w:rPr>
              <w:t xml:space="preserve">Wszystkie zaplanowane do realizacji w ramach LSR przedsięwzięcia wpisują się bezpośrednio lub pośrednio w ww. cele. Najmocniej skorelowanym z założeniami LSR celem SRWL 2030 jest cel strategiczny 4 </w:t>
            </w:r>
            <w:r>
              <w:rPr>
                <w:rFonts w:ascii="Times New Roman" w:hAnsi="Times New Roman" w:cs="Times New Roman"/>
                <w:i/>
                <w:iCs/>
                <w:sz w:val="20"/>
                <w:szCs w:val="20"/>
              </w:rPr>
              <w:t>Wzmacnianie</w:t>
            </w:r>
            <w:r w:rsidR="00CE69D1">
              <w:rPr>
                <w:rFonts w:ascii="Times New Roman" w:hAnsi="Times New Roman" w:cs="Times New Roman"/>
                <w:i/>
                <w:iCs/>
                <w:sz w:val="20"/>
                <w:szCs w:val="20"/>
              </w:rPr>
              <w:t xml:space="preserve"> kapitału społecznego</w:t>
            </w:r>
            <w:r>
              <w:rPr>
                <w:rFonts w:ascii="Times New Roman" w:hAnsi="Times New Roman" w:cs="Times New Roman"/>
                <w:i/>
                <w:iCs/>
                <w:sz w:val="20"/>
                <w:szCs w:val="20"/>
              </w:rPr>
              <w:t xml:space="preserve">, </w:t>
            </w:r>
            <w:r>
              <w:rPr>
                <w:rFonts w:ascii="Times New Roman" w:hAnsi="Times New Roman" w:cs="Times New Roman"/>
                <w:sz w:val="20"/>
                <w:szCs w:val="20"/>
              </w:rPr>
              <w:t xml:space="preserve">który w swoich celach operacyjnych odnosi się do silnego kapitału społecznego </w:t>
            </w:r>
            <w:r w:rsidR="00CE69D1">
              <w:rPr>
                <w:rFonts w:ascii="Times New Roman" w:hAnsi="Times New Roman" w:cs="Times New Roman"/>
                <w:sz w:val="20"/>
                <w:szCs w:val="20"/>
              </w:rPr>
              <w:br/>
            </w:r>
            <w:r>
              <w:rPr>
                <w:rFonts w:ascii="Times New Roman" w:hAnsi="Times New Roman" w:cs="Times New Roman"/>
                <w:sz w:val="20"/>
                <w:szCs w:val="20"/>
              </w:rPr>
              <w:t xml:space="preserve">w regionie, powszechnie dostępnych wysokiej jakości usług społecznych </w:t>
            </w:r>
            <w:r w:rsidR="00CE69D1">
              <w:rPr>
                <w:rFonts w:ascii="Times New Roman" w:hAnsi="Times New Roman" w:cs="Times New Roman"/>
                <w:sz w:val="20"/>
                <w:szCs w:val="20"/>
              </w:rPr>
              <w:br/>
            </w:r>
            <w:r>
              <w:rPr>
                <w:rFonts w:ascii="Times New Roman" w:hAnsi="Times New Roman" w:cs="Times New Roman"/>
                <w:sz w:val="20"/>
                <w:szCs w:val="20"/>
              </w:rPr>
              <w:t xml:space="preserve">i zdrowotnych w środowisku lokalnym oraz wzmocnienia spójności przestrzennej </w:t>
            </w:r>
            <w:r w:rsidR="00CE69D1">
              <w:rPr>
                <w:rFonts w:ascii="Times New Roman" w:hAnsi="Times New Roman" w:cs="Times New Roman"/>
                <w:sz w:val="20"/>
                <w:szCs w:val="20"/>
              </w:rPr>
              <w:br/>
            </w:r>
            <w:r>
              <w:rPr>
                <w:rFonts w:ascii="Times New Roman" w:hAnsi="Times New Roman" w:cs="Times New Roman"/>
                <w:sz w:val="20"/>
                <w:szCs w:val="20"/>
              </w:rPr>
              <w:t>i społecznej regionu. Główny cel LSR odnosi się właśnie do kapitału społecznego, tak jak jeden z celów szczegółowych strategii regionalnej. W LSR przewidziano działania, które przyczynią się do zwiększenia poczucia tożsamości mieszkańców, poprawy warunków dla zwiększenia aktywności społecznej mieszkańców i rozwoju instytucji kultury</w:t>
            </w:r>
            <w:r w:rsidR="0036583C">
              <w:rPr>
                <w:rFonts w:ascii="Times New Roman" w:hAnsi="Times New Roman" w:cs="Times New Roman"/>
                <w:sz w:val="20"/>
                <w:szCs w:val="20"/>
              </w:rPr>
              <w:t>, a także promowania zdrowego trybu życia</w:t>
            </w:r>
            <w:r w:rsidR="008F0E43">
              <w:rPr>
                <w:rFonts w:ascii="Times New Roman" w:hAnsi="Times New Roman" w:cs="Times New Roman"/>
                <w:sz w:val="20"/>
                <w:szCs w:val="20"/>
              </w:rPr>
              <w:t xml:space="preserve"> </w:t>
            </w:r>
            <w:r w:rsidR="0036583C">
              <w:rPr>
                <w:rFonts w:ascii="Times New Roman" w:hAnsi="Times New Roman" w:cs="Times New Roman"/>
                <w:sz w:val="20"/>
                <w:szCs w:val="20"/>
              </w:rPr>
              <w:t>oraz wspierani</w:t>
            </w:r>
            <w:r w:rsidR="00E041C6">
              <w:rPr>
                <w:rFonts w:ascii="Times New Roman" w:hAnsi="Times New Roman" w:cs="Times New Roman"/>
                <w:sz w:val="20"/>
                <w:szCs w:val="20"/>
              </w:rPr>
              <w:t>a</w:t>
            </w:r>
            <w:r w:rsidR="0036583C">
              <w:rPr>
                <w:rFonts w:ascii="Times New Roman" w:hAnsi="Times New Roman" w:cs="Times New Roman"/>
                <w:sz w:val="20"/>
                <w:szCs w:val="20"/>
              </w:rPr>
              <w:t xml:space="preserve"> uczenia się przez całe życie </w:t>
            </w:r>
            <w:r w:rsidR="008F0E43">
              <w:rPr>
                <w:rFonts w:ascii="Times New Roman" w:hAnsi="Times New Roman" w:cs="Times New Roman"/>
                <w:sz w:val="20"/>
                <w:szCs w:val="20"/>
              </w:rPr>
              <w:t>– są to efekty wprost powiązane z kierunkami działań SRWL 2030 określonymi dla cel</w:t>
            </w:r>
            <w:r w:rsidR="0036583C">
              <w:rPr>
                <w:rFonts w:ascii="Times New Roman" w:hAnsi="Times New Roman" w:cs="Times New Roman"/>
                <w:sz w:val="20"/>
                <w:szCs w:val="20"/>
              </w:rPr>
              <w:t>ów</w:t>
            </w:r>
            <w:r w:rsidR="008F0E43">
              <w:rPr>
                <w:rFonts w:ascii="Times New Roman" w:hAnsi="Times New Roman" w:cs="Times New Roman"/>
                <w:sz w:val="20"/>
                <w:szCs w:val="20"/>
              </w:rPr>
              <w:t xml:space="preserve"> operacyjn</w:t>
            </w:r>
            <w:r w:rsidR="0036583C">
              <w:rPr>
                <w:rFonts w:ascii="Times New Roman" w:hAnsi="Times New Roman" w:cs="Times New Roman"/>
                <w:sz w:val="20"/>
                <w:szCs w:val="20"/>
              </w:rPr>
              <w:t>ych</w:t>
            </w:r>
            <w:r w:rsidR="008F0E43">
              <w:rPr>
                <w:rFonts w:ascii="Times New Roman" w:hAnsi="Times New Roman" w:cs="Times New Roman"/>
                <w:sz w:val="20"/>
                <w:szCs w:val="20"/>
              </w:rPr>
              <w:t xml:space="preserve"> 4.1. </w:t>
            </w:r>
            <w:r w:rsidR="008F0E43">
              <w:rPr>
                <w:rFonts w:ascii="Times New Roman" w:hAnsi="Times New Roman" w:cs="Times New Roman"/>
                <w:i/>
                <w:iCs/>
                <w:sz w:val="20"/>
                <w:szCs w:val="20"/>
              </w:rPr>
              <w:t>Rozwijanie kapitału ludzkiego</w:t>
            </w:r>
            <w:r w:rsidR="0036583C">
              <w:rPr>
                <w:rFonts w:ascii="Times New Roman" w:hAnsi="Times New Roman" w:cs="Times New Roman"/>
                <w:i/>
                <w:iCs/>
                <w:sz w:val="20"/>
                <w:szCs w:val="20"/>
              </w:rPr>
              <w:t xml:space="preserve"> </w:t>
            </w:r>
            <w:r w:rsidR="0036583C">
              <w:rPr>
                <w:rFonts w:ascii="Times New Roman" w:hAnsi="Times New Roman" w:cs="Times New Roman"/>
                <w:sz w:val="20"/>
                <w:szCs w:val="20"/>
              </w:rPr>
              <w:t>o</w:t>
            </w:r>
            <w:r w:rsidR="008F0E43">
              <w:rPr>
                <w:rFonts w:ascii="Times New Roman" w:hAnsi="Times New Roman" w:cs="Times New Roman"/>
                <w:sz w:val="20"/>
                <w:szCs w:val="20"/>
              </w:rPr>
              <w:t xml:space="preserve">raz 4.3. </w:t>
            </w:r>
            <w:r w:rsidR="008F0E43">
              <w:rPr>
                <w:rFonts w:ascii="Times New Roman" w:hAnsi="Times New Roman" w:cs="Times New Roman"/>
                <w:i/>
                <w:iCs/>
                <w:sz w:val="20"/>
                <w:szCs w:val="20"/>
              </w:rPr>
              <w:t>Włączenie i integracja społeczna.</w:t>
            </w:r>
            <w:r>
              <w:rPr>
                <w:rFonts w:ascii="Times New Roman" w:hAnsi="Times New Roman" w:cs="Times New Roman"/>
                <w:sz w:val="20"/>
                <w:szCs w:val="20"/>
              </w:rPr>
              <w:t xml:space="preserve"> </w:t>
            </w:r>
            <w:r w:rsidR="0036583C">
              <w:rPr>
                <w:rFonts w:ascii="Times New Roman" w:hAnsi="Times New Roman" w:cs="Times New Roman"/>
                <w:sz w:val="20"/>
                <w:szCs w:val="20"/>
              </w:rPr>
              <w:t>Ponadto w ramach celu LSR przewiduje się premiowanie innowacyjnych rozwiązań, zaś s</w:t>
            </w:r>
            <w:r w:rsidR="008F0E43">
              <w:rPr>
                <w:rFonts w:ascii="Times New Roman" w:hAnsi="Times New Roman" w:cs="Times New Roman"/>
                <w:sz w:val="20"/>
                <w:szCs w:val="20"/>
              </w:rPr>
              <w:t xml:space="preserve">ama idea podejścia LEADER oraz zaplanowane w LSR przedsięwzięcia, w tym operacja własna, która polegać będzie na kojarzeniu partnerów i animowaniu do realizacji projektów w partnerstwie, są czynnikami pozwalającymi stwierdzić, że cel LSR jest spójny również z celem operacyjnym 4.6. </w:t>
            </w:r>
            <w:r w:rsidR="008F0E43">
              <w:rPr>
                <w:rFonts w:ascii="Times New Roman" w:hAnsi="Times New Roman" w:cs="Times New Roman"/>
                <w:i/>
                <w:iCs/>
                <w:sz w:val="20"/>
                <w:szCs w:val="20"/>
              </w:rPr>
              <w:t xml:space="preserve">Wspieranie inicjatywach oddolnych i poprawa efektywności zarzadzania. </w:t>
            </w:r>
            <w:r>
              <w:rPr>
                <w:rFonts w:ascii="Times New Roman" w:hAnsi="Times New Roman" w:cs="Times New Roman"/>
                <w:sz w:val="20"/>
                <w:szCs w:val="20"/>
              </w:rPr>
              <w:t>LGD przewidziała w ramach wdrażania LSR wsparcie na podejmowanie i rozwój działalności gospodarczej</w:t>
            </w:r>
            <w:r w:rsidR="00E041C6">
              <w:rPr>
                <w:rFonts w:ascii="Times New Roman" w:hAnsi="Times New Roman" w:cs="Times New Roman"/>
                <w:sz w:val="20"/>
                <w:szCs w:val="20"/>
              </w:rPr>
              <w:t>,</w:t>
            </w:r>
            <w:r>
              <w:rPr>
                <w:rFonts w:ascii="Times New Roman" w:hAnsi="Times New Roman" w:cs="Times New Roman"/>
                <w:sz w:val="20"/>
                <w:szCs w:val="20"/>
              </w:rPr>
              <w:t xml:space="preserve"> co z kolei powiązane jest </w:t>
            </w:r>
            <w:r w:rsidR="0036583C">
              <w:rPr>
                <w:rFonts w:ascii="Times New Roman" w:hAnsi="Times New Roman" w:cs="Times New Roman"/>
                <w:sz w:val="20"/>
                <w:szCs w:val="20"/>
              </w:rPr>
              <w:br/>
            </w:r>
            <w:r>
              <w:rPr>
                <w:rFonts w:ascii="Times New Roman" w:hAnsi="Times New Roman" w:cs="Times New Roman"/>
                <w:sz w:val="20"/>
                <w:szCs w:val="20"/>
              </w:rPr>
              <w:t xml:space="preserve">z celem </w:t>
            </w:r>
            <w:r w:rsidR="00CE69D1">
              <w:rPr>
                <w:rFonts w:ascii="Times New Roman" w:hAnsi="Times New Roman" w:cs="Times New Roman"/>
                <w:sz w:val="20"/>
                <w:szCs w:val="20"/>
              </w:rPr>
              <w:t>strategicznym 3</w:t>
            </w:r>
            <w:r>
              <w:rPr>
                <w:rFonts w:ascii="Times New Roman" w:hAnsi="Times New Roman" w:cs="Times New Roman"/>
                <w:sz w:val="20"/>
                <w:szCs w:val="20"/>
              </w:rPr>
              <w:t xml:space="preserve"> SRW</w:t>
            </w:r>
            <w:r w:rsidR="00CE69D1">
              <w:rPr>
                <w:rFonts w:ascii="Times New Roman" w:hAnsi="Times New Roman" w:cs="Times New Roman"/>
                <w:sz w:val="20"/>
                <w:szCs w:val="20"/>
              </w:rPr>
              <w:t>L</w:t>
            </w:r>
            <w:r>
              <w:rPr>
                <w:rFonts w:ascii="Times New Roman" w:hAnsi="Times New Roman" w:cs="Times New Roman"/>
                <w:sz w:val="20"/>
                <w:szCs w:val="20"/>
              </w:rPr>
              <w:t xml:space="preserve"> 2030 </w:t>
            </w:r>
            <w:r w:rsidR="00CE69D1">
              <w:rPr>
                <w:rFonts w:ascii="Times New Roman" w:hAnsi="Times New Roman" w:cs="Times New Roman"/>
                <w:i/>
                <w:iCs/>
                <w:sz w:val="20"/>
                <w:szCs w:val="20"/>
              </w:rPr>
              <w:t xml:space="preserve">Innowacyjny rozwój gospodarki oparty </w:t>
            </w:r>
            <w:r w:rsidR="0036583C">
              <w:rPr>
                <w:rFonts w:ascii="Times New Roman" w:hAnsi="Times New Roman" w:cs="Times New Roman"/>
                <w:i/>
                <w:iCs/>
                <w:sz w:val="20"/>
                <w:szCs w:val="20"/>
              </w:rPr>
              <w:br/>
            </w:r>
            <w:r w:rsidR="00CE69D1">
              <w:rPr>
                <w:rFonts w:ascii="Times New Roman" w:hAnsi="Times New Roman" w:cs="Times New Roman"/>
                <w:i/>
                <w:iCs/>
                <w:sz w:val="20"/>
                <w:szCs w:val="20"/>
              </w:rPr>
              <w:t>o zasoby i potencjały regionu</w:t>
            </w:r>
            <w:r w:rsidR="0036583C">
              <w:rPr>
                <w:rFonts w:ascii="Times New Roman" w:hAnsi="Times New Roman" w:cs="Times New Roman"/>
                <w:i/>
                <w:iCs/>
                <w:sz w:val="20"/>
                <w:szCs w:val="20"/>
              </w:rPr>
              <w:t xml:space="preserve"> </w:t>
            </w:r>
            <w:r w:rsidR="0036583C">
              <w:rPr>
                <w:rFonts w:ascii="Times New Roman" w:hAnsi="Times New Roman" w:cs="Times New Roman"/>
                <w:sz w:val="20"/>
                <w:szCs w:val="20"/>
              </w:rPr>
              <w:t xml:space="preserve">szczególnie w zakresie celu operacyjnego 3.4. </w:t>
            </w:r>
            <w:r w:rsidR="0036583C">
              <w:rPr>
                <w:rFonts w:ascii="Times New Roman" w:hAnsi="Times New Roman" w:cs="Times New Roman"/>
                <w:i/>
                <w:iCs/>
                <w:sz w:val="20"/>
                <w:szCs w:val="20"/>
              </w:rPr>
              <w:t>Innowacyjne wykorzystanie walorów przyrodniczo</w:t>
            </w:r>
            <w:r w:rsidR="00E041C6">
              <w:rPr>
                <w:rFonts w:ascii="Times New Roman" w:hAnsi="Times New Roman" w:cs="Times New Roman"/>
                <w:i/>
                <w:iCs/>
                <w:sz w:val="20"/>
                <w:szCs w:val="20"/>
              </w:rPr>
              <w:t>-</w:t>
            </w:r>
            <w:r w:rsidR="0036583C">
              <w:rPr>
                <w:rFonts w:ascii="Times New Roman" w:hAnsi="Times New Roman" w:cs="Times New Roman"/>
                <w:i/>
                <w:iCs/>
                <w:sz w:val="20"/>
                <w:szCs w:val="20"/>
              </w:rPr>
              <w:t xml:space="preserve">kulturowych, rozwój sportu </w:t>
            </w:r>
            <w:r w:rsidR="0036583C">
              <w:rPr>
                <w:rFonts w:ascii="Times New Roman" w:hAnsi="Times New Roman" w:cs="Times New Roman"/>
                <w:i/>
                <w:iCs/>
                <w:sz w:val="20"/>
                <w:szCs w:val="20"/>
              </w:rPr>
              <w:br/>
              <w:t>i usług czasu wolnego.</w:t>
            </w:r>
          </w:p>
        </w:tc>
      </w:tr>
      <w:tr w:rsidR="00A17173" w:rsidRPr="001721AD" w14:paraId="19C467CE" w14:textId="77777777" w:rsidTr="00E15165">
        <w:trPr>
          <w:trHeight w:val="340"/>
          <w:jc w:val="center"/>
        </w:trPr>
        <w:tc>
          <w:tcPr>
            <w:tcW w:w="3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C1974" w14:textId="77777777" w:rsidR="00A17173" w:rsidRDefault="00A17173" w:rsidP="00E15165">
            <w:pPr>
              <w:suppressAutoHyphens/>
              <w:autoSpaceDN w:val="0"/>
              <w:spacing w:after="0" w:line="276" w:lineRule="auto"/>
              <w:ind w:left="-112"/>
              <w:jc w:val="center"/>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1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93FD3" w14:textId="3A5A12AF" w:rsidR="00A17173" w:rsidRDefault="00A17173" w:rsidP="00E15165">
            <w:pPr>
              <w:suppressAutoHyphens/>
              <w:autoSpaceDN w:val="0"/>
              <w:spacing w:after="0" w:line="276" w:lineRule="auto"/>
              <w:jc w:val="center"/>
              <w:textAlignment w:val="baseline"/>
              <w:rPr>
                <w:rFonts w:ascii="Times New Roman" w:eastAsia="Calibri" w:hAnsi="Times New Roman" w:cs="Times New Roman"/>
                <w:i/>
                <w:iCs/>
                <w:sz w:val="20"/>
                <w:szCs w:val="20"/>
              </w:rPr>
            </w:pPr>
            <w:r w:rsidRPr="00D6215D">
              <w:rPr>
                <w:rFonts w:ascii="Times New Roman" w:eastAsia="Calibri" w:hAnsi="Times New Roman" w:cs="Times New Roman"/>
                <w:i/>
                <w:iCs/>
                <w:sz w:val="20"/>
                <w:szCs w:val="20"/>
              </w:rPr>
              <w:t>Plan Zagospodarowania</w:t>
            </w:r>
            <w:r w:rsidRPr="00D6215D">
              <w:rPr>
                <w:rFonts w:ascii="Times New Roman" w:eastAsia="Calibri" w:hAnsi="Times New Roman" w:cs="Times New Roman"/>
                <w:i/>
                <w:iCs/>
                <w:sz w:val="20"/>
                <w:szCs w:val="20"/>
              </w:rPr>
              <w:br/>
              <w:t>Przestrzennego</w:t>
            </w:r>
            <w:r w:rsidRPr="00D6215D">
              <w:rPr>
                <w:rFonts w:ascii="Times New Roman" w:eastAsia="Calibri" w:hAnsi="Times New Roman" w:cs="Times New Roman"/>
                <w:i/>
                <w:iCs/>
                <w:sz w:val="20"/>
                <w:szCs w:val="20"/>
              </w:rPr>
              <w:br/>
              <w:t>Województwa</w:t>
            </w:r>
            <w:r w:rsidRPr="00D6215D">
              <w:rPr>
                <w:rFonts w:ascii="Times New Roman" w:eastAsia="Calibri" w:hAnsi="Times New Roman" w:cs="Times New Roman"/>
                <w:i/>
                <w:iCs/>
                <w:sz w:val="20"/>
                <w:szCs w:val="20"/>
              </w:rPr>
              <w:br/>
            </w:r>
            <w:r w:rsidR="0036583C">
              <w:rPr>
                <w:rFonts w:ascii="Times New Roman" w:eastAsia="Calibri" w:hAnsi="Times New Roman" w:cs="Times New Roman"/>
                <w:i/>
                <w:iCs/>
                <w:sz w:val="20"/>
                <w:szCs w:val="20"/>
              </w:rPr>
              <w:t>Lubelskieg</w:t>
            </w:r>
            <w:r w:rsidRPr="00D6215D">
              <w:rPr>
                <w:rFonts w:ascii="Times New Roman" w:eastAsia="Calibri" w:hAnsi="Times New Roman" w:cs="Times New Roman"/>
                <w:i/>
                <w:iCs/>
                <w:sz w:val="20"/>
                <w:szCs w:val="20"/>
              </w:rPr>
              <w:t>o</w:t>
            </w:r>
            <w:r>
              <w:rPr>
                <w:rStyle w:val="Odwoanieprzypisudolnego"/>
                <w:rFonts w:ascii="Times New Roman" w:eastAsia="Calibri" w:hAnsi="Times New Roman" w:cs="Times New Roman"/>
                <w:i/>
                <w:iCs/>
                <w:sz w:val="20"/>
                <w:szCs w:val="20"/>
              </w:rPr>
              <w:footnoteReference w:id="38"/>
            </w:r>
            <w:r>
              <w:br/>
            </w:r>
            <w:r w:rsidRPr="00D6215D">
              <w:rPr>
                <w:rStyle w:val="markedcontent"/>
                <w:rFonts w:ascii="Times New Roman" w:hAnsi="Times New Roman" w:cs="Times New Roman"/>
                <w:sz w:val="20"/>
                <w:szCs w:val="20"/>
              </w:rPr>
              <w:t>(PZPW</w:t>
            </w:r>
            <w:r w:rsidR="0036583C">
              <w:rPr>
                <w:rStyle w:val="markedcontent"/>
                <w:rFonts w:ascii="Times New Roman" w:hAnsi="Times New Roman" w:cs="Times New Roman"/>
                <w:sz w:val="20"/>
                <w:szCs w:val="20"/>
              </w:rPr>
              <w:t>L</w:t>
            </w:r>
            <w:r w:rsidRPr="00D6215D">
              <w:rPr>
                <w:rStyle w:val="markedcontent"/>
                <w:rFonts w:ascii="Times New Roman" w:hAnsi="Times New Roman" w:cs="Times New Roman"/>
                <w:sz w:val="20"/>
                <w:szCs w:val="20"/>
              </w:rPr>
              <w:t>)</w:t>
            </w:r>
          </w:p>
        </w:tc>
        <w:tc>
          <w:tcPr>
            <w:tcW w:w="33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23C78" w14:textId="5F3C7057" w:rsidR="00A17173" w:rsidRDefault="00A17173" w:rsidP="00E15165">
            <w:pPr>
              <w:suppressAutoHyphens/>
              <w:autoSpaceDN w:val="0"/>
              <w:spacing w:after="0" w:line="276"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i/>
                <w:iCs/>
                <w:sz w:val="20"/>
                <w:szCs w:val="20"/>
              </w:rPr>
              <w:t xml:space="preserve">Plan Zagospodarowania Przestrzennego Województwa </w:t>
            </w:r>
            <w:r w:rsidR="0008142C">
              <w:rPr>
                <w:rFonts w:ascii="Times New Roman" w:eastAsia="Calibri" w:hAnsi="Times New Roman" w:cs="Times New Roman"/>
                <w:i/>
                <w:iCs/>
                <w:sz w:val="20"/>
                <w:szCs w:val="20"/>
              </w:rPr>
              <w:t>Lubelskiego</w:t>
            </w:r>
            <w:r>
              <w:rPr>
                <w:rFonts w:ascii="Times New Roman" w:eastAsia="Calibri" w:hAnsi="Times New Roman" w:cs="Times New Roman"/>
                <w:i/>
                <w:iCs/>
                <w:sz w:val="20"/>
                <w:szCs w:val="20"/>
              </w:rPr>
              <w:t xml:space="preserve"> </w:t>
            </w:r>
            <w:r w:rsidR="0008142C">
              <w:rPr>
                <w:rFonts w:ascii="Times New Roman" w:eastAsia="Calibri" w:hAnsi="Times New Roman" w:cs="Times New Roman"/>
                <w:sz w:val="20"/>
                <w:szCs w:val="20"/>
              </w:rPr>
              <w:t>j</w:t>
            </w:r>
            <w:r w:rsidR="0008142C" w:rsidRPr="0008142C">
              <w:rPr>
                <w:rFonts w:ascii="Times New Roman" w:eastAsia="Calibri" w:hAnsi="Times New Roman" w:cs="Times New Roman"/>
                <w:sz w:val="20"/>
                <w:szCs w:val="20"/>
              </w:rPr>
              <w:t>est dokumentem</w:t>
            </w:r>
            <w:r w:rsidR="0008142C">
              <w:rPr>
                <w:rFonts w:ascii="Times New Roman" w:eastAsia="Calibri" w:hAnsi="Times New Roman" w:cs="Times New Roman"/>
                <w:sz w:val="20"/>
                <w:szCs w:val="20"/>
              </w:rPr>
              <w:t xml:space="preserve"> </w:t>
            </w:r>
            <w:r w:rsidR="0008142C" w:rsidRPr="0008142C">
              <w:rPr>
                <w:rFonts w:ascii="Times New Roman" w:eastAsia="Calibri" w:hAnsi="Times New Roman" w:cs="Times New Roman"/>
                <w:sz w:val="20"/>
                <w:szCs w:val="20"/>
              </w:rPr>
              <w:t>o charakterze długookresowym, stanowiącym element krajowego systemu planowania</w:t>
            </w:r>
            <w:r w:rsidR="0008142C">
              <w:rPr>
                <w:rFonts w:ascii="Times New Roman" w:eastAsia="Calibri" w:hAnsi="Times New Roman" w:cs="Times New Roman"/>
                <w:sz w:val="20"/>
                <w:szCs w:val="20"/>
              </w:rPr>
              <w:t xml:space="preserve"> </w:t>
            </w:r>
            <w:r w:rsidR="0008142C" w:rsidRPr="0008142C">
              <w:rPr>
                <w:rFonts w:ascii="Times New Roman" w:eastAsia="Calibri" w:hAnsi="Times New Roman" w:cs="Times New Roman"/>
                <w:sz w:val="20"/>
                <w:szCs w:val="20"/>
              </w:rPr>
              <w:t>przestrzennego. Określa on zasady i kierunki kształtowania struktury funkcjonalno-przestrzennej</w:t>
            </w:r>
            <w:r w:rsidR="0008142C">
              <w:rPr>
                <w:rFonts w:ascii="Times New Roman" w:eastAsia="Calibri" w:hAnsi="Times New Roman" w:cs="Times New Roman"/>
                <w:sz w:val="20"/>
                <w:szCs w:val="20"/>
              </w:rPr>
              <w:t xml:space="preserve"> </w:t>
            </w:r>
            <w:r w:rsidR="0008142C" w:rsidRPr="0008142C">
              <w:rPr>
                <w:rFonts w:ascii="Times New Roman" w:eastAsia="Calibri" w:hAnsi="Times New Roman" w:cs="Times New Roman"/>
                <w:sz w:val="20"/>
                <w:szCs w:val="20"/>
              </w:rPr>
              <w:t>regionu oraz działania służące realizacji ponadlokalnych celów publicznych stanowiąc formalną</w:t>
            </w:r>
            <w:r w:rsidR="0008142C">
              <w:rPr>
                <w:rFonts w:ascii="Times New Roman" w:eastAsia="Calibri" w:hAnsi="Times New Roman" w:cs="Times New Roman"/>
                <w:sz w:val="20"/>
                <w:szCs w:val="20"/>
              </w:rPr>
              <w:t xml:space="preserve"> </w:t>
            </w:r>
            <w:r w:rsidR="0008142C" w:rsidRPr="0008142C">
              <w:rPr>
                <w:rFonts w:ascii="Times New Roman" w:eastAsia="Calibri" w:hAnsi="Times New Roman" w:cs="Times New Roman"/>
                <w:sz w:val="20"/>
                <w:szCs w:val="20"/>
              </w:rPr>
              <w:t>i merytoryczną płaszczyznę odniesienia dla podejmowanych decyzji przestrzennych.</w:t>
            </w:r>
            <w:r w:rsidR="0008142C">
              <w:rPr>
                <w:rStyle w:val="markedcontent"/>
                <w:rFonts w:ascii="Arial" w:hAnsi="Arial" w:cs="Arial"/>
              </w:rPr>
              <w:t xml:space="preserve"> </w:t>
            </w:r>
            <w:r>
              <w:rPr>
                <w:rFonts w:ascii="Times New Roman" w:eastAsia="Calibri" w:hAnsi="Times New Roman" w:cs="Times New Roman"/>
                <w:sz w:val="20"/>
                <w:szCs w:val="20"/>
              </w:rPr>
              <w:t>W dokumencie został określony cel</w:t>
            </w:r>
            <w:r w:rsidR="0008142C">
              <w:rPr>
                <w:rFonts w:ascii="Times New Roman" w:eastAsia="Calibri" w:hAnsi="Times New Roman" w:cs="Times New Roman"/>
                <w:sz w:val="20"/>
                <w:szCs w:val="20"/>
              </w:rPr>
              <w:t xml:space="preserve"> wiodący</w:t>
            </w:r>
            <w:r w:rsidR="00E041C6">
              <w:rPr>
                <w:rFonts w:ascii="Times New Roman" w:eastAsia="Calibri" w:hAnsi="Times New Roman" w:cs="Times New Roman"/>
                <w:sz w:val="20"/>
                <w:szCs w:val="20"/>
              </w:rPr>
              <w:t>,</w:t>
            </w:r>
            <w:r w:rsidR="0008142C">
              <w:rPr>
                <w:rFonts w:ascii="Times New Roman" w:eastAsia="Calibri" w:hAnsi="Times New Roman" w:cs="Times New Roman"/>
                <w:sz w:val="20"/>
                <w:szCs w:val="20"/>
              </w:rPr>
              <w:t xml:space="preserve"> za który uznano </w:t>
            </w:r>
            <w:r w:rsidR="0008142C" w:rsidRPr="0008142C">
              <w:rPr>
                <w:rFonts w:ascii="Times New Roman" w:eastAsia="Calibri" w:hAnsi="Times New Roman" w:cs="Times New Roman"/>
                <w:i/>
                <w:iCs/>
                <w:sz w:val="20"/>
                <w:szCs w:val="20"/>
              </w:rPr>
              <w:t>zrównoważony rozwój przestrzenny</w:t>
            </w:r>
            <w:r w:rsidR="0008142C" w:rsidRPr="0008142C">
              <w:rPr>
                <w:rFonts w:ascii="Times New Roman" w:eastAsia="Calibri" w:hAnsi="Times New Roman" w:cs="Times New Roman"/>
                <w:i/>
                <w:iCs/>
                <w:sz w:val="20"/>
                <w:szCs w:val="20"/>
              </w:rPr>
              <w:br/>
              <w:t>regionu prowadzący do podniesienia konkurencyjności województwa i poprawy</w:t>
            </w:r>
            <w:r w:rsidR="0008142C" w:rsidRPr="0008142C">
              <w:rPr>
                <w:rFonts w:ascii="Times New Roman" w:eastAsia="Calibri" w:hAnsi="Times New Roman" w:cs="Times New Roman"/>
                <w:i/>
                <w:iCs/>
                <w:sz w:val="20"/>
                <w:szCs w:val="20"/>
              </w:rPr>
              <w:br/>
              <w:t>warunków życia.</w:t>
            </w:r>
            <w:r w:rsidR="0008142C">
              <w:rPr>
                <w:rFonts w:ascii="Times New Roman" w:eastAsia="Calibri" w:hAnsi="Times New Roman" w:cs="Times New Roman"/>
                <w:i/>
                <w:iCs/>
                <w:sz w:val="20"/>
                <w:szCs w:val="20"/>
              </w:rPr>
              <w:t xml:space="preserve"> </w:t>
            </w:r>
            <w:r w:rsidR="0008142C">
              <w:rPr>
                <w:rFonts w:ascii="Times New Roman" w:eastAsia="Calibri" w:hAnsi="Times New Roman" w:cs="Times New Roman"/>
                <w:sz w:val="20"/>
                <w:szCs w:val="20"/>
              </w:rPr>
              <w:t>W dokumencie zostały również określone dwa priorytety rozwoju przestrzennego:</w:t>
            </w:r>
          </w:p>
          <w:p w14:paraId="5FA46D67" w14:textId="77777777" w:rsidR="0008142C" w:rsidRDefault="0008142C" w:rsidP="00CD2D87">
            <w:pPr>
              <w:pStyle w:val="Akapitzlist"/>
              <w:numPr>
                <w:ilvl w:val="1"/>
                <w:numId w:val="10"/>
              </w:numPr>
              <w:suppressAutoHyphens/>
              <w:autoSpaceDN w:val="0"/>
              <w:spacing w:after="0" w:line="276" w:lineRule="auto"/>
              <w:ind w:left="357" w:hanging="357"/>
              <w:jc w:val="both"/>
              <w:textAlignment w:val="baseline"/>
              <w:rPr>
                <w:rFonts w:ascii="Times New Roman" w:eastAsia="Calibri" w:hAnsi="Times New Roman" w:cs="Times New Roman"/>
                <w:sz w:val="20"/>
                <w:szCs w:val="20"/>
              </w:rPr>
            </w:pPr>
            <w:r w:rsidRPr="0008142C">
              <w:rPr>
                <w:rFonts w:ascii="Times New Roman" w:eastAsia="Calibri" w:hAnsi="Times New Roman" w:cs="Times New Roman"/>
                <w:sz w:val="20"/>
                <w:szCs w:val="20"/>
              </w:rPr>
              <w:t>Wzmacnianie zewnętrznych powiązań sieciowych oraz poprawa spójności</w:t>
            </w:r>
            <w:r w:rsidRPr="0008142C">
              <w:rPr>
                <w:rFonts w:ascii="Times New Roman" w:eastAsia="Calibri" w:hAnsi="Times New Roman" w:cs="Times New Roman"/>
                <w:sz w:val="20"/>
                <w:szCs w:val="20"/>
              </w:rPr>
              <w:br/>
              <w:t>wewnątrzregionalnej w układzie przestrzennym i społeczno-gospodarczym</w:t>
            </w:r>
            <w:r>
              <w:rPr>
                <w:rFonts w:ascii="Times New Roman" w:eastAsia="Calibri" w:hAnsi="Times New Roman" w:cs="Times New Roman"/>
                <w:sz w:val="20"/>
                <w:szCs w:val="20"/>
              </w:rPr>
              <w:t>.</w:t>
            </w:r>
          </w:p>
          <w:p w14:paraId="2DBBC871" w14:textId="7FA01558" w:rsidR="0008142C" w:rsidRPr="0008142C" w:rsidRDefault="0008142C" w:rsidP="00CD2D87">
            <w:pPr>
              <w:pStyle w:val="Akapitzlist"/>
              <w:numPr>
                <w:ilvl w:val="1"/>
                <w:numId w:val="10"/>
              </w:numPr>
              <w:suppressAutoHyphens/>
              <w:autoSpaceDN w:val="0"/>
              <w:spacing w:after="0" w:line="276" w:lineRule="auto"/>
              <w:ind w:left="357" w:hanging="357"/>
              <w:jc w:val="both"/>
              <w:textAlignment w:val="baseline"/>
              <w:rPr>
                <w:rFonts w:ascii="Times New Roman" w:eastAsia="Calibri" w:hAnsi="Times New Roman" w:cs="Times New Roman"/>
                <w:sz w:val="20"/>
                <w:szCs w:val="20"/>
              </w:rPr>
            </w:pPr>
            <w:r w:rsidRPr="0008142C">
              <w:rPr>
                <w:rFonts w:ascii="Times New Roman" w:eastAsia="Calibri" w:hAnsi="Times New Roman" w:cs="Times New Roman"/>
                <w:sz w:val="20"/>
                <w:szCs w:val="20"/>
              </w:rPr>
              <w:t>Wzrost konkurencyjności przestrzeni województwa pod względem atrakcyjności</w:t>
            </w:r>
            <w:r>
              <w:rPr>
                <w:rFonts w:ascii="Times New Roman" w:eastAsia="Calibri" w:hAnsi="Times New Roman" w:cs="Times New Roman"/>
                <w:sz w:val="20"/>
                <w:szCs w:val="20"/>
              </w:rPr>
              <w:t xml:space="preserve"> </w:t>
            </w:r>
            <w:r w:rsidRPr="0008142C">
              <w:rPr>
                <w:rFonts w:ascii="Times New Roman" w:eastAsia="Calibri" w:hAnsi="Times New Roman" w:cs="Times New Roman"/>
                <w:sz w:val="20"/>
                <w:szCs w:val="20"/>
              </w:rPr>
              <w:t>gospodarczej i warunków życia.</w:t>
            </w:r>
          </w:p>
          <w:p w14:paraId="1279229D" w14:textId="54421A2D" w:rsidR="0008142C" w:rsidRPr="0008142C" w:rsidRDefault="00A17173" w:rsidP="00E15165">
            <w:pPr>
              <w:suppressAutoHyphens/>
              <w:autoSpaceDN w:val="0"/>
              <w:spacing w:after="0" w:line="276" w:lineRule="auto"/>
              <w:jc w:val="both"/>
              <w:textAlignment w:val="baseline"/>
              <w:rPr>
                <w:rFonts w:ascii="Times New Roman" w:eastAsia="Calibri" w:hAnsi="Times New Roman" w:cs="Times New Roman"/>
                <w:i/>
                <w:iCs/>
                <w:sz w:val="20"/>
                <w:szCs w:val="20"/>
              </w:rPr>
            </w:pPr>
            <w:r>
              <w:rPr>
                <w:rFonts w:ascii="Times New Roman" w:eastAsia="Calibri" w:hAnsi="Times New Roman" w:cs="Times New Roman"/>
                <w:sz w:val="20"/>
                <w:szCs w:val="20"/>
              </w:rPr>
              <w:t xml:space="preserve">Realizacja powyższego celu </w:t>
            </w:r>
            <w:r w:rsidR="0008142C">
              <w:rPr>
                <w:rFonts w:ascii="Times New Roman" w:eastAsia="Calibri" w:hAnsi="Times New Roman" w:cs="Times New Roman"/>
                <w:sz w:val="20"/>
                <w:szCs w:val="20"/>
              </w:rPr>
              <w:t xml:space="preserve">oraz priorytetów rozwoju </w:t>
            </w:r>
            <w:r>
              <w:rPr>
                <w:rFonts w:ascii="Times New Roman" w:eastAsia="Calibri" w:hAnsi="Times New Roman" w:cs="Times New Roman"/>
                <w:sz w:val="20"/>
                <w:szCs w:val="20"/>
              </w:rPr>
              <w:t>będzie możliwa poprzez</w:t>
            </w:r>
            <w:r w:rsidR="0008142C">
              <w:rPr>
                <w:rFonts w:ascii="Times New Roman" w:eastAsia="Calibri" w:hAnsi="Times New Roman" w:cs="Times New Roman"/>
                <w:sz w:val="20"/>
                <w:szCs w:val="20"/>
              </w:rPr>
              <w:t xml:space="preserve"> cele główne odnoszące się do</w:t>
            </w:r>
            <w:r>
              <w:rPr>
                <w:rFonts w:ascii="Times New Roman" w:eastAsia="Calibri" w:hAnsi="Times New Roman" w:cs="Times New Roman"/>
                <w:sz w:val="20"/>
                <w:szCs w:val="20"/>
              </w:rPr>
              <w:t xml:space="preserve"> </w:t>
            </w:r>
            <w:r w:rsidR="0008142C">
              <w:rPr>
                <w:rFonts w:ascii="Times New Roman" w:eastAsia="Calibri" w:hAnsi="Times New Roman" w:cs="Times New Roman"/>
                <w:sz w:val="20"/>
                <w:szCs w:val="20"/>
              </w:rPr>
              <w:t>6 obszarów,</w:t>
            </w:r>
            <w:r>
              <w:rPr>
                <w:rFonts w:ascii="Times New Roman" w:eastAsia="Calibri" w:hAnsi="Times New Roman" w:cs="Times New Roman"/>
                <w:sz w:val="20"/>
                <w:szCs w:val="20"/>
              </w:rPr>
              <w:t xml:space="preserve"> </w:t>
            </w:r>
            <w:r w:rsidRPr="005E0EF9">
              <w:rPr>
                <w:rFonts w:ascii="Times New Roman" w:eastAsia="Calibri" w:hAnsi="Times New Roman" w:cs="Times New Roman"/>
                <w:sz w:val="20"/>
                <w:szCs w:val="20"/>
              </w:rPr>
              <w:t>których realizacja wymaga skoordynowanych działań na poziomie regionalnym i lokalnym</w:t>
            </w:r>
            <w:r>
              <w:rPr>
                <w:rFonts w:ascii="Times New Roman" w:eastAsia="Calibri" w:hAnsi="Times New Roman" w:cs="Times New Roman"/>
                <w:sz w:val="20"/>
                <w:szCs w:val="20"/>
              </w:rPr>
              <w:t xml:space="preserve">. </w:t>
            </w:r>
            <w:r>
              <w:rPr>
                <w:rFonts w:ascii="Times New Roman" w:hAnsi="Times New Roman" w:cs="Times New Roman"/>
                <w:sz w:val="20"/>
                <w:szCs w:val="20"/>
              </w:rPr>
              <w:t>Te, z którymi najbardziej powiązane są założenia LSR to</w:t>
            </w:r>
            <w:r w:rsidR="0008142C">
              <w:rPr>
                <w:rFonts w:ascii="Times New Roman" w:hAnsi="Times New Roman" w:cs="Times New Roman"/>
                <w:sz w:val="20"/>
                <w:szCs w:val="20"/>
              </w:rPr>
              <w:t>: w obszarze gospodarki cel główny</w:t>
            </w:r>
            <w:r w:rsidR="00E041C6">
              <w:rPr>
                <w:rFonts w:ascii="Times New Roman" w:hAnsi="Times New Roman" w:cs="Times New Roman"/>
                <w:sz w:val="20"/>
                <w:szCs w:val="20"/>
              </w:rPr>
              <w:t>:</w:t>
            </w:r>
            <w:r>
              <w:rPr>
                <w:rFonts w:ascii="Times New Roman" w:hAnsi="Times New Roman" w:cs="Times New Roman"/>
                <w:sz w:val="20"/>
                <w:szCs w:val="20"/>
              </w:rPr>
              <w:t xml:space="preserve"> </w:t>
            </w:r>
            <w:r w:rsidR="0008142C" w:rsidRPr="0008142C">
              <w:rPr>
                <w:rFonts w:ascii="Times New Roman" w:eastAsia="Calibri" w:hAnsi="Times New Roman" w:cs="Times New Roman"/>
                <w:i/>
                <w:iCs/>
                <w:sz w:val="20"/>
                <w:szCs w:val="20"/>
              </w:rPr>
              <w:t>Zwiększenie konkurencyjności gospodarki województwa oraz poprawa jego atrakcyjności</w:t>
            </w:r>
            <w:r w:rsidR="0008142C" w:rsidRPr="0008142C">
              <w:rPr>
                <w:rFonts w:ascii="Times New Roman" w:eastAsia="Calibri" w:hAnsi="Times New Roman" w:cs="Times New Roman"/>
                <w:i/>
                <w:iCs/>
                <w:sz w:val="20"/>
                <w:szCs w:val="20"/>
              </w:rPr>
              <w:br/>
              <w:t>inwestycyjnej</w:t>
            </w:r>
            <w:r w:rsidR="0008142C">
              <w:rPr>
                <w:rFonts w:ascii="Times New Roman" w:eastAsia="Calibri" w:hAnsi="Times New Roman" w:cs="Times New Roman"/>
                <w:i/>
                <w:iCs/>
                <w:sz w:val="20"/>
                <w:szCs w:val="20"/>
              </w:rPr>
              <w:t xml:space="preserve">, </w:t>
            </w:r>
            <w:r w:rsidR="0008142C">
              <w:rPr>
                <w:rFonts w:ascii="Times New Roman" w:eastAsia="Calibri" w:hAnsi="Times New Roman" w:cs="Times New Roman"/>
                <w:sz w:val="20"/>
                <w:szCs w:val="20"/>
              </w:rPr>
              <w:t>w obszarze środowisko kulturowe cel główny</w:t>
            </w:r>
            <w:r w:rsidR="00E041C6">
              <w:rPr>
                <w:rFonts w:ascii="Times New Roman" w:eastAsia="Calibri" w:hAnsi="Times New Roman" w:cs="Times New Roman"/>
                <w:sz w:val="20"/>
                <w:szCs w:val="20"/>
              </w:rPr>
              <w:t>:</w:t>
            </w:r>
            <w:r w:rsidR="0008142C">
              <w:rPr>
                <w:rFonts w:ascii="Times New Roman" w:eastAsia="Calibri" w:hAnsi="Times New Roman" w:cs="Times New Roman"/>
                <w:sz w:val="20"/>
                <w:szCs w:val="20"/>
              </w:rPr>
              <w:t xml:space="preserve"> </w:t>
            </w:r>
            <w:r w:rsidR="0008142C" w:rsidRPr="0008142C">
              <w:rPr>
                <w:rFonts w:ascii="Times New Roman" w:eastAsia="Calibri" w:hAnsi="Times New Roman" w:cs="Times New Roman"/>
                <w:i/>
                <w:iCs/>
                <w:sz w:val="20"/>
                <w:szCs w:val="20"/>
              </w:rPr>
              <w:t>Wzmacnianie tożsamości kulturowej regionu przez ochronę i pielęgnację zasobów kulturowych</w:t>
            </w:r>
            <w:r w:rsidR="0008142C" w:rsidRPr="0008142C">
              <w:rPr>
                <w:rFonts w:ascii="Times New Roman" w:eastAsia="Calibri" w:hAnsi="Times New Roman" w:cs="Times New Roman"/>
                <w:i/>
                <w:iCs/>
                <w:sz w:val="20"/>
                <w:szCs w:val="20"/>
              </w:rPr>
              <w:br/>
              <w:t>oraz ich wzbogacanie walorami współczesnymi</w:t>
            </w:r>
            <w:r w:rsidR="00E041C6">
              <w:rPr>
                <w:rFonts w:ascii="Times New Roman" w:eastAsia="Calibri" w:hAnsi="Times New Roman" w:cs="Times New Roman"/>
                <w:i/>
                <w:iCs/>
                <w:sz w:val="20"/>
                <w:szCs w:val="20"/>
              </w:rPr>
              <w:t>.</w:t>
            </w:r>
          </w:p>
          <w:p w14:paraId="0CA5CE4B" w14:textId="06F30B50" w:rsidR="007359D0" w:rsidRDefault="00A17173" w:rsidP="00E15165">
            <w:pPr>
              <w:suppressAutoHyphens/>
              <w:autoSpaceDN w:val="0"/>
              <w:spacing w:after="0" w:line="276"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Ponadto PZPW</w:t>
            </w:r>
            <w:r w:rsidR="00E041C6">
              <w:rPr>
                <w:rFonts w:ascii="Times New Roman" w:eastAsia="Calibri" w:hAnsi="Times New Roman" w:cs="Times New Roman"/>
                <w:sz w:val="20"/>
                <w:szCs w:val="20"/>
              </w:rPr>
              <w:t>L</w:t>
            </w:r>
            <w:r>
              <w:rPr>
                <w:rFonts w:ascii="Times New Roman" w:eastAsia="Calibri" w:hAnsi="Times New Roman" w:cs="Times New Roman"/>
                <w:sz w:val="20"/>
                <w:szCs w:val="20"/>
              </w:rPr>
              <w:t xml:space="preserve"> wyznacza obszar</w:t>
            </w:r>
            <w:r w:rsidR="007359D0">
              <w:rPr>
                <w:rFonts w:ascii="Times New Roman" w:eastAsia="Calibri" w:hAnsi="Times New Roman" w:cs="Times New Roman"/>
                <w:sz w:val="20"/>
                <w:szCs w:val="20"/>
              </w:rPr>
              <w:t>y</w:t>
            </w:r>
            <w:r>
              <w:rPr>
                <w:rFonts w:ascii="Times New Roman" w:eastAsia="Calibri" w:hAnsi="Times New Roman" w:cs="Times New Roman"/>
                <w:sz w:val="20"/>
                <w:szCs w:val="20"/>
              </w:rPr>
              <w:t xml:space="preserve"> funkcjonaln</w:t>
            </w:r>
            <w:r w:rsidR="007359D0">
              <w:rPr>
                <w:rFonts w:ascii="Times New Roman" w:eastAsia="Calibri" w:hAnsi="Times New Roman" w:cs="Times New Roman"/>
                <w:sz w:val="20"/>
                <w:szCs w:val="20"/>
              </w:rPr>
              <w:t xml:space="preserve">e o znaczeniu regionalnym, </w:t>
            </w:r>
            <w:r>
              <w:rPr>
                <w:rFonts w:ascii="Times New Roman" w:eastAsia="Calibri" w:hAnsi="Times New Roman" w:cs="Times New Roman"/>
                <w:sz w:val="20"/>
                <w:szCs w:val="20"/>
              </w:rPr>
              <w:t>gminy LGD znalazły się w obszar</w:t>
            </w:r>
            <w:r w:rsidR="007359D0">
              <w:rPr>
                <w:rFonts w:ascii="Times New Roman" w:eastAsia="Calibri" w:hAnsi="Times New Roman" w:cs="Times New Roman"/>
                <w:sz w:val="20"/>
                <w:szCs w:val="20"/>
              </w:rPr>
              <w:t xml:space="preserve">ach: </w:t>
            </w:r>
          </w:p>
          <w:p w14:paraId="59B32779" w14:textId="77777777" w:rsidR="007359D0" w:rsidRDefault="007359D0" w:rsidP="00CD2D87">
            <w:pPr>
              <w:pStyle w:val="Akapitzlist"/>
              <w:numPr>
                <w:ilvl w:val="0"/>
                <w:numId w:val="57"/>
              </w:numPr>
              <w:suppressAutoHyphens/>
              <w:autoSpaceDN w:val="0"/>
              <w:spacing w:after="0" w:line="276" w:lineRule="auto"/>
              <w:ind w:left="357" w:hanging="357"/>
              <w:jc w:val="both"/>
              <w:textAlignment w:val="baseline"/>
              <w:rPr>
                <w:rFonts w:ascii="Times New Roman" w:eastAsia="Calibri" w:hAnsi="Times New Roman" w:cs="Times New Roman"/>
                <w:sz w:val="20"/>
                <w:szCs w:val="20"/>
              </w:rPr>
            </w:pPr>
            <w:r w:rsidRPr="007359D0">
              <w:rPr>
                <w:rFonts w:ascii="Times New Roman" w:eastAsia="Calibri" w:hAnsi="Times New Roman" w:cs="Times New Roman"/>
                <w:i/>
                <w:iCs/>
                <w:sz w:val="20"/>
                <w:szCs w:val="20"/>
              </w:rPr>
              <w:lastRenderedPageBreak/>
              <w:t>Miejskie obszary funkcjonalne</w:t>
            </w:r>
            <w:r w:rsidRPr="007359D0">
              <w:rPr>
                <w:rFonts w:ascii="Times New Roman" w:eastAsia="Calibri" w:hAnsi="Times New Roman" w:cs="Times New Roman"/>
                <w:sz w:val="20"/>
                <w:szCs w:val="20"/>
              </w:rPr>
              <w:t>, które obejmują Białą Podlaską z gminą Biała Podlaska</w:t>
            </w:r>
            <w:r>
              <w:rPr>
                <w:rFonts w:ascii="Times New Roman" w:eastAsia="Calibri" w:hAnsi="Times New Roman" w:cs="Times New Roman"/>
                <w:sz w:val="20"/>
                <w:szCs w:val="20"/>
              </w:rPr>
              <w:t>;</w:t>
            </w:r>
          </w:p>
          <w:p w14:paraId="0DED2A13" w14:textId="21E39F00" w:rsidR="00A17173" w:rsidRPr="008B134E" w:rsidRDefault="007359D0" w:rsidP="00CD2D87">
            <w:pPr>
              <w:pStyle w:val="Akapitzlist"/>
              <w:numPr>
                <w:ilvl w:val="0"/>
                <w:numId w:val="57"/>
              </w:numPr>
              <w:suppressAutoHyphens/>
              <w:autoSpaceDN w:val="0"/>
              <w:spacing w:after="0" w:line="276" w:lineRule="auto"/>
              <w:ind w:left="357" w:hanging="357"/>
              <w:jc w:val="both"/>
              <w:textAlignment w:val="baseline"/>
              <w:rPr>
                <w:rFonts w:ascii="Times New Roman" w:eastAsia="Calibri" w:hAnsi="Times New Roman" w:cs="Times New Roman"/>
                <w:sz w:val="20"/>
                <w:szCs w:val="20"/>
              </w:rPr>
            </w:pPr>
            <w:r w:rsidRPr="008B134E">
              <w:rPr>
                <w:rFonts w:ascii="Times New Roman" w:eastAsia="Calibri" w:hAnsi="Times New Roman" w:cs="Times New Roman"/>
                <w:i/>
                <w:iCs/>
                <w:sz w:val="20"/>
                <w:szCs w:val="20"/>
              </w:rPr>
              <w:t xml:space="preserve">Obszar funkcjonalny Polesie ze strefą oddziaływania Kanału Wieprz-Krzna, </w:t>
            </w:r>
            <w:r w:rsidRPr="008B134E">
              <w:rPr>
                <w:rFonts w:ascii="Times New Roman" w:eastAsia="Calibri" w:hAnsi="Times New Roman" w:cs="Times New Roman"/>
                <w:sz w:val="20"/>
                <w:szCs w:val="20"/>
              </w:rPr>
              <w:t>do którego należą</w:t>
            </w:r>
            <w:r w:rsidR="00E041C6">
              <w:rPr>
                <w:rFonts w:ascii="Times New Roman" w:eastAsia="Calibri" w:hAnsi="Times New Roman" w:cs="Times New Roman"/>
                <w:sz w:val="20"/>
                <w:szCs w:val="20"/>
              </w:rPr>
              <w:t>:</w:t>
            </w:r>
            <w:r w:rsidRPr="008B134E">
              <w:rPr>
                <w:rFonts w:ascii="Times New Roman" w:eastAsia="Calibri" w:hAnsi="Times New Roman" w:cs="Times New Roman"/>
                <w:sz w:val="20"/>
                <w:szCs w:val="20"/>
              </w:rPr>
              <w:t xml:space="preserve"> </w:t>
            </w:r>
            <w:r w:rsidR="008B134E">
              <w:rPr>
                <w:rFonts w:ascii="Times New Roman" w:eastAsia="Calibri" w:hAnsi="Times New Roman" w:cs="Times New Roman"/>
                <w:sz w:val="20"/>
                <w:szCs w:val="20"/>
              </w:rPr>
              <w:t>M</w:t>
            </w:r>
            <w:r w:rsidRPr="008B134E">
              <w:rPr>
                <w:rFonts w:ascii="Times New Roman" w:eastAsia="Calibri" w:hAnsi="Times New Roman" w:cs="Times New Roman"/>
                <w:sz w:val="20"/>
                <w:szCs w:val="20"/>
              </w:rPr>
              <w:t>iast</w:t>
            </w:r>
            <w:r w:rsidR="008B134E">
              <w:rPr>
                <w:rFonts w:ascii="Times New Roman" w:eastAsia="Calibri" w:hAnsi="Times New Roman" w:cs="Times New Roman"/>
                <w:sz w:val="20"/>
                <w:szCs w:val="20"/>
              </w:rPr>
              <w:t xml:space="preserve">o </w:t>
            </w:r>
            <w:r w:rsidRPr="008B134E">
              <w:rPr>
                <w:rFonts w:ascii="Times New Roman" w:eastAsia="Calibri" w:hAnsi="Times New Roman" w:cs="Times New Roman"/>
                <w:sz w:val="20"/>
                <w:szCs w:val="20"/>
              </w:rPr>
              <w:t xml:space="preserve">Międzyrzec Podlaski </w:t>
            </w:r>
            <w:r w:rsidR="008B134E">
              <w:rPr>
                <w:rFonts w:ascii="Times New Roman" w:eastAsia="Calibri" w:hAnsi="Times New Roman" w:cs="Times New Roman"/>
                <w:sz w:val="20"/>
                <w:szCs w:val="20"/>
              </w:rPr>
              <w:t xml:space="preserve">oraz gminy: </w:t>
            </w:r>
            <w:r w:rsidR="008B134E" w:rsidRPr="008B134E">
              <w:rPr>
                <w:rFonts w:ascii="Times New Roman" w:eastAsia="Calibri" w:hAnsi="Times New Roman" w:cs="Times New Roman"/>
                <w:sz w:val="20"/>
                <w:szCs w:val="20"/>
              </w:rPr>
              <w:t>Biała Podlaska, Międzyrzec Podlaski, Drelów, Łomazy, Rossosz, Sosnówka, Wisznice, Zalesie,</w:t>
            </w:r>
            <w:r w:rsidR="008B134E" w:rsidRPr="008B134E">
              <w:rPr>
                <w:rFonts w:ascii="Times New Roman" w:eastAsia="Calibri" w:hAnsi="Times New Roman" w:cs="Times New Roman"/>
                <w:sz w:val="20"/>
                <w:szCs w:val="20"/>
              </w:rPr>
              <w:br/>
              <w:t>Terespol, Kodeń, Sławatycze</w:t>
            </w:r>
            <w:r w:rsidR="008B134E">
              <w:rPr>
                <w:rFonts w:ascii="Times New Roman" w:eastAsia="Calibri" w:hAnsi="Times New Roman" w:cs="Times New Roman"/>
                <w:sz w:val="20"/>
                <w:szCs w:val="20"/>
              </w:rPr>
              <w:t>;</w:t>
            </w:r>
          </w:p>
          <w:p w14:paraId="5FCF1AA2" w14:textId="622AB662" w:rsidR="007359D0" w:rsidRPr="007359D0" w:rsidRDefault="008B134E" w:rsidP="00CD2D87">
            <w:pPr>
              <w:pStyle w:val="Akapitzlist"/>
              <w:numPr>
                <w:ilvl w:val="0"/>
                <w:numId w:val="57"/>
              </w:numPr>
              <w:suppressAutoHyphens/>
              <w:autoSpaceDN w:val="0"/>
              <w:spacing w:after="0" w:line="276" w:lineRule="auto"/>
              <w:ind w:left="357" w:hanging="357"/>
              <w:jc w:val="both"/>
              <w:textAlignment w:val="baseline"/>
              <w:rPr>
                <w:rFonts w:ascii="Times New Roman" w:eastAsia="Calibri" w:hAnsi="Times New Roman" w:cs="Times New Roman"/>
                <w:sz w:val="20"/>
                <w:szCs w:val="20"/>
              </w:rPr>
            </w:pPr>
            <w:r>
              <w:rPr>
                <w:rFonts w:ascii="Times New Roman" w:eastAsia="Calibri" w:hAnsi="Times New Roman" w:cs="Times New Roman"/>
                <w:i/>
                <w:iCs/>
                <w:sz w:val="20"/>
                <w:szCs w:val="20"/>
              </w:rPr>
              <w:t xml:space="preserve">Obszar funkcjonalny gospodarki hodowlanej, </w:t>
            </w:r>
            <w:r>
              <w:rPr>
                <w:rFonts w:ascii="Times New Roman" w:eastAsia="Calibri" w:hAnsi="Times New Roman" w:cs="Times New Roman"/>
                <w:sz w:val="20"/>
                <w:szCs w:val="20"/>
              </w:rPr>
              <w:t>do którego należą M</w:t>
            </w:r>
            <w:r w:rsidRPr="008B134E">
              <w:rPr>
                <w:rFonts w:ascii="Times New Roman" w:eastAsia="Calibri" w:hAnsi="Times New Roman" w:cs="Times New Roman"/>
                <w:sz w:val="20"/>
                <w:szCs w:val="20"/>
              </w:rPr>
              <w:t>iasto i Gmina Międzyrzec Podlaski</w:t>
            </w:r>
            <w:r>
              <w:rPr>
                <w:rFonts w:ascii="Times New Roman" w:eastAsia="Calibri" w:hAnsi="Times New Roman" w:cs="Times New Roman"/>
                <w:sz w:val="20"/>
                <w:szCs w:val="20"/>
              </w:rPr>
              <w:t xml:space="preserve"> oraz gminy: </w:t>
            </w:r>
            <w:r w:rsidRPr="008B134E">
              <w:rPr>
                <w:rFonts w:ascii="Times New Roman" w:eastAsia="Calibri" w:hAnsi="Times New Roman" w:cs="Times New Roman"/>
                <w:sz w:val="20"/>
                <w:szCs w:val="20"/>
              </w:rPr>
              <w:t>Leśna Podlaska, Biała Podlaska, Drelów, Wisznice, Sosnówka,</w:t>
            </w:r>
            <w:r>
              <w:rPr>
                <w:rFonts w:ascii="Times New Roman" w:eastAsia="Calibri" w:hAnsi="Times New Roman" w:cs="Times New Roman"/>
                <w:sz w:val="20"/>
                <w:szCs w:val="20"/>
              </w:rPr>
              <w:t xml:space="preserve"> </w:t>
            </w:r>
            <w:r w:rsidRPr="008B134E">
              <w:rPr>
                <w:rFonts w:ascii="Times New Roman" w:eastAsia="Calibri" w:hAnsi="Times New Roman" w:cs="Times New Roman"/>
                <w:sz w:val="20"/>
                <w:szCs w:val="20"/>
              </w:rPr>
              <w:t>Rossosz, Łomazy, Tuczna i Piszczac</w:t>
            </w:r>
            <w:r>
              <w:rPr>
                <w:rFonts w:ascii="Times New Roman" w:eastAsia="Calibri" w:hAnsi="Times New Roman" w:cs="Times New Roman"/>
                <w:sz w:val="20"/>
                <w:szCs w:val="20"/>
              </w:rPr>
              <w:t>.</w:t>
            </w:r>
          </w:p>
          <w:p w14:paraId="5E73C11D" w14:textId="391D30EC" w:rsidR="00A17173" w:rsidRPr="001721AD" w:rsidRDefault="008B134E" w:rsidP="00E15165">
            <w:pPr>
              <w:suppressAutoHyphens/>
              <w:autoSpaceDN w:val="0"/>
              <w:spacing w:after="0" w:line="276" w:lineRule="auto"/>
              <w:jc w:val="both"/>
              <w:textAlignment w:val="baseline"/>
              <w:rPr>
                <w:rFonts w:ascii="Times New Roman" w:eastAsia="Calibri" w:hAnsi="Times New Roman" w:cs="Times New Roman"/>
                <w:sz w:val="20"/>
                <w:szCs w:val="20"/>
              </w:rPr>
            </w:pPr>
            <w:r>
              <w:rPr>
                <w:rFonts w:ascii="Times New Roman" w:hAnsi="Times New Roman" w:cs="Times New Roman"/>
                <w:sz w:val="20"/>
                <w:szCs w:val="20"/>
              </w:rPr>
              <w:t>LSR nastawiona jest na wdrażanie rozwiązań innowacyjnych (operacje dedykowane innowacyjnym rozwiązaniom i premiowanie innowacyjnych rozwiązań). Ponadto wszelkie zaplanowane działania będą wykorzystywać lokalne potencjały rozwoju. W ramach realizacji LSR premiowane będą m.in. operacje z</w:t>
            </w:r>
            <w:r w:rsidRPr="0089268B">
              <w:rPr>
                <w:rFonts w:ascii="Times New Roman" w:hAnsi="Times New Roman" w:cs="Times New Roman"/>
                <w:sz w:val="20"/>
                <w:szCs w:val="20"/>
              </w:rPr>
              <w:t>apewniające racjonalne gospodarowanie zasobami lub ograniczające presję na środowisko</w:t>
            </w:r>
            <w:r>
              <w:rPr>
                <w:rFonts w:ascii="Times New Roman" w:hAnsi="Times New Roman" w:cs="Times New Roman"/>
                <w:sz w:val="20"/>
                <w:szCs w:val="20"/>
              </w:rPr>
              <w:t>, co wpłynie pozytywnie na o</w:t>
            </w:r>
            <w:r w:rsidRPr="0089268B">
              <w:rPr>
                <w:rFonts w:ascii="Times New Roman" w:hAnsi="Times New Roman" w:cs="Times New Roman"/>
                <w:sz w:val="20"/>
                <w:szCs w:val="20"/>
              </w:rPr>
              <w:t>graniczenie wpływu i skutków oddziaływania człowieka na środowisko</w:t>
            </w:r>
            <w:r>
              <w:rPr>
                <w:rFonts w:ascii="Times New Roman" w:hAnsi="Times New Roman" w:cs="Times New Roman"/>
                <w:sz w:val="20"/>
                <w:szCs w:val="20"/>
              </w:rPr>
              <w:t>.</w:t>
            </w:r>
          </w:p>
        </w:tc>
      </w:tr>
    </w:tbl>
    <w:p w14:paraId="1ECEFD64" w14:textId="77777777" w:rsidR="00A17173" w:rsidRPr="00F65AF9" w:rsidRDefault="00A17173" w:rsidP="00EB47AB">
      <w:pPr>
        <w:spacing w:after="120"/>
        <w:jc w:val="center"/>
        <w:rPr>
          <w:rFonts w:ascii="Times New Roman" w:hAnsi="Times New Roman" w:cs="Times New Roman"/>
        </w:rPr>
      </w:pPr>
      <w:r w:rsidRPr="001F75C9">
        <w:rPr>
          <w:rFonts w:ascii="Times New Roman" w:hAnsi="Times New Roman" w:cs="Times New Roman"/>
          <w:i/>
          <w:iCs/>
          <w:sz w:val="20"/>
          <w:szCs w:val="20"/>
        </w:rPr>
        <w:lastRenderedPageBreak/>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p>
    <w:p w14:paraId="05DB979C" w14:textId="4106AAC8" w:rsidR="00A17173" w:rsidRDefault="00A17173" w:rsidP="00A17173">
      <w:pPr>
        <w:spacing w:after="120" w:line="276" w:lineRule="auto"/>
        <w:ind w:firstLine="709"/>
        <w:jc w:val="both"/>
        <w:rPr>
          <w:rFonts w:ascii="Times New Roman" w:eastAsia="Calibri" w:hAnsi="Times New Roman" w:cs="Times New Roman"/>
        </w:rPr>
      </w:pPr>
      <w:r>
        <w:rPr>
          <w:rFonts w:ascii="Times New Roman" w:hAnsi="Times New Roman" w:cs="Times New Roman"/>
        </w:rPr>
        <w:t xml:space="preserve">Przedsięwzięcia zaplanowane w ramach realizacji celu </w:t>
      </w:r>
      <w:r w:rsidR="00610835" w:rsidRPr="00610835">
        <w:rPr>
          <w:rFonts w:ascii="Times New Roman" w:eastAsia="Times New Roman" w:hAnsi="Times New Roman" w:cs="Times New Roman"/>
          <w:i/>
          <w:iCs/>
          <w:lang w:eastAsia="pl-PL"/>
        </w:rPr>
        <w:t>Zbudowanie Bialskopodlaskiego kapitału społecznego</w:t>
      </w:r>
      <w:r w:rsidRPr="00610835">
        <w:rPr>
          <w:rFonts w:ascii="Times New Roman" w:eastAsia="Calibri" w:hAnsi="Times New Roman" w:cs="Times New Roman"/>
          <w:i/>
          <w:iCs/>
          <w:sz w:val="24"/>
          <w:szCs w:val="24"/>
        </w:rPr>
        <w:t xml:space="preserve"> </w:t>
      </w:r>
      <w:r>
        <w:rPr>
          <w:rFonts w:ascii="Times New Roman" w:eastAsia="Calibri" w:hAnsi="Times New Roman" w:cs="Times New Roman"/>
        </w:rPr>
        <w:t>są zgodne z założeniami program</w:t>
      </w:r>
      <w:r w:rsidR="00610835">
        <w:rPr>
          <w:rFonts w:ascii="Times New Roman" w:eastAsia="Calibri" w:hAnsi="Times New Roman" w:cs="Times New Roman"/>
        </w:rPr>
        <w:t>u</w:t>
      </w:r>
      <w:r>
        <w:rPr>
          <w:rFonts w:ascii="Times New Roman" w:eastAsia="Calibri" w:hAnsi="Times New Roman" w:cs="Times New Roman"/>
        </w:rPr>
        <w:t>, z któr</w:t>
      </w:r>
      <w:r w:rsidR="00610835">
        <w:rPr>
          <w:rFonts w:ascii="Times New Roman" w:eastAsia="Calibri" w:hAnsi="Times New Roman" w:cs="Times New Roman"/>
        </w:rPr>
        <w:t>ego</w:t>
      </w:r>
      <w:r>
        <w:rPr>
          <w:rFonts w:ascii="Times New Roman" w:eastAsia="Calibri" w:hAnsi="Times New Roman" w:cs="Times New Roman"/>
        </w:rPr>
        <w:t xml:space="preserve"> będą finansowane (tabela 1</w:t>
      </w:r>
      <w:r w:rsidR="004C4A5D">
        <w:rPr>
          <w:rFonts w:ascii="Times New Roman" w:eastAsia="Calibri" w:hAnsi="Times New Roman" w:cs="Times New Roman"/>
        </w:rPr>
        <w:t>7</w:t>
      </w:r>
      <w:r>
        <w:rPr>
          <w:rFonts w:ascii="Times New Roman" w:eastAsia="Calibri" w:hAnsi="Times New Roman" w:cs="Times New Roman"/>
        </w:rPr>
        <w:t xml:space="preserve">). </w:t>
      </w:r>
      <w:r>
        <w:rPr>
          <w:rFonts w:ascii="Times New Roman" w:hAnsi="Times New Roman" w:cs="Times New Roman"/>
        </w:rPr>
        <w:t xml:space="preserve">Przedsięwzięcia zaplanowane w LSR będą finansowane ze środków PS WPR na lata 2023–2027 w ramach EFRROW. </w:t>
      </w:r>
      <w:r w:rsidR="00610835">
        <w:rPr>
          <w:rFonts w:ascii="Times New Roman" w:hAnsi="Times New Roman" w:cs="Times New Roman"/>
        </w:rPr>
        <w:t>Ponieważ LSR jest jednofunduszow</w:t>
      </w:r>
      <w:r w:rsidR="00F80629">
        <w:rPr>
          <w:rFonts w:ascii="Times New Roman" w:hAnsi="Times New Roman" w:cs="Times New Roman"/>
        </w:rPr>
        <w:t>a,</w:t>
      </w:r>
      <w:r w:rsidR="00610835">
        <w:rPr>
          <w:rFonts w:ascii="Times New Roman" w:hAnsi="Times New Roman" w:cs="Times New Roman"/>
        </w:rPr>
        <w:t xml:space="preserve"> będzie to jedyne źródło finansowania.</w:t>
      </w:r>
    </w:p>
    <w:p w14:paraId="5453EA93" w14:textId="5CB5FD8E" w:rsidR="00A17173" w:rsidRDefault="00A17173" w:rsidP="00A17173">
      <w:pPr>
        <w:pStyle w:val="Legenda"/>
        <w:spacing w:after="0"/>
        <w:jc w:val="center"/>
        <w:rPr>
          <w:rFonts w:ascii="Times New Roman" w:hAnsi="Times New Roman" w:cs="Times New Roman"/>
          <w:b/>
          <w:bCs/>
          <w:i w:val="0"/>
          <w:iCs w:val="0"/>
          <w:color w:val="000000" w:themeColor="text1"/>
          <w:sz w:val="20"/>
          <w:szCs w:val="20"/>
        </w:rPr>
      </w:pPr>
      <w:bookmarkStart w:id="100" w:name="_Toc135896559"/>
      <w:r w:rsidRPr="003B1474">
        <w:rPr>
          <w:rFonts w:ascii="Times New Roman" w:hAnsi="Times New Roman" w:cs="Times New Roman"/>
          <w:b/>
          <w:bCs/>
          <w:i w:val="0"/>
          <w:iCs w:val="0"/>
          <w:color w:val="000000" w:themeColor="text1"/>
          <w:sz w:val="20"/>
          <w:szCs w:val="20"/>
        </w:rPr>
        <w:t xml:space="preserve">Tabela </w:t>
      </w:r>
      <w:r w:rsidRPr="003B1474">
        <w:rPr>
          <w:rFonts w:ascii="Times New Roman" w:hAnsi="Times New Roman" w:cs="Times New Roman"/>
          <w:b/>
          <w:bCs/>
          <w:i w:val="0"/>
          <w:iCs w:val="0"/>
          <w:color w:val="000000" w:themeColor="text1"/>
          <w:sz w:val="20"/>
          <w:szCs w:val="20"/>
        </w:rPr>
        <w:fldChar w:fldCharType="begin"/>
      </w:r>
      <w:r w:rsidRPr="003B1474">
        <w:rPr>
          <w:rFonts w:ascii="Times New Roman" w:hAnsi="Times New Roman" w:cs="Times New Roman"/>
          <w:b/>
          <w:bCs/>
          <w:i w:val="0"/>
          <w:iCs w:val="0"/>
          <w:color w:val="000000" w:themeColor="text1"/>
          <w:sz w:val="20"/>
          <w:szCs w:val="20"/>
        </w:rPr>
        <w:instrText xml:space="preserve"> SEQ Tabela \* ARABIC </w:instrText>
      </w:r>
      <w:r w:rsidRPr="003B1474">
        <w:rPr>
          <w:rFonts w:ascii="Times New Roman" w:hAnsi="Times New Roman" w:cs="Times New Roman"/>
          <w:b/>
          <w:bCs/>
          <w:i w:val="0"/>
          <w:iCs w:val="0"/>
          <w:color w:val="000000" w:themeColor="text1"/>
          <w:sz w:val="20"/>
          <w:szCs w:val="20"/>
        </w:rPr>
        <w:fldChar w:fldCharType="separate"/>
      </w:r>
      <w:r w:rsidR="00420E6B">
        <w:rPr>
          <w:rFonts w:ascii="Times New Roman" w:hAnsi="Times New Roman" w:cs="Times New Roman"/>
          <w:b/>
          <w:bCs/>
          <w:i w:val="0"/>
          <w:iCs w:val="0"/>
          <w:noProof/>
          <w:color w:val="000000" w:themeColor="text1"/>
          <w:sz w:val="20"/>
          <w:szCs w:val="20"/>
        </w:rPr>
        <w:t>17</w:t>
      </w:r>
      <w:r w:rsidRPr="003B1474">
        <w:rPr>
          <w:rFonts w:ascii="Times New Roman" w:hAnsi="Times New Roman" w:cs="Times New Roman"/>
          <w:b/>
          <w:bCs/>
          <w:i w:val="0"/>
          <w:iCs w:val="0"/>
          <w:color w:val="000000" w:themeColor="text1"/>
          <w:sz w:val="20"/>
          <w:szCs w:val="20"/>
        </w:rPr>
        <w:fldChar w:fldCharType="end"/>
      </w:r>
      <w:r w:rsidRPr="003B1474">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Zgodność LSR z celami program</w:t>
      </w:r>
      <w:r w:rsidR="00F80629">
        <w:rPr>
          <w:rFonts w:ascii="Times New Roman" w:hAnsi="Times New Roman" w:cs="Times New Roman"/>
          <w:b/>
          <w:bCs/>
          <w:i w:val="0"/>
          <w:iCs w:val="0"/>
          <w:color w:val="000000" w:themeColor="text1"/>
          <w:sz w:val="20"/>
          <w:szCs w:val="20"/>
        </w:rPr>
        <w:t>u</w:t>
      </w:r>
      <w:r>
        <w:rPr>
          <w:rFonts w:ascii="Times New Roman" w:hAnsi="Times New Roman" w:cs="Times New Roman"/>
          <w:b/>
          <w:bCs/>
          <w:i w:val="0"/>
          <w:iCs w:val="0"/>
          <w:color w:val="000000" w:themeColor="text1"/>
          <w:sz w:val="20"/>
          <w:szCs w:val="20"/>
        </w:rPr>
        <w:t>, z któr</w:t>
      </w:r>
      <w:r w:rsidR="00F80629">
        <w:rPr>
          <w:rFonts w:ascii="Times New Roman" w:hAnsi="Times New Roman" w:cs="Times New Roman"/>
          <w:b/>
          <w:bCs/>
          <w:i w:val="0"/>
          <w:iCs w:val="0"/>
          <w:color w:val="000000" w:themeColor="text1"/>
          <w:sz w:val="20"/>
          <w:szCs w:val="20"/>
        </w:rPr>
        <w:t>ego</w:t>
      </w:r>
      <w:r>
        <w:rPr>
          <w:rFonts w:ascii="Times New Roman" w:hAnsi="Times New Roman" w:cs="Times New Roman"/>
          <w:b/>
          <w:bCs/>
          <w:i w:val="0"/>
          <w:iCs w:val="0"/>
          <w:color w:val="000000" w:themeColor="text1"/>
          <w:sz w:val="20"/>
          <w:szCs w:val="20"/>
        </w:rPr>
        <w:t xml:space="preserve"> będzie ona finansowana</w:t>
      </w:r>
      <w:bookmarkEnd w:id="100"/>
    </w:p>
    <w:tbl>
      <w:tblPr>
        <w:tblStyle w:val="Tabela-Siatka"/>
        <w:tblW w:w="0" w:type="auto"/>
        <w:tblLook w:val="04A0" w:firstRow="1" w:lastRow="0" w:firstColumn="1" w:lastColumn="0" w:noHBand="0" w:noVBand="1"/>
      </w:tblPr>
      <w:tblGrid>
        <w:gridCol w:w="574"/>
        <w:gridCol w:w="2266"/>
        <w:gridCol w:w="7354"/>
      </w:tblGrid>
      <w:tr w:rsidR="00A17173" w:rsidRPr="00CF4E96" w14:paraId="317F8537" w14:textId="77777777" w:rsidTr="00E15165">
        <w:tc>
          <w:tcPr>
            <w:tcW w:w="574" w:type="dxa"/>
            <w:shd w:val="clear" w:color="auto" w:fill="auto"/>
            <w:vAlign w:val="center"/>
          </w:tcPr>
          <w:p w14:paraId="325AFE5E" w14:textId="77777777" w:rsidR="00A17173" w:rsidRPr="00CF4E96" w:rsidRDefault="00A17173" w:rsidP="00E15165">
            <w:pPr>
              <w:spacing w:line="360" w:lineRule="auto"/>
              <w:jc w:val="center"/>
              <w:rPr>
                <w:rFonts w:ascii="Times New Roman" w:hAnsi="Times New Roman" w:cs="Times New Roman"/>
                <w:b/>
                <w:bCs/>
                <w:sz w:val="20"/>
                <w:szCs w:val="20"/>
              </w:rPr>
            </w:pPr>
            <w:r w:rsidRPr="00CF4E96">
              <w:rPr>
                <w:rFonts w:ascii="Times New Roman" w:hAnsi="Times New Roman" w:cs="Times New Roman"/>
                <w:b/>
                <w:bCs/>
                <w:sz w:val="20"/>
                <w:szCs w:val="20"/>
              </w:rPr>
              <w:t>Lp.</w:t>
            </w:r>
          </w:p>
        </w:tc>
        <w:tc>
          <w:tcPr>
            <w:tcW w:w="2266" w:type="dxa"/>
            <w:shd w:val="clear" w:color="auto" w:fill="auto"/>
            <w:vAlign w:val="center"/>
          </w:tcPr>
          <w:p w14:paraId="67DD2461" w14:textId="77777777" w:rsidR="00A17173" w:rsidRPr="00CF4E96" w:rsidRDefault="00A17173" w:rsidP="00E15165">
            <w:pPr>
              <w:spacing w:line="360" w:lineRule="auto"/>
              <w:jc w:val="center"/>
              <w:rPr>
                <w:rFonts w:ascii="Times New Roman" w:hAnsi="Times New Roman" w:cs="Times New Roman"/>
                <w:b/>
                <w:bCs/>
                <w:sz w:val="20"/>
                <w:szCs w:val="20"/>
              </w:rPr>
            </w:pPr>
            <w:r w:rsidRPr="00CF4E96">
              <w:rPr>
                <w:rFonts w:ascii="Times New Roman" w:hAnsi="Times New Roman" w:cs="Times New Roman"/>
                <w:b/>
                <w:bCs/>
                <w:sz w:val="20"/>
                <w:szCs w:val="20"/>
              </w:rPr>
              <w:t xml:space="preserve">Źródło finansowania </w:t>
            </w:r>
          </w:p>
        </w:tc>
        <w:tc>
          <w:tcPr>
            <w:tcW w:w="7354" w:type="dxa"/>
            <w:shd w:val="clear" w:color="auto" w:fill="auto"/>
            <w:vAlign w:val="center"/>
          </w:tcPr>
          <w:p w14:paraId="29C97AFA" w14:textId="77777777" w:rsidR="00A17173" w:rsidRPr="00CF4E96" w:rsidRDefault="00A17173" w:rsidP="00E15165">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Opis spójności celów</w:t>
            </w:r>
          </w:p>
        </w:tc>
      </w:tr>
      <w:tr w:rsidR="00A17173" w14:paraId="05FAB972" w14:textId="77777777" w:rsidTr="00E15165">
        <w:tc>
          <w:tcPr>
            <w:tcW w:w="574" w:type="dxa"/>
            <w:vAlign w:val="center"/>
          </w:tcPr>
          <w:p w14:paraId="042651E5" w14:textId="77777777" w:rsidR="00A17173" w:rsidRPr="008B5FCC" w:rsidRDefault="00A17173" w:rsidP="00CD2D87">
            <w:pPr>
              <w:pStyle w:val="Akapitzlist"/>
              <w:numPr>
                <w:ilvl w:val="0"/>
                <w:numId w:val="11"/>
              </w:numPr>
              <w:spacing w:line="360" w:lineRule="auto"/>
              <w:ind w:left="307" w:right="-393" w:hanging="401"/>
              <w:jc w:val="center"/>
              <w:rPr>
                <w:rFonts w:ascii="Times New Roman" w:hAnsi="Times New Roman" w:cs="Times New Roman"/>
                <w:sz w:val="20"/>
                <w:szCs w:val="20"/>
              </w:rPr>
            </w:pPr>
          </w:p>
        </w:tc>
        <w:tc>
          <w:tcPr>
            <w:tcW w:w="2266" w:type="dxa"/>
            <w:vAlign w:val="center"/>
          </w:tcPr>
          <w:p w14:paraId="4D207989" w14:textId="77777777" w:rsidR="00A17173" w:rsidRPr="008B5FCC" w:rsidRDefault="00A17173" w:rsidP="00E15165">
            <w:pPr>
              <w:spacing w:line="276"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Plan Strategiczny dla </w:t>
            </w:r>
            <w:r w:rsidRPr="00674528">
              <w:rPr>
                <w:rFonts w:ascii="Times New Roman" w:hAnsi="Times New Roman" w:cs="Times New Roman"/>
                <w:i/>
                <w:iCs/>
                <w:sz w:val="20"/>
                <w:szCs w:val="20"/>
              </w:rPr>
              <w:t>Wspóln</w:t>
            </w:r>
            <w:r>
              <w:rPr>
                <w:rFonts w:ascii="Times New Roman" w:hAnsi="Times New Roman" w:cs="Times New Roman"/>
                <w:i/>
                <w:iCs/>
                <w:sz w:val="20"/>
                <w:szCs w:val="20"/>
              </w:rPr>
              <w:t>ej</w:t>
            </w:r>
            <w:r w:rsidRPr="00674528">
              <w:rPr>
                <w:rFonts w:ascii="Times New Roman" w:hAnsi="Times New Roman" w:cs="Times New Roman"/>
                <w:i/>
                <w:iCs/>
                <w:sz w:val="20"/>
                <w:szCs w:val="20"/>
              </w:rPr>
              <w:t xml:space="preserve"> Polityk</w:t>
            </w:r>
            <w:r>
              <w:rPr>
                <w:rFonts w:ascii="Times New Roman" w:hAnsi="Times New Roman" w:cs="Times New Roman"/>
                <w:i/>
                <w:iCs/>
                <w:sz w:val="20"/>
                <w:szCs w:val="20"/>
              </w:rPr>
              <w:t>i</w:t>
            </w:r>
            <w:r w:rsidRPr="00674528">
              <w:rPr>
                <w:rFonts w:ascii="Times New Roman" w:hAnsi="Times New Roman" w:cs="Times New Roman"/>
                <w:i/>
                <w:iCs/>
                <w:sz w:val="20"/>
                <w:szCs w:val="20"/>
              </w:rPr>
              <w:t xml:space="preserve"> Roln</w:t>
            </w:r>
            <w:r>
              <w:rPr>
                <w:rFonts w:ascii="Times New Roman" w:hAnsi="Times New Roman" w:cs="Times New Roman"/>
                <w:i/>
                <w:iCs/>
                <w:sz w:val="20"/>
                <w:szCs w:val="20"/>
              </w:rPr>
              <w:t>ej</w:t>
            </w:r>
            <w:r w:rsidRPr="00674528">
              <w:rPr>
                <w:rFonts w:ascii="Times New Roman" w:hAnsi="Times New Roman" w:cs="Times New Roman"/>
                <w:i/>
                <w:iCs/>
                <w:sz w:val="20"/>
                <w:szCs w:val="20"/>
              </w:rPr>
              <w:t xml:space="preserve"> na lata 2023–2027 </w:t>
            </w:r>
            <w:r>
              <w:rPr>
                <w:rFonts w:ascii="Times New Roman" w:hAnsi="Times New Roman" w:cs="Times New Roman"/>
                <w:i/>
                <w:iCs/>
                <w:sz w:val="20"/>
                <w:szCs w:val="20"/>
              </w:rPr>
              <w:br/>
            </w:r>
            <w:r w:rsidRPr="00674528">
              <w:rPr>
                <w:rFonts w:ascii="Times New Roman" w:hAnsi="Times New Roman" w:cs="Times New Roman"/>
                <w:sz w:val="20"/>
                <w:szCs w:val="20"/>
              </w:rPr>
              <w:t>(</w:t>
            </w:r>
            <w:r>
              <w:rPr>
                <w:rFonts w:ascii="Times New Roman" w:hAnsi="Times New Roman" w:cs="Times New Roman"/>
                <w:sz w:val="20"/>
                <w:szCs w:val="20"/>
              </w:rPr>
              <w:t xml:space="preserve">PS </w:t>
            </w:r>
            <w:r w:rsidRPr="00674528">
              <w:rPr>
                <w:rFonts w:ascii="Times New Roman" w:hAnsi="Times New Roman" w:cs="Times New Roman"/>
                <w:sz w:val="20"/>
                <w:szCs w:val="20"/>
              </w:rPr>
              <w:t>WPR 2023–2027)</w:t>
            </w:r>
          </w:p>
        </w:tc>
        <w:tc>
          <w:tcPr>
            <w:tcW w:w="7354" w:type="dxa"/>
          </w:tcPr>
          <w:p w14:paraId="71E35136" w14:textId="77777777" w:rsidR="00A17173" w:rsidRPr="001F4D92" w:rsidRDefault="00A17173" w:rsidP="00E15165">
            <w:pPr>
              <w:spacing w:line="276" w:lineRule="auto"/>
              <w:jc w:val="both"/>
              <w:rPr>
                <w:rFonts w:ascii="Times New Roman" w:hAnsi="Times New Roman" w:cs="Times New Roman"/>
                <w:sz w:val="20"/>
                <w:szCs w:val="20"/>
              </w:rPr>
            </w:pPr>
            <w:r w:rsidRPr="001F4D92">
              <w:rPr>
                <w:rFonts w:ascii="Times New Roman" w:hAnsi="Times New Roman" w:cs="Times New Roman"/>
                <w:i/>
                <w:iCs/>
                <w:sz w:val="20"/>
                <w:szCs w:val="20"/>
              </w:rPr>
              <w:t>Plan Strategiczny dla Wspólnej Polityki Rolnej na lata 2023–2027</w:t>
            </w:r>
            <w:r w:rsidRPr="001F4D92">
              <w:rPr>
                <w:rFonts w:ascii="Times New Roman" w:hAnsi="Times New Roman" w:cs="Times New Roman"/>
                <w:sz w:val="20"/>
                <w:szCs w:val="20"/>
              </w:rPr>
              <w:t xml:space="preserve"> jest następcą </w:t>
            </w:r>
            <w:r w:rsidRPr="001F4D92">
              <w:rPr>
                <w:rFonts w:ascii="Times New Roman" w:hAnsi="Times New Roman" w:cs="Times New Roman"/>
                <w:i/>
                <w:iCs/>
                <w:sz w:val="20"/>
                <w:szCs w:val="20"/>
              </w:rPr>
              <w:t>Programu Rozwoju Obszarów Wiejskich na lata 2014–2020</w:t>
            </w:r>
            <w:r w:rsidRPr="001F4D92">
              <w:rPr>
                <w:rFonts w:ascii="Times New Roman" w:hAnsi="Times New Roman" w:cs="Times New Roman"/>
                <w:sz w:val="20"/>
                <w:szCs w:val="20"/>
              </w:rPr>
              <w:t>. PS WPR zakłada wspieranie zrównoważonego rozw</w:t>
            </w:r>
            <w:r>
              <w:rPr>
                <w:rFonts w:ascii="Times New Roman" w:hAnsi="Times New Roman" w:cs="Times New Roman"/>
                <w:sz w:val="20"/>
                <w:szCs w:val="20"/>
              </w:rPr>
              <w:t>oju</w:t>
            </w:r>
            <w:r w:rsidRPr="001F4D92">
              <w:rPr>
                <w:rFonts w:ascii="Times New Roman" w:hAnsi="Times New Roman" w:cs="Times New Roman"/>
                <w:sz w:val="20"/>
                <w:szCs w:val="20"/>
              </w:rPr>
              <w:t xml:space="preserve"> polskich gospodarstw, sektora przetwórstwa i poprawę warunków życia i pracy w małych miejscowościach wiejskich. </w:t>
            </w:r>
          </w:p>
          <w:p w14:paraId="38AF79A8" w14:textId="305C9B08" w:rsidR="00A17173" w:rsidRPr="001F4D92" w:rsidRDefault="00A17173" w:rsidP="00E15165">
            <w:pPr>
              <w:spacing w:line="276" w:lineRule="auto"/>
              <w:jc w:val="both"/>
              <w:rPr>
                <w:rFonts w:ascii="Times New Roman" w:hAnsi="Times New Roman" w:cs="Times New Roman"/>
                <w:sz w:val="20"/>
                <w:szCs w:val="20"/>
              </w:rPr>
            </w:pPr>
            <w:r w:rsidRPr="001F4D92">
              <w:rPr>
                <w:rFonts w:ascii="Times New Roman" w:hAnsi="Times New Roman" w:cs="Times New Roman"/>
                <w:sz w:val="20"/>
                <w:szCs w:val="20"/>
              </w:rPr>
              <w:t>Jedną ze wskazanych w PS WPR interwencji jest właśnie LEADER/Rozwój Lokalny Kierowany przez Społeczność. Cel LSR wpisuje się w ukierunkowanie interwencji na</w:t>
            </w:r>
            <w:r>
              <w:rPr>
                <w:rFonts w:ascii="Times New Roman" w:hAnsi="Times New Roman" w:cs="Times New Roman"/>
                <w:sz w:val="20"/>
                <w:szCs w:val="20"/>
              </w:rPr>
              <w:t>:</w:t>
            </w:r>
            <w:r w:rsidRPr="001F4D92">
              <w:rPr>
                <w:rFonts w:ascii="Times New Roman" w:hAnsi="Times New Roman" w:cs="Times New Roman"/>
                <w:sz w:val="20"/>
                <w:szCs w:val="20"/>
              </w:rPr>
              <w:t xml:space="preserve"> </w:t>
            </w:r>
            <w:r w:rsidRPr="001F4D92">
              <w:rPr>
                <w:rFonts w:ascii="Times New Roman" w:hAnsi="Times New Roman" w:cs="Times New Roman"/>
                <w:i/>
                <w:iCs/>
                <w:sz w:val="20"/>
                <w:szCs w:val="20"/>
              </w:rPr>
              <w:t>budowanie lokalnej tożsamości bazującej na aktywizacji społecznej i przy wykorzystaniu miejscowych zasobów w sposób zapewniający najlepsze zaspokojenie potrzeb społeczności wiejskich, w tym poprzez wykorzystanie wiedzy, innowacji i rozwiązań cyfrowych</w:t>
            </w:r>
            <w:r w:rsidRPr="001F4D92">
              <w:rPr>
                <w:rFonts w:ascii="Times New Roman" w:hAnsi="Times New Roman" w:cs="Times New Roman"/>
                <w:sz w:val="20"/>
                <w:szCs w:val="20"/>
              </w:rPr>
              <w:t>. Zgodnie z zapisami PS WPR</w:t>
            </w:r>
            <w:r>
              <w:rPr>
                <w:rFonts w:ascii="Times New Roman" w:hAnsi="Times New Roman" w:cs="Times New Roman"/>
                <w:sz w:val="20"/>
                <w:szCs w:val="20"/>
              </w:rPr>
              <w:t>:</w:t>
            </w:r>
            <w:r w:rsidRPr="001F4D92">
              <w:rPr>
                <w:rFonts w:ascii="Times New Roman" w:hAnsi="Times New Roman" w:cs="Times New Roman"/>
                <w:sz w:val="20"/>
                <w:szCs w:val="20"/>
              </w:rPr>
              <w:t xml:space="preserve"> </w:t>
            </w:r>
            <w:r w:rsidRPr="001F4D92">
              <w:rPr>
                <w:rFonts w:ascii="Times New Roman" w:hAnsi="Times New Roman" w:cs="Times New Roman"/>
                <w:i/>
                <w:iCs/>
                <w:sz w:val="20"/>
                <w:szCs w:val="20"/>
              </w:rPr>
              <w:t>oczekuje się od LGD ukierunkowania na rozwój obszaru w oparciu o przedsiębiorczość z jednoczesnym poszanowaniem warunków przyrodniczych (biogospodarka, GOZ) i dziedzictwa kulturowego oraz szczególnej wrażliwości na wymiar społeczny rozwoju lokalnego. Mając na uwadze rolę LGD we wspieraniu włączenia społecznego</w:t>
            </w:r>
            <w:r w:rsidR="00FE5E53">
              <w:rPr>
                <w:rFonts w:ascii="Times New Roman" w:hAnsi="Times New Roman" w:cs="Times New Roman"/>
                <w:i/>
                <w:iCs/>
                <w:sz w:val="20"/>
                <w:szCs w:val="20"/>
              </w:rPr>
              <w:t>,</w:t>
            </w:r>
            <w:r w:rsidRPr="001F4D92">
              <w:rPr>
                <w:rFonts w:ascii="Times New Roman" w:hAnsi="Times New Roman" w:cs="Times New Roman"/>
                <w:i/>
                <w:iCs/>
                <w:sz w:val="20"/>
                <w:szCs w:val="20"/>
              </w:rPr>
              <w:t xml:space="preserve"> szczególny nacisk zostanie położony na potrzeby zdiagnozowanych na obszarach objętych LSR grup osób w niekorzystnej sytuacji</w:t>
            </w:r>
            <w:r w:rsidRPr="001F4D92">
              <w:rPr>
                <w:rFonts w:ascii="Times New Roman" w:hAnsi="Times New Roman" w:cs="Times New Roman"/>
                <w:sz w:val="20"/>
                <w:szCs w:val="20"/>
              </w:rPr>
              <w:t xml:space="preserve"> – </w:t>
            </w:r>
            <w:r w:rsidRPr="001F4D92">
              <w:rPr>
                <w:rFonts w:ascii="Times New Roman" w:hAnsi="Times New Roman" w:cs="Times New Roman"/>
                <w:sz w:val="20"/>
                <w:szCs w:val="20"/>
              </w:rPr>
              <w:br/>
              <w:t>w ramach realizacji LSR wspierana będzie przedsiębiorczość, zarówno ta gospodarcza jak i społeczna, poszanowane będą warunki przyrodnicze, premiowane będą operacje zapewniające racjonalne gospodarowanie zasobami lub ograniczające presję na środowisko, ponadto cała LSR ukierunkowana jest właśnie na wymiar społeczny, w tym integracj</w:t>
            </w:r>
            <w:r>
              <w:rPr>
                <w:rFonts w:ascii="Times New Roman" w:hAnsi="Times New Roman" w:cs="Times New Roman"/>
                <w:sz w:val="20"/>
                <w:szCs w:val="20"/>
              </w:rPr>
              <w:t>ę</w:t>
            </w:r>
            <w:r w:rsidRPr="001F4D92">
              <w:rPr>
                <w:rFonts w:ascii="Times New Roman" w:hAnsi="Times New Roman" w:cs="Times New Roman"/>
                <w:sz w:val="20"/>
                <w:szCs w:val="20"/>
              </w:rPr>
              <w:t xml:space="preserve">, włączenie społeczne, </w:t>
            </w:r>
            <w:r>
              <w:rPr>
                <w:rFonts w:ascii="Times New Roman" w:hAnsi="Times New Roman" w:cs="Times New Roman"/>
                <w:sz w:val="20"/>
                <w:szCs w:val="20"/>
              </w:rPr>
              <w:t>a</w:t>
            </w:r>
            <w:r w:rsidRPr="001F4D92">
              <w:rPr>
                <w:rFonts w:ascii="Times New Roman" w:hAnsi="Times New Roman" w:cs="Times New Roman"/>
                <w:sz w:val="20"/>
                <w:szCs w:val="20"/>
              </w:rPr>
              <w:t xml:space="preserve"> szczególnie osób w niekorzystnej sytuacji. Wskazana w LSR grupa osób w niekorzystnej sytuacji – </w:t>
            </w:r>
            <w:r w:rsidR="00465095">
              <w:rPr>
                <w:rFonts w:ascii="Times New Roman" w:hAnsi="Times New Roman" w:cs="Times New Roman"/>
                <w:sz w:val="20"/>
                <w:szCs w:val="20"/>
              </w:rPr>
              <w:t>osoby z niepełnosprawnościami</w:t>
            </w:r>
            <w:r w:rsidRPr="001F4D92">
              <w:rPr>
                <w:rFonts w:ascii="Times New Roman" w:hAnsi="Times New Roman" w:cs="Times New Roman"/>
                <w:sz w:val="20"/>
                <w:szCs w:val="20"/>
              </w:rPr>
              <w:t xml:space="preserve">, jest zgodna z katalogiem takich grup wskazanym w PS WPR. </w:t>
            </w:r>
          </w:p>
          <w:p w14:paraId="3EDAF161" w14:textId="392251AF" w:rsidR="00A17173" w:rsidRPr="00634E90" w:rsidRDefault="00A17173" w:rsidP="00E15165">
            <w:pPr>
              <w:spacing w:line="276" w:lineRule="auto"/>
              <w:jc w:val="both"/>
              <w:rPr>
                <w:rFonts w:ascii="Times New Roman" w:hAnsi="Times New Roman" w:cs="Times New Roman"/>
                <w:sz w:val="20"/>
                <w:szCs w:val="20"/>
              </w:rPr>
            </w:pPr>
            <w:r w:rsidRPr="001F4D92">
              <w:rPr>
                <w:rFonts w:ascii="Times New Roman" w:hAnsi="Times New Roman" w:cs="Times New Roman"/>
                <w:i/>
                <w:iCs/>
                <w:sz w:val="20"/>
                <w:szCs w:val="20"/>
              </w:rPr>
              <w:t xml:space="preserve">Z uwagi natomiast na specyfikę metody LEADER wymaga się, iż LSR zarówno na etapie jej przygotowania jak i wdrażania zakładały maksymalne zastosowanie podejścia </w:t>
            </w:r>
            <w:r w:rsidRPr="00634E90">
              <w:rPr>
                <w:rFonts w:ascii="Times New Roman" w:hAnsi="Times New Roman" w:cs="Times New Roman"/>
                <w:i/>
                <w:iCs/>
                <w:sz w:val="20"/>
                <w:szCs w:val="20"/>
              </w:rPr>
              <w:t>partnerskiego</w:t>
            </w:r>
            <w:r w:rsidRPr="00634E90">
              <w:rPr>
                <w:rFonts w:ascii="Times New Roman" w:hAnsi="Times New Roman" w:cs="Times New Roman"/>
                <w:sz w:val="20"/>
                <w:szCs w:val="20"/>
              </w:rPr>
              <w:t xml:space="preserve"> – cały proces opracowania LSR oparty był na partnerstwie, zarówno </w:t>
            </w:r>
            <w:r w:rsidRPr="00634E90">
              <w:rPr>
                <w:rFonts w:ascii="Times New Roman" w:hAnsi="Times New Roman" w:cs="Times New Roman"/>
                <w:sz w:val="20"/>
                <w:szCs w:val="20"/>
              </w:rPr>
              <w:br/>
              <w:t xml:space="preserve">w odniesieniu do partnerów skupionych w LGD, jak i z innymi partnerami z obszaru. Na etapie wdrażania zaplanowano działania zwiększające aktywność członków i ich zaangażowanie w realizację LSR, a także operacje polegające na kojarzeniu partnerów </w:t>
            </w:r>
            <w:r w:rsidRPr="00634E90">
              <w:rPr>
                <w:rFonts w:ascii="Times New Roman" w:hAnsi="Times New Roman" w:cs="Times New Roman"/>
                <w:sz w:val="20"/>
                <w:szCs w:val="20"/>
              </w:rPr>
              <w:br/>
              <w:t>i animowaniu do realizacji projektów w partnerstwie. Zgodnie z zalecaniem (</w:t>
            </w:r>
            <w:r w:rsidRPr="00634E90">
              <w:rPr>
                <w:rFonts w:ascii="Times New Roman" w:hAnsi="Times New Roman" w:cs="Times New Roman"/>
                <w:i/>
                <w:iCs/>
                <w:sz w:val="20"/>
                <w:szCs w:val="20"/>
              </w:rPr>
              <w:t>dużą wagę przywiązuje się do innowacyjności projektowanych rozwiązań</w:t>
            </w:r>
            <w:r w:rsidRPr="00634E90">
              <w:rPr>
                <w:rFonts w:ascii="Times New Roman" w:hAnsi="Times New Roman" w:cs="Times New Roman"/>
                <w:sz w:val="20"/>
                <w:szCs w:val="20"/>
              </w:rPr>
              <w:t xml:space="preserve">), w LSR określono też mechanizmy mające zwiększyć poziom innowacyjności na obszarze, m.in. operację </w:t>
            </w:r>
            <w:r w:rsidRPr="00634E90">
              <w:rPr>
                <w:rFonts w:ascii="Times New Roman" w:hAnsi="Times New Roman" w:cs="Times New Roman"/>
                <w:sz w:val="20"/>
                <w:szCs w:val="20"/>
              </w:rPr>
              <w:lastRenderedPageBreak/>
              <w:t xml:space="preserve">związaną z innowacyjnymi inicjatywami oddolnymi. Poza operacją dedykowaną, we wszystkich przedsięwzięciach będzie premiowana innowacyjność. Zaplanowane operacje będą realizować co najmniej </w:t>
            </w:r>
            <w:r w:rsidR="00420E6B">
              <w:rPr>
                <w:rFonts w:ascii="Times New Roman" w:hAnsi="Times New Roman" w:cs="Times New Roman"/>
                <w:sz w:val="20"/>
                <w:szCs w:val="20"/>
              </w:rPr>
              <w:t>6</w:t>
            </w:r>
            <w:r w:rsidRPr="00634E90">
              <w:rPr>
                <w:rFonts w:ascii="Times New Roman" w:hAnsi="Times New Roman" w:cs="Times New Roman"/>
                <w:sz w:val="20"/>
                <w:szCs w:val="20"/>
              </w:rPr>
              <w:t xml:space="preserve"> z 9 celów interwencji PS WPR, tj.</w:t>
            </w:r>
          </w:p>
          <w:p w14:paraId="706AFDC9" w14:textId="77777777" w:rsidR="00A17173" w:rsidRDefault="00A17173" w:rsidP="00E15165">
            <w:pPr>
              <w:spacing w:line="276" w:lineRule="auto"/>
              <w:jc w:val="both"/>
              <w:rPr>
                <w:rFonts w:ascii="Times New Roman" w:hAnsi="Times New Roman" w:cs="Times New Roman"/>
                <w:sz w:val="20"/>
                <w:szCs w:val="20"/>
              </w:rPr>
            </w:pPr>
            <w:r w:rsidRPr="008546D9">
              <w:rPr>
                <w:rFonts w:ascii="Times New Roman" w:hAnsi="Times New Roman" w:cs="Times New Roman"/>
                <w:sz w:val="20"/>
                <w:szCs w:val="20"/>
              </w:rPr>
              <w:t>1</w:t>
            </w:r>
            <w:r w:rsidRPr="00634E90">
              <w:rPr>
                <w:rFonts w:ascii="Times New Roman" w:hAnsi="Times New Roman" w:cs="Times New Roman"/>
                <w:i/>
                <w:iCs/>
                <w:sz w:val="20"/>
                <w:szCs w:val="20"/>
              </w:rPr>
              <w:t>. Rozwój przedsiębiorczości, w tym rozwój biogospodarki lub zielonej gospodarki</w:t>
            </w:r>
            <w:r w:rsidRPr="00634E90">
              <w:rPr>
                <w:rFonts w:ascii="Times New Roman" w:hAnsi="Times New Roman" w:cs="Times New Roman"/>
                <w:sz w:val="20"/>
                <w:szCs w:val="20"/>
              </w:rPr>
              <w:t>;</w:t>
            </w:r>
          </w:p>
          <w:p w14:paraId="4DDF0B15" w14:textId="21BCEDDC" w:rsidR="00634E90" w:rsidRDefault="00634E90" w:rsidP="00E15165">
            <w:pPr>
              <w:spacing w:line="276" w:lineRule="auto"/>
              <w:jc w:val="both"/>
              <w:rPr>
                <w:rFonts w:ascii="Times New Roman" w:hAnsi="Times New Roman" w:cs="Times New Roman"/>
                <w:i/>
                <w:iCs/>
                <w:sz w:val="20"/>
                <w:szCs w:val="20"/>
              </w:rPr>
            </w:pPr>
            <w:r>
              <w:rPr>
                <w:rFonts w:ascii="Times New Roman" w:hAnsi="Times New Roman" w:cs="Times New Roman"/>
                <w:sz w:val="20"/>
                <w:szCs w:val="20"/>
              </w:rPr>
              <w:t xml:space="preserve">2. </w:t>
            </w:r>
            <w:r w:rsidRPr="00634E90">
              <w:rPr>
                <w:rFonts w:ascii="Times New Roman" w:hAnsi="Times New Roman" w:cs="Times New Roman"/>
                <w:i/>
                <w:iCs/>
                <w:sz w:val="20"/>
                <w:szCs w:val="20"/>
              </w:rPr>
              <w:t xml:space="preserve">Rozwój pozarolniczych funkcji małych gospodarstw rolnych w zakresie tworzenia lub </w:t>
            </w:r>
            <w:r w:rsidRPr="00171A26">
              <w:rPr>
                <w:rFonts w:ascii="Times New Roman" w:hAnsi="Times New Roman" w:cs="Times New Roman"/>
                <w:i/>
                <w:iCs/>
                <w:sz w:val="20"/>
                <w:szCs w:val="20"/>
              </w:rPr>
              <w:t xml:space="preserve">rozwijania a. </w:t>
            </w:r>
            <w:r w:rsidRPr="00171A26">
              <w:rPr>
                <w:rFonts w:ascii="Times New Roman" w:hAnsi="Times New Roman" w:cs="Times New Roman"/>
                <w:i/>
                <w:iCs/>
                <w:sz w:val="20"/>
                <w:szCs w:val="20"/>
                <w:shd w:val="clear" w:color="auto" w:fill="FFFFFF" w:themeFill="background1"/>
              </w:rPr>
              <w:t>gospodarstw agroturystycznych, b. zagrody edukacyjne;</w:t>
            </w:r>
          </w:p>
          <w:p w14:paraId="0FD6F289" w14:textId="00B205C1" w:rsidR="00634E90" w:rsidRPr="00634E90" w:rsidRDefault="00634E90" w:rsidP="00E15165">
            <w:pPr>
              <w:spacing w:line="276" w:lineRule="auto"/>
              <w:jc w:val="both"/>
              <w:rPr>
                <w:rFonts w:ascii="Times New Roman" w:hAnsi="Times New Roman" w:cs="Times New Roman"/>
                <w:i/>
                <w:iCs/>
                <w:sz w:val="20"/>
                <w:szCs w:val="20"/>
              </w:rPr>
            </w:pPr>
            <w:r>
              <w:rPr>
                <w:rFonts w:ascii="Times New Roman" w:hAnsi="Times New Roman" w:cs="Times New Roman"/>
                <w:sz w:val="20"/>
                <w:szCs w:val="20"/>
              </w:rPr>
              <w:t xml:space="preserve">4. </w:t>
            </w:r>
            <w:r>
              <w:rPr>
                <w:rFonts w:ascii="Times New Roman" w:hAnsi="Times New Roman" w:cs="Times New Roman"/>
                <w:i/>
                <w:iCs/>
                <w:sz w:val="20"/>
                <w:szCs w:val="20"/>
              </w:rPr>
              <w:t>Poprawa dostępu do usług dla lokalnych społeczności</w:t>
            </w:r>
            <w:r w:rsidR="006B665C">
              <w:rPr>
                <w:rFonts w:ascii="Times New Roman" w:hAnsi="Times New Roman" w:cs="Times New Roman"/>
                <w:i/>
                <w:iCs/>
                <w:sz w:val="20"/>
                <w:szCs w:val="20"/>
              </w:rPr>
              <w:t>;</w:t>
            </w:r>
          </w:p>
          <w:p w14:paraId="53970945" w14:textId="77777777" w:rsidR="00A17173" w:rsidRPr="00634E90" w:rsidRDefault="00A17173" w:rsidP="00E15165">
            <w:pPr>
              <w:spacing w:line="276" w:lineRule="auto"/>
              <w:jc w:val="both"/>
              <w:rPr>
                <w:rFonts w:ascii="Times New Roman" w:hAnsi="Times New Roman" w:cs="Times New Roman"/>
                <w:sz w:val="20"/>
                <w:szCs w:val="20"/>
              </w:rPr>
            </w:pPr>
            <w:r w:rsidRPr="00634E90">
              <w:rPr>
                <w:rFonts w:ascii="Times New Roman" w:hAnsi="Times New Roman" w:cs="Times New Roman"/>
                <w:sz w:val="20"/>
                <w:szCs w:val="20"/>
              </w:rPr>
              <w:t xml:space="preserve">6. </w:t>
            </w:r>
            <w:r w:rsidRPr="00634E90">
              <w:rPr>
                <w:rFonts w:ascii="Times New Roman" w:hAnsi="Times New Roman" w:cs="Times New Roman"/>
                <w:i/>
                <w:iCs/>
                <w:sz w:val="20"/>
                <w:szCs w:val="20"/>
              </w:rPr>
              <w:t>Poprawa dostępu do małej infrastruktury publicznej</w:t>
            </w:r>
            <w:r w:rsidRPr="00634E90">
              <w:rPr>
                <w:rFonts w:ascii="Times New Roman" w:hAnsi="Times New Roman" w:cs="Times New Roman"/>
                <w:sz w:val="20"/>
                <w:szCs w:val="20"/>
              </w:rPr>
              <w:t>;</w:t>
            </w:r>
          </w:p>
          <w:p w14:paraId="644B82A4" w14:textId="77777777" w:rsidR="00A17173" w:rsidRPr="00634E90" w:rsidRDefault="00A17173" w:rsidP="00E15165">
            <w:pPr>
              <w:spacing w:line="276" w:lineRule="auto"/>
              <w:jc w:val="both"/>
              <w:rPr>
                <w:rFonts w:ascii="Times New Roman" w:hAnsi="Times New Roman" w:cs="Times New Roman"/>
                <w:sz w:val="20"/>
                <w:szCs w:val="20"/>
              </w:rPr>
            </w:pPr>
            <w:r w:rsidRPr="00634E90">
              <w:rPr>
                <w:rFonts w:ascii="Times New Roman" w:hAnsi="Times New Roman" w:cs="Times New Roman"/>
                <w:sz w:val="20"/>
                <w:szCs w:val="20"/>
              </w:rPr>
              <w:t xml:space="preserve">7. </w:t>
            </w:r>
            <w:r w:rsidRPr="00634E90">
              <w:rPr>
                <w:rFonts w:ascii="Times New Roman" w:hAnsi="Times New Roman" w:cs="Times New Roman"/>
                <w:i/>
                <w:iCs/>
                <w:sz w:val="20"/>
                <w:szCs w:val="20"/>
              </w:rPr>
              <w:t xml:space="preserve">Kształtowanie świadomości obywatelskiej o znaczeniu zrównoważonego rolnictwa, gospodarki rolno-spożywczej, zielonej gospodarki, biogospodarki, wsparcie rozwoju wiedzy i umiejętności w zakresie innowacyjności, cyfryzacji i przedsiębiorczości, a także wzmacnianie programów edukacji liderów życia publicznego i społecznego, </w:t>
            </w:r>
            <w:r w:rsidRPr="00634E90">
              <w:rPr>
                <w:rFonts w:ascii="Times New Roman" w:hAnsi="Times New Roman" w:cs="Times New Roman"/>
                <w:i/>
                <w:iCs/>
                <w:sz w:val="20"/>
                <w:szCs w:val="20"/>
              </w:rPr>
              <w:br/>
              <w:t>z wyłączeniem inwestycji infrastrukturalnych</w:t>
            </w:r>
            <w:r w:rsidRPr="00634E90">
              <w:rPr>
                <w:rFonts w:ascii="Times New Roman" w:hAnsi="Times New Roman" w:cs="Times New Roman"/>
                <w:sz w:val="20"/>
                <w:szCs w:val="20"/>
              </w:rPr>
              <w:t>;</w:t>
            </w:r>
          </w:p>
          <w:p w14:paraId="3FDFC0F8" w14:textId="77777777" w:rsidR="00A17173" w:rsidRPr="001F4D92" w:rsidRDefault="00A17173" w:rsidP="00E15165">
            <w:pPr>
              <w:spacing w:line="276" w:lineRule="auto"/>
              <w:jc w:val="both"/>
              <w:rPr>
                <w:rFonts w:ascii="Times New Roman" w:hAnsi="Times New Roman" w:cs="Times New Roman"/>
                <w:sz w:val="20"/>
                <w:szCs w:val="20"/>
              </w:rPr>
            </w:pPr>
            <w:r w:rsidRPr="00634E90">
              <w:rPr>
                <w:rFonts w:ascii="Times New Roman" w:hAnsi="Times New Roman" w:cs="Times New Roman"/>
                <w:sz w:val="20"/>
                <w:szCs w:val="20"/>
              </w:rPr>
              <w:t xml:space="preserve">8. </w:t>
            </w:r>
            <w:r w:rsidRPr="00634E90">
              <w:rPr>
                <w:rFonts w:ascii="Times New Roman" w:hAnsi="Times New Roman" w:cs="Times New Roman"/>
                <w:i/>
                <w:iCs/>
                <w:sz w:val="20"/>
                <w:szCs w:val="20"/>
              </w:rPr>
              <w:t>Włączenie społeczne seniorów, ludzi młodych i osób w niekorzystnej sytuacji</w:t>
            </w:r>
            <w:r w:rsidRPr="00634E90">
              <w:rPr>
                <w:rFonts w:ascii="Times New Roman" w:hAnsi="Times New Roman" w:cs="Times New Roman"/>
                <w:sz w:val="20"/>
                <w:szCs w:val="20"/>
              </w:rPr>
              <w:t>.</w:t>
            </w:r>
          </w:p>
        </w:tc>
      </w:tr>
    </w:tbl>
    <w:p w14:paraId="59C2A8D3" w14:textId="2C63D6BD" w:rsidR="00A17173" w:rsidRDefault="00A17173" w:rsidP="00465095">
      <w:pPr>
        <w:jc w:val="center"/>
        <w:rPr>
          <w:rFonts w:ascii="Times New Roman" w:hAnsi="Times New Roman" w:cs="Times New Roman"/>
        </w:rPr>
      </w:pPr>
      <w:r w:rsidRPr="001F75C9">
        <w:rPr>
          <w:rFonts w:ascii="Times New Roman" w:hAnsi="Times New Roman" w:cs="Times New Roman"/>
          <w:i/>
          <w:iCs/>
          <w:sz w:val="20"/>
          <w:szCs w:val="20"/>
        </w:rPr>
        <w:lastRenderedPageBreak/>
        <w:t xml:space="preserve">Źródło: </w:t>
      </w:r>
      <w:r>
        <w:rPr>
          <w:rFonts w:ascii="Times New Roman" w:hAnsi="Times New Roman" w:cs="Times New Roman"/>
          <w:i/>
          <w:iCs/>
          <w:sz w:val="20"/>
          <w:szCs w:val="20"/>
        </w:rPr>
        <w:t>Opracowanie</w:t>
      </w:r>
      <w:r w:rsidRPr="001F75C9">
        <w:rPr>
          <w:rFonts w:ascii="Times New Roman" w:hAnsi="Times New Roman" w:cs="Times New Roman"/>
          <w:i/>
          <w:iCs/>
          <w:sz w:val="20"/>
          <w:szCs w:val="20"/>
        </w:rPr>
        <w:t xml:space="preserve"> własne</w:t>
      </w:r>
    </w:p>
    <w:p w14:paraId="1BD3965F" w14:textId="7142614A" w:rsidR="00A17173" w:rsidRDefault="00465095" w:rsidP="00A17173">
      <w:pPr>
        <w:spacing w:after="0" w:line="276" w:lineRule="auto"/>
        <w:ind w:firstLine="709"/>
        <w:jc w:val="both"/>
        <w:rPr>
          <w:rFonts w:ascii="Times New Roman" w:hAnsi="Times New Roman" w:cs="Times New Roman"/>
        </w:rPr>
      </w:pPr>
      <w:r>
        <w:rPr>
          <w:rFonts w:ascii="Times New Roman" w:hAnsi="Times New Roman" w:cs="Times New Roman"/>
        </w:rPr>
        <w:t>Pomimo, iż LSR jest jednofunduszowa</w:t>
      </w:r>
      <w:r w:rsidR="00740354">
        <w:rPr>
          <w:rFonts w:ascii="Times New Roman" w:hAnsi="Times New Roman" w:cs="Times New Roman"/>
        </w:rPr>
        <w:t>,</w:t>
      </w:r>
      <w:r>
        <w:rPr>
          <w:rFonts w:ascii="Times New Roman" w:hAnsi="Times New Roman" w:cs="Times New Roman"/>
        </w:rPr>
        <w:t xml:space="preserve"> to </w:t>
      </w:r>
      <w:r w:rsidR="00A17173">
        <w:rPr>
          <w:rFonts w:ascii="Times New Roman" w:hAnsi="Times New Roman" w:cs="Times New Roman"/>
        </w:rPr>
        <w:t>LGD mogą również ubiegać się o fundusze na realizację przedsięwzięć w ramach innych programów oraz podejmować działania informacyjne na obszarze o możliwości finansowania przedsięwzięć z innych źródeł zewnętrznych</w:t>
      </w:r>
      <w:r w:rsidR="00740354">
        <w:rPr>
          <w:rFonts w:ascii="Times New Roman" w:hAnsi="Times New Roman" w:cs="Times New Roman"/>
        </w:rPr>
        <w:t>,</w:t>
      </w:r>
      <w:r w:rsidR="00A17173">
        <w:rPr>
          <w:rFonts w:ascii="Times New Roman" w:hAnsi="Times New Roman" w:cs="Times New Roman"/>
        </w:rPr>
        <w:t xml:space="preserve"> zarówno w ramach środków europejskich, jak </w:t>
      </w:r>
      <w:r>
        <w:rPr>
          <w:rFonts w:ascii="Times New Roman" w:hAnsi="Times New Roman" w:cs="Times New Roman"/>
        </w:rPr>
        <w:br/>
      </w:r>
      <w:r w:rsidR="00A17173">
        <w:rPr>
          <w:rFonts w:ascii="Times New Roman" w:hAnsi="Times New Roman" w:cs="Times New Roman"/>
        </w:rPr>
        <w:t>i krajowych, czy w ramach Funduszy Europejskiego Obszaru Gospodarczego i Funduszy Norweskich. Przedsięwzięcia zaplanowane do realizacji w ramach wdrażania LSR będą finansowane bezpośrednio z</w:t>
      </w:r>
      <w:r w:rsidR="00740354">
        <w:rPr>
          <w:rFonts w:ascii="Times New Roman" w:hAnsi="Times New Roman" w:cs="Times New Roman"/>
        </w:rPr>
        <w:t>e środków PS WPR na lata 2023–2027 w ramach EFRROW (tabela 17)</w:t>
      </w:r>
      <w:r w:rsidR="00A17173">
        <w:rPr>
          <w:rFonts w:ascii="Times New Roman" w:hAnsi="Times New Roman" w:cs="Times New Roman"/>
        </w:rPr>
        <w:t xml:space="preserve">. Ponadto wybrane </w:t>
      </w:r>
      <w:r w:rsidR="00EB47AB">
        <w:rPr>
          <w:rFonts w:ascii="Times New Roman" w:hAnsi="Times New Roman" w:cs="Times New Roman"/>
        </w:rPr>
        <w:t>przedsięwzięcia</w:t>
      </w:r>
      <w:r w:rsidR="00A17173">
        <w:rPr>
          <w:rFonts w:ascii="Times New Roman" w:hAnsi="Times New Roman" w:cs="Times New Roman"/>
        </w:rPr>
        <w:t xml:space="preserve"> w ramach </w:t>
      </w:r>
      <w:r w:rsidR="00EB47AB">
        <w:rPr>
          <w:rFonts w:ascii="Times New Roman" w:hAnsi="Times New Roman" w:cs="Times New Roman"/>
        </w:rPr>
        <w:t xml:space="preserve">Celu </w:t>
      </w:r>
      <w:r w:rsidR="00A17173">
        <w:rPr>
          <w:rFonts w:ascii="Times New Roman" w:hAnsi="Times New Roman" w:cs="Times New Roman"/>
        </w:rPr>
        <w:t>1. mogą być realizowane przez LGD oraz inne podmioty i partnerów</w:t>
      </w:r>
      <w:r w:rsidR="00796E23">
        <w:rPr>
          <w:rFonts w:ascii="Times New Roman" w:hAnsi="Times New Roman" w:cs="Times New Roman"/>
        </w:rPr>
        <w:t>,</w:t>
      </w:r>
      <w:r w:rsidR="00A17173">
        <w:rPr>
          <w:rFonts w:ascii="Times New Roman" w:hAnsi="Times New Roman" w:cs="Times New Roman"/>
        </w:rPr>
        <w:t xml:space="preserve"> szczególnie z takich źródeł finansowania jak:</w:t>
      </w:r>
    </w:p>
    <w:p w14:paraId="1F3C8DAF" w14:textId="5493BAB3" w:rsidR="00A17173" w:rsidRDefault="00A17173" w:rsidP="00171A26">
      <w:pPr>
        <w:pStyle w:val="Akapitzlist"/>
        <w:numPr>
          <w:ilvl w:val="0"/>
          <w:numId w:val="22"/>
        </w:numPr>
        <w:spacing w:after="0"/>
        <w:ind w:left="709"/>
        <w:jc w:val="both"/>
        <w:rPr>
          <w:rFonts w:ascii="Times New Roman" w:hAnsi="Times New Roman" w:cs="Times New Roman"/>
        </w:rPr>
      </w:pPr>
      <w:r w:rsidRPr="003E5AA1">
        <w:rPr>
          <w:rFonts w:ascii="Times New Roman" w:hAnsi="Times New Roman" w:cs="Times New Roman"/>
          <w:i/>
          <w:iCs/>
        </w:rPr>
        <w:t>Fundusze Europejskie na Infrastrukturę, Klimat, Środowisko 2021–2027</w:t>
      </w:r>
      <w:r w:rsidRPr="003E5AA1">
        <w:rPr>
          <w:rFonts w:ascii="Times New Roman" w:hAnsi="Times New Roman" w:cs="Times New Roman"/>
        </w:rPr>
        <w:t xml:space="preserve"> w ramach priorytetu VII </w:t>
      </w:r>
      <w:r w:rsidRPr="003E5AA1">
        <w:rPr>
          <w:rFonts w:ascii="Times New Roman" w:hAnsi="Times New Roman" w:cs="Times New Roman"/>
          <w:i/>
          <w:iCs/>
        </w:rPr>
        <w:t>Kultura</w:t>
      </w:r>
      <w:r w:rsidRPr="003E5AA1">
        <w:rPr>
          <w:rFonts w:ascii="Times New Roman" w:hAnsi="Times New Roman" w:cs="Times New Roman"/>
        </w:rPr>
        <w:t xml:space="preserve"> Cel szczegółowy 4.6 </w:t>
      </w:r>
      <w:r w:rsidRPr="003E5AA1">
        <w:rPr>
          <w:rFonts w:ascii="Times New Roman" w:hAnsi="Times New Roman" w:cs="Times New Roman"/>
          <w:i/>
          <w:iCs/>
        </w:rPr>
        <w:t>Wzmacnianie roli kultury i zrównoważonej turystyki w rozwoju gospodarczym, włączeniu społecznym i innowacjach społecznych</w:t>
      </w:r>
      <w:r w:rsidRPr="003E5AA1">
        <w:rPr>
          <w:rFonts w:ascii="Times New Roman" w:hAnsi="Times New Roman" w:cs="Times New Roman"/>
        </w:rPr>
        <w:t xml:space="preserve">. </w:t>
      </w:r>
      <w:r>
        <w:rPr>
          <w:rFonts w:ascii="Times New Roman" w:hAnsi="Times New Roman" w:cs="Times New Roman"/>
        </w:rPr>
        <w:t>W zakres finansowania z tego programu wpisują się w szczególności operacje określone w LSR odnoszące się do ogólnodostępnej infrastruktury publicznej (1.1) i rozwoju oferty kulturalnej (1.</w:t>
      </w:r>
      <w:r w:rsidR="00EB47AB">
        <w:rPr>
          <w:rFonts w:ascii="Times New Roman" w:hAnsi="Times New Roman" w:cs="Times New Roman"/>
        </w:rPr>
        <w:t>13</w:t>
      </w:r>
      <w:r>
        <w:rPr>
          <w:rFonts w:ascii="Times New Roman" w:hAnsi="Times New Roman" w:cs="Times New Roman"/>
        </w:rPr>
        <w:t>).</w:t>
      </w:r>
    </w:p>
    <w:p w14:paraId="1EE88F50" w14:textId="426E4FE0" w:rsidR="00A17173" w:rsidRPr="00FB42DF" w:rsidRDefault="00A17173" w:rsidP="00CD2D87">
      <w:pPr>
        <w:pStyle w:val="Akapitzlist"/>
        <w:numPr>
          <w:ilvl w:val="0"/>
          <w:numId w:val="21"/>
        </w:numPr>
        <w:spacing w:after="0" w:line="276" w:lineRule="auto"/>
        <w:jc w:val="both"/>
        <w:rPr>
          <w:rFonts w:ascii="Times New Roman" w:hAnsi="Times New Roman" w:cs="Times New Roman"/>
          <w:sz w:val="24"/>
          <w:szCs w:val="24"/>
        </w:rPr>
      </w:pPr>
      <w:r w:rsidRPr="003E5AA1">
        <w:rPr>
          <w:rFonts w:ascii="Times New Roman" w:hAnsi="Times New Roman" w:cs="Times New Roman"/>
          <w:i/>
          <w:iCs/>
        </w:rPr>
        <w:t>Fundusze Europejskie</w:t>
      </w:r>
      <w:r>
        <w:rPr>
          <w:rFonts w:ascii="Times New Roman" w:hAnsi="Times New Roman" w:cs="Times New Roman"/>
          <w:i/>
          <w:iCs/>
        </w:rPr>
        <w:t xml:space="preserve"> dla Rozwoju Społecznego 2021–2027 </w:t>
      </w:r>
      <w:r w:rsidRPr="005F4CD5">
        <w:rPr>
          <w:rFonts w:ascii="Times New Roman" w:hAnsi="Times New Roman" w:cs="Times New Roman"/>
        </w:rPr>
        <w:t xml:space="preserve">w </w:t>
      </w:r>
      <w:r>
        <w:rPr>
          <w:rFonts w:ascii="Times New Roman" w:hAnsi="Times New Roman" w:cs="Times New Roman"/>
        </w:rPr>
        <w:t>ramach</w:t>
      </w:r>
      <w:r w:rsidRPr="005F4CD5">
        <w:rPr>
          <w:rFonts w:ascii="Times New Roman" w:hAnsi="Times New Roman" w:cs="Times New Roman"/>
        </w:rPr>
        <w:t xml:space="preserve"> celu szczegółowego ESO4.7. </w:t>
      </w:r>
      <w:r w:rsidRPr="005F4CD5">
        <w:rPr>
          <w:rFonts w:ascii="Times New Roman" w:hAnsi="Times New Roman" w:cs="Times New Roman"/>
          <w:i/>
          <w:iCs/>
        </w:rPr>
        <w:t xml:space="preserve">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w:t>
      </w:r>
      <w:r w:rsidRPr="005B67A8">
        <w:rPr>
          <w:rFonts w:ascii="Times New Roman" w:hAnsi="Times New Roman" w:cs="Times New Roman"/>
        </w:rPr>
        <w:t>(EFS+).</w:t>
      </w:r>
      <w:r>
        <w:rPr>
          <w:rFonts w:ascii="Times New Roman" w:hAnsi="Times New Roman" w:cs="Times New Roman"/>
          <w:i/>
          <w:iCs/>
        </w:rPr>
        <w:t xml:space="preserve"> </w:t>
      </w:r>
      <w:r>
        <w:rPr>
          <w:rFonts w:ascii="Times New Roman" w:hAnsi="Times New Roman" w:cs="Times New Roman"/>
        </w:rPr>
        <w:t>W zakres finansowania tego programu wpisuj</w:t>
      </w:r>
      <w:r w:rsidR="00465095">
        <w:rPr>
          <w:rFonts w:ascii="Times New Roman" w:hAnsi="Times New Roman" w:cs="Times New Roman"/>
        </w:rPr>
        <w:t xml:space="preserve">e </w:t>
      </w:r>
      <w:r>
        <w:rPr>
          <w:rFonts w:ascii="Times New Roman" w:hAnsi="Times New Roman" w:cs="Times New Roman"/>
        </w:rPr>
        <w:t>się operacj</w:t>
      </w:r>
      <w:r w:rsidR="00465095">
        <w:rPr>
          <w:rFonts w:ascii="Times New Roman" w:hAnsi="Times New Roman" w:cs="Times New Roman"/>
        </w:rPr>
        <w:t>a</w:t>
      </w:r>
      <w:r>
        <w:rPr>
          <w:rFonts w:ascii="Times New Roman" w:hAnsi="Times New Roman" w:cs="Times New Roman"/>
        </w:rPr>
        <w:t xml:space="preserve"> 1.</w:t>
      </w:r>
      <w:r w:rsidR="00EB47AB">
        <w:rPr>
          <w:rFonts w:ascii="Times New Roman" w:hAnsi="Times New Roman" w:cs="Times New Roman"/>
        </w:rPr>
        <w:t>1</w:t>
      </w:r>
      <w:r w:rsidR="00465095">
        <w:rPr>
          <w:rFonts w:ascii="Times New Roman" w:hAnsi="Times New Roman" w:cs="Times New Roman"/>
        </w:rPr>
        <w:t>5</w:t>
      </w:r>
      <w:r w:rsidR="002C1014">
        <w:rPr>
          <w:rFonts w:ascii="Times New Roman" w:hAnsi="Times New Roman" w:cs="Times New Roman"/>
        </w:rPr>
        <w:t>,</w:t>
      </w:r>
      <w:r>
        <w:rPr>
          <w:rFonts w:ascii="Times New Roman" w:hAnsi="Times New Roman" w:cs="Times New Roman"/>
        </w:rPr>
        <w:t xml:space="preserve"> któr</w:t>
      </w:r>
      <w:r w:rsidR="00465095">
        <w:rPr>
          <w:rFonts w:ascii="Times New Roman" w:hAnsi="Times New Roman" w:cs="Times New Roman"/>
        </w:rPr>
        <w:t xml:space="preserve">a </w:t>
      </w:r>
      <w:r>
        <w:rPr>
          <w:rFonts w:ascii="Times New Roman" w:hAnsi="Times New Roman" w:cs="Times New Roman"/>
        </w:rPr>
        <w:t xml:space="preserve">zakłada podnoszenie kompetencji </w:t>
      </w:r>
      <w:r w:rsidR="00465095">
        <w:rPr>
          <w:rFonts w:ascii="Times New Roman" w:hAnsi="Times New Roman" w:cs="Times New Roman"/>
        </w:rPr>
        <w:br/>
      </w:r>
      <w:r>
        <w:rPr>
          <w:rFonts w:ascii="Times New Roman" w:hAnsi="Times New Roman" w:cs="Times New Roman"/>
        </w:rPr>
        <w:t xml:space="preserve">i aktywizację </w:t>
      </w:r>
      <w:r w:rsidR="00465095">
        <w:rPr>
          <w:rFonts w:ascii="Times New Roman" w:hAnsi="Times New Roman" w:cs="Times New Roman"/>
        </w:rPr>
        <w:t>mieszkańców w zakresie pracy, usług i nauki zdalnej.</w:t>
      </w:r>
    </w:p>
    <w:p w14:paraId="5ACEC255" w14:textId="0C3874F3" w:rsidR="00A17173" w:rsidRDefault="00A17173" w:rsidP="00CD2D87">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i/>
          <w:iCs/>
        </w:rPr>
        <w:t xml:space="preserve">Krajowy Plan Odbudowy (KPO) – w ramach Funduszu </w:t>
      </w:r>
      <w:r w:rsidRPr="00FB42DF">
        <w:rPr>
          <w:rFonts w:ascii="Times New Roman" w:hAnsi="Times New Roman" w:cs="Times New Roman"/>
          <w:i/>
          <w:iCs/>
        </w:rPr>
        <w:t xml:space="preserve">Odbudowy </w:t>
      </w:r>
      <w:r w:rsidRPr="00FB42DF">
        <w:rPr>
          <w:rFonts w:ascii="Times New Roman" w:hAnsi="Times New Roman" w:cs="Times New Roman"/>
        </w:rPr>
        <w:t xml:space="preserve">w zakresie komponentu A </w:t>
      </w:r>
      <w:r w:rsidRPr="00FB42DF">
        <w:rPr>
          <w:rFonts w:ascii="Times New Roman" w:hAnsi="Times New Roman" w:cs="Times New Roman"/>
          <w:i/>
          <w:iCs/>
        </w:rPr>
        <w:t xml:space="preserve">Odporność </w:t>
      </w:r>
      <w:r>
        <w:rPr>
          <w:rFonts w:ascii="Times New Roman" w:hAnsi="Times New Roman" w:cs="Times New Roman"/>
          <w:i/>
          <w:iCs/>
        </w:rPr>
        <w:br/>
      </w:r>
      <w:r w:rsidRPr="00FB42DF">
        <w:rPr>
          <w:rFonts w:ascii="Times New Roman" w:hAnsi="Times New Roman" w:cs="Times New Roman"/>
          <w:i/>
          <w:iCs/>
        </w:rPr>
        <w:t xml:space="preserve">i konkurencyjność gospodarki, </w:t>
      </w:r>
      <w:r w:rsidRPr="00FB42DF">
        <w:rPr>
          <w:rFonts w:ascii="Times New Roman" w:hAnsi="Times New Roman" w:cs="Times New Roman"/>
        </w:rPr>
        <w:t xml:space="preserve">cel szczegółowy A4. </w:t>
      </w:r>
      <w:r w:rsidRPr="00FB42DF">
        <w:rPr>
          <w:rFonts w:ascii="Arial" w:hAnsi="Arial" w:cs="Arial"/>
        </w:rPr>
        <w:t xml:space="preserve"> </w:t>
      </w:r>
      <w:r w:rsidRPr="00FB42DF">
        <w:rPr>
          <w:rFonts w:ascii="Times New Roman" w:hAnsi="Times New Roman" w:cs="Times New Roman"/>
          <w:i/>
          <w:iCs/>
        </w:rPr>
        <w:t>Zwiększenie dopasowania strukturalnego, efektywności</w:t>
      </w:r>
      <w:r>
        <w:rPr>
          <w:rFonts w:ascii="Times New Roman" w:hAnsi="Times New Roman" w:cs="Times New Roman"/>
          <w:i/>
          <w:iCs/>
        </w:rPr>
        <w:t xml:space="preserve"> </w:t>
      </w:r>
      <w:r w:rsidRPr="00FB42DF">
        <w:rPr>
          <w:rFonts w:ascii="Times New Roman" w:hAnsi="Times New Roman" w:cs="Times New Roman"/>
          <w:i/>
          <w:iCs/>
        </w:rPr>
        <w:t xml:space="preserve">i odporności kryzysowej rynku pracy, </w:t>
      </w:r>
      <w:r w:rsidRPr="00FB42DF">
        <w:rPr>
          <w:rFonts w:ascii="Times New Roman" w:hAnsi="Times New Roman" w:cs="Times New Roman"/>
        </w:rPr>
        <w:t xml:space="preserve">Reforma A4.5. </w:t>
      </w:r>
      <w:r w:rsidRPr="00FB42DF">
        <w:rPr>
          <w:rFonts w:ascii="Times New Roman" w:hAnsi="Times New Roman" w:cs="Times New Roman"/>
          <w:i/>
          <w:iCs/>
        </w:rPr>
        <w:t>Przedłużanie kariery zawodowej i promowanie pracy po przekroczeniu ustawowego wieku emerytalnego</w:t>
      </w:r>
      <w:r>
        <w:rPr>
          <w:rFonts w:ascii="Times New Roman" w:hAnsi="Times New Roman" w:cs="Times New Roman"/>
          <w:i/>
          <w:iCs/>
        </w:rPr>
        <w:t xml:space="preserve">. </w:t>
      </w:r>
      <w:r>
        <w:rPr>
          <w:rFonts w:ascii="Times New Roman" w:hAnsi="Times New Roman" w:cs="Times New Roman"/>
        </w:rPr>
        <w:t xml:space="preserve">W zakres finansowania tego programu wpisuje się </w:t>
      </w:r>
      <w:r w:rsidR="00465095">
        <w:rPr>
          <w:rFonts w:ascii="Times New Roman" w:hAnsi="Times New Roman" w:cs="Times New Roman"/>
        </w:rPr>
        <w:t xml:space="preserve">również </w:t>
      </w:r>
      <w:r>
        <w:rPr>
          <w:rFonts w:ascii="Times New Roman" w:hAnsi="Times New Roman" w:cs="Times New Roman"/>
        </w:rPr>
        <w:t>operacja 1.</w:t>
      </w:r>
      <w:r w:rsidR="00465095">
        <w:rPr>
          <w:rFonts w:ascii="Times New Roman" w:hAnsi="Times New Roman" w:cs="Times New Roman"/>
        </w:rPr>
        <w:t>5</w:t>
      </w:r>
      <w:r w:rsidR="00F5301B">
        <w:rPr>
          <w:rFonts w:ascii="Times New Roman" w:hAnsi="Times New Roman" w:cs="Times New Roman"/>
        </w:rPr>
        <w:t>.</w:t>
      </w:r>
    </w:p>
    <w:p w14:paraId="18C1F53A" w14:textId="68DFB45B" w:rsidR="00F5301B" w:rsidRPr="00F5301B" w:rsidRDefault="00F5301B" w:rsidP="00F5301B">
      <w:pPr>
        <w:pStyle w:val="Akapitzlist"/>
        <w:numPr>
          <w:ilvl w:val="0"/>
          <w:numId w:val="21"/>
        </w:numPr>
        <w:spacing w:after="120" w:line="276" w:lineRule="auto"/>
        <w:jc w:val="both"/>
        <w:rPr>
          <w:rFonts w:ascii="Times New Roman" w:hAnsi="Times New Roman" w:cs="Times New Roman"/>
        </w:rPr>
      </w:pPr>
      <w:r>
        <w:rPr>
          <w:rFonts w:ascii="Times New Roman" w:hAnsi="Times New Roman" w:cs="Times New Roman"/>
          <w:i/>
          <w:iCs/>
        </w:rPr>
        <w:t>Program Fundusz Inicjatyw Obywatelskich NOWEFIO na lata 2021–2030</w:t>
      </w:r>
      <w:r w:rsidRPr="0073287F">
        <w:rPr>
          <w:rFonts w:ascii="Times New Roman" w:hAnsi="Times New Roman" w:cs="Times New Roman"/>
          <w:i/>
          <w:iCs/>
        </w:rPr>
        <w:t xml:space="preserve"> – </w:t>
      </w:r>
      <w:r w:rsidRPr="00C71EC3">
        <w:rPr>
          <w:rFonts w:ascii="Times New Roman" w:hAnsi="Times New Roman" w:cs="Times New Roman"/>
        </w:rPr>
        <w:t>w ramach</w:t>
      </w:r>
      <w:r w:rsidRPr="0073287F">
        <w:rPr>
          <w:rFonts w:ascii="Times New Roman" w:hAnsi="Times New Roman" w:cs="Times New Roman"/>
          <w:i/>
          <w:iCs/>
        </w:rPr>
        <w:t xml:space="preserve"> </w:t>
      </w:r>
      <w:r w:rsidRPr="0073287F">
        <w:rPr>
          <w:rFonts w:ascii="Times New Roman" w:hAnsi="Times New Roman" w:cs="Times New Roman"/>
        </w:rPr>
        <w:t xml:space="preserve">priorytetu I </w:t>
      </w:r>
      <w:r>
        <w:rPr>
          <w:rFonts w:ascii="Times New Roman" w:hAnsi="Times New Roman" w:cs="Times New Roman"/>
          <w:i/>
          <w:iCs/>
        </w:rPr>
        <w:t xml:space="preserve">Mikro-inicjatywy </w:t>
      </w:r>
      <w:r>
        <w:rPr>
          <w:rFonts w:ascii="Times New Roman" w:hAnsi="Times New Roman" w:cs="Times New Roman"/>
        </w:rPr>
        <w:t xml:space="preserve">oraz w ramach priorytetu II </w:t>
      </w:r>
      <w:r w:rsidRPr="00C71EC3">
        <w:rPr>
          <w:rFonts w:ascii="Times New Roman" w:hAnsi="Times New Roman" w:cs="Times New Roman"/>
          <w:i/>
          <w:iCs/>
        </w:rPr>
        <w:t>Organizacje obywatelskie na rzecz dobra wspólnego</w:t>
      </w:r>
      <w:r w:rsidR="00CD53CB">
        <w:rPr>
          <w:rFonts w:ascii="Times New Roman" w:hAnsi="Times New Roman" w:cs="Times New Roman"/>
          <w:i/>
          <w:iCs/>
        </w:rPr>
        <w:t>.</w:t>
      </w:r>
      <w:r w:rsidRPr="0073287F">
        <w:rPr>
          <w:rFonts w:ascii="Times New Roman" w:hAnsi="Times New Roman" w:cs="Times New Roman"/>
          <w:i/>
          <w:iCs/>
        </w:rPr>
        <w:br/>
      </w:r>
      <w:r w:rsidRPr="0073287F">
        <w:rPr>
          <w:rFonts w:ascii="Times New Roman" w:hAnsi="Times New Roman" w:cs="Times New Roman"/>
        </w:rPr>
        <w:t xml:space="preserve">W zakres finansowania tego programu wpisuje się </w:t>
      </w:r>
      <w:r>
        <w:rPr>
          <w:rFonts w:ascii="Times New Roman" w:hAnsi="Times New Roman" w:cs="Times New Roman"/>
        </w:rPr>
        <w:t>przedsięwzięcie</w:t>
      </w:r>
      <w:r w:rsidRPr="0073287F">
        <w:rPr>
          <w:rFonts w:ascii="Times New Roman" w:hAnsi="Times New Roman" w:cs="Times New Roman"/>
        </w:rPr>
        <w:t xml:space="preserve"> 1.</w:t>
      </w:r>
      <w:r>
        <w:rPr>
          <w:rFonts w:ascii="Times New Roman" w:hAnsi="Times New Roman" w:cs="Times New Roman"/>
        </w:rPr>
        <w:t>5</w:t>
      </w:r>
      <w:r w:rsidRPr="0073287F">
        <w:rPr>
          <w:rFonts w:ascii="Times New Roman" w:hAnsi="Times New Roman" w:cs="Times New Roman"/>
        </w:rPr>
        <w:t>, któr</w:t>
      </w:r>
      <w:r w:rsidR="00CD53CB">
        <w:rPr>
          <w:rFonts w:ascii="Times New Roman" w:hAnsi="Times New Roman" w:cs="Times New Roman"/>
        </w:rPr>
        <w:t>e</w:t>
      </w:r>
      <w:r w:rsidRPr="0073287F">
        <w:rPr>
          <w:rFonts w:ascii="Times New Roman" w:hAnsi="Times New Roman" w:cs="Times New Roman"/>
        </w:rPr>
        <w:t xml:space="preserve"> </w:t>
      </w:r>
      <w:r>
        <w:rPr>
          <w:rFonts w:ascii="Times New Roman" w:hAnsi="Times New Roman" w:cs="Times New Roman"/>
        </w:rPr>
        <w:t>zakłada wzmocnienie potencjału organizacji pozarządowych.</w:t>
      </w:r>
    </w:p>
    <w:p w14:paraId="71D1D749" w14:textId="77777777" w:rsidR="00A17173" w:rsidRDefault="00A17173" w:rsidP="00A17173">
      <w:pPr>
        <w:spacing w:after="0"/>
        <w:ind w:firstLine="709"/>
        <w:jc w:val="both"/>
        <w:rPr>
          <w:rFonts w:ascii="Times New Roman" w:hAnsi="Times New Roman" w:cs="Times New Roman"/>
        </w:rPr>
      </w:pPr>
      <w:r>
        <w:rPr>
          <w:rFonts w:ascii="Times New Roman" w:hAnsi="Times New Roman" w:cs="Times New Roman"/>
        </w:rPr>
        <w:t xml:space="preserve">Wykorzystanie różnych źródeł finansowania pozwoli na osiągnięcie lepszych efektów w realizacji zaplanowanych przedsięwzięć poprzez koordynację działań w ramach kilku programów. Niewątpliwie dywersyfikacja źródeł finansowania wywoła większy wpływ na obszar niż skorzystanie tylko z jednego programu. Wspieranie rozwoju kompetencji społecznych i gospodarczych będzie realizowane przez szereg zaplanowanych działań, które dotykają różnych zdiagnozowanych problemów, wzajemnie się uzupełniają i w sposób synergiczny wpłyną na osiągnięcie celu założonego w LSR jakim jest stworzenie mieszkańcom obszaru odpowiednich warunków do rozwoju w miejscu, w którym żyją. </w:t>
      </w:r>
    </w:p>
    <w:p w14:paraId="1A3D00A3" w14:textId="77FC7ADA" w:rsidR="00A17173" w:rsidRDefault="00A17173" w:rsidP="0084722A">
      <w:pPr>
        <w:spacing w:after="0" w:line="276" w:lineRule="auto"/>
        <w:ind w:firstLine="709"/>
        <w:jc w:val="both"/>
        <w:rPr>
          <w:rFonts w:ascii="Times New Roman" w:hAnsi="Times New Roman" w:cs="Times New Roman"/>
        </w:rPr>
      </w:pPr>
      <w:r>
        <w:rPr>
          <w:rFonts w:ascii="Times New Roman" w:hAnsi="Times New Roman" w:cs="Times New Roman"/>
        </w:rPr>
        <w:lastRenderedPageBreak/>
        <w:t>Cel</w:t>
      </w:r>
      <w:r w:rsidRPr="00595C79">
        <w:rPr>
          <w:rFonts w:ascii="Times New Roman" w:hAnsi="Times New Roman" w:cs="Times New Roman"/>
        </w:rPr>
        <w:t xml:space="preserve"> LSR oraz planowane w ramach </w:t>
      </w:r>
      <w:r>
        <w:rPr>
          <w:rFonts w:ascii="Times New Roman" w:hAnsi="Times New Roman" w:cs="Times New Roman"/>
        </w:rPr>
        <w:t>jej</w:t>
      </w:r>
      <w:r w:rsidRPr="00595C79">
        <w:rPr>
          <w:rFonts w:ascii="Times New Roman" w:hAnsi="Times New Roman" w:cs="Times New Roman"/>
        </w:rPr>
        <w:t xml:space="preserve"> realizacji konkretne przedsięwzięcia są spójne, powiązane ze sobą </w:t>
      </w:r>
      <w:r w:rsidR="00757F5D">
        <w:rPr>
          <w:rFonts w:ascii="Times New Roman" w:hAnsi="Times New Roman" w:cs="Times New Roman"/>
        </w:rPr>
        <w:br/>
      </w:r>
      <w:r w:rsidRPr="00595C79">
        <w:rPr>
          <w:rFonts w:ascii="Times New Roman" w:hAnsi="Times New Roman" w:cs="Times New Roman"/>
        </w:rPr>
        <w:t>i wzajemnie się uzupełniają. Tworzą logiczne związki i wzajemnie na siebie oddziałują, dając spójny efekt.</w:t>
      </w:r>
      <w:r>
        <w:rPr>
          <w:rFonts w:ascii="Times New Roman" w:hAnsi="Times New Roman" w:cs="Times New Roman"/>
        </w:rPr>
        <w:t xml:space="preserve"> </w:t>
      </w:r>
      <w:r w:rsidRPr="00003CCB">
        <w:rPr>
          <w:rFonts w:ascii="Times New Roman" w:hAnsi="Times New Roman" w:cs="Times New Roman"/>
        </w:rPr>
        <w:t xml:space="preserve">Już na etapie formułowania </w:t>
      </w:r>
      <w:r>
        <w:rPr>
          <w:rFonts w:ascii="Times New Roman" w:hAnsi="Times New Roman" w:cs="Times New Roman"/>
        </w:rPr>
        <w:t>S</w:t>
      </w:r>
      <w:r w:rsidRPr="00003CCB">
        <w:rPr>
          <w:rFonts w:ascii="Times New Roman" w:hAnsi="Times New Roman" w:cs="Times New Roman"/>
        </w:rPr>
        <w:t>trategii, założeniem było zaangażowanie różnych grup i zapoczątkowanie procesu budowania partnerstwa międzysektorowego i międzybranżowego. Konsultacje z mieszkańcami odbywały się w formie otwartych spotkań, dzięki czemu przedstawiciele różnych środowisk zyskali szansę na prezentację swoich uwag, opinii, ale również na zapoznanie się z postulatami i potrzebami innych grup społecznych. Wielokrotnie podczas spotkań rozwijała się dyskusja na temat problemów i potrzeb lokalnej społeczności.</w:t>
      </w:r>
      <w:r>
        <w:rPr>
          <w:rFonts w:ascii="Times New Roman" w:hAnsi="Times New Roman" w:cs="Times New Roman"/>
        </w:rPr>
        <w:t xml:space="preserve"> To one stanowiły podstawę do sformułowania założeń Strategii. </w:t>
      </w:r>
      <w:r w:rsidRPr="009F30F8">
        <w:rPr>
          <w:rFonts w:ascii="Times New Roman" w:hAnsi="Times New Roman" w:cs="Times New Roman"/>
        </w:rPr>
        <w:t xml:space="preserve">Kluczową kwestią dla niniejszej </w:t>
      </w:r>
      <w:r w:rsidR="00872F75">
        <w:rPr>
          <w:rFonts w:ascii="Times New Roman" w:hAnsi="Times New Roman" w:cs="Times New Roman"/>
        </w:rPr>
        <w:t>jedno</w:t>
      </w:r>
      <w:r w:rsidRPr="009F30F8">
        <w:rPr>
          <w:rFonts w:ascii="Times New Roman" w:hAnsi="Times New Roman" w:cs="Times New Roman"/>
        </w:rPr>
        <w:t>funduszowej LSR jest zachowanie komplementarności wsparcia z różnych funduszy</w:t>
      </w:r>
      <w:r>
        <w:rPr>
          <w:rFonts w:ascii="Times New Roman" w:hAnsi="Times New Roman" w:cs="Times New Roman"/>
        </w:rPr>
        <w:t xml:space="preserve"> </w:t>
      </w:r>
      <w:r w:rsidRPr="009F30F8">
        <w:rPr>
          <w:rFonts w:ascii="Times New Roman" w:hAnsi="Times New Roman" w:cs="Times New Roman"/>
        </w:rPr>
        <w:t>przy realizacji jednofunduszowych projektów. Komplementarność starano się uzyskać już na etapie programowania tj. przy</w:t>
      </w:r>
      <w:r>
        <w:rPr>
          <w:rFonts w:ascii="Times New Roman" w:hAnsi="Times New Roman" w:cs="Times New Roman"/>
        </w:rPr>
        <w:t xml:space="preserve"> </w:t>
      </w:r>
      <w:r w:rsidRPr="009F30F8">
        <w:rPr>
          <w:rFonts w:ascii="Times New Roman" w:hAnsi="Times New Roman" w:cs="Times New Roman"/>
        </w:rPr>
        <w:t>tworzeniu LSR i poszukiwaniu spójności z innymi programami operacyjnymi</w:t>
      </w:r>
      <w:r>
        <w:rPr>
          <w:rFonts w:ascii="Times New Roman" w:hAnsi="Times New Roman" w:cs="Times New Roman"/>
        </w:rPr>
        <w:t xml:space="preserve">. LSR będzie osiągać korzyści w wyniku działań innych podmiotów, które będą komplementarne wobec LSR – przyczynią się do osiągnięcia efektu synergii, efekty realizacji LSR będą dzięki nim bardziej widoczne i wzmocnione. Nowo zakładane przez mieszkańców czy rozwijane działalności gospodarcze </w:t>
      </w:r>
      <w:r w:rsidR="00757F5D">
        <w:rPr>
          <w:rFonts w:ascii="Times New Roman" w:hAnsi="Times New Roman" w:cs="Times New Roman"/>
        </w:rPr>
        <w:br/>
      </w:r>
      <w:r>
        <w:rPr>
          <w:rFonts w:ascii="Times New Roman" w:hAnsi="Times New Roman" w:cs="Times New Roman"/>
        </w:rPr>
        <w:t xml:space="preserve">w zakresie usług sportu, rekreacji i spędzania czasu wolnego, tworzone przez samorządy przestrzenie rekreacyjne </w:t>
      </w:r>
      <w:r w:rsidR="00757F5D">
        <w:rPr>
          <w:rFonts w:ascii="Times New Roman" w:hAnsi="Times New Roman" w:cs="Times New Roman"/>
        </w:rPr>
        <w:br/>
      </w:r>
      <w:r>
        <w:rPr>
          <w:rFonts w:ascii="Times New Roman" w:hAnsi="Times New Roman" w:cs="Times New Roman"/>
        </w:rPr>
        <w:t>i infrastruktura, organizowane wydarzenia i zajęcia przez organizacje pozarządowe i oddolne inicjatywy mieszkańców, bez względu na to z jakich środków będą realizowane, przyczynią się do osiągnięcia głównego celu LSR i wzmocnią oddziaływanie efektów uzyskanych przez wdrożenie LSR.</w:t>
      </w:r>
    </w:p>
    <w:p w14:paraId="1CBEFE2F" w14:textId="6A46AEA8" w:rsidR="00A17173" w:rsidRPr="0049114E" w:rsidRDefault="00757F5D" w:rsidP="008F0AF3">
      <w:pPr>
        <w:spacing w:after="0" w:line="276" w:lineRule="auto"/>
        <w:ind w:firstLine="709"/>
        <w:jc w:val="both"/>
        <w:rPr>
          <w:rFonts w:ascii="Times New Roman" w:hAnsi="Times New Roman" w:cs="Times New Roman"/>
        </w:rPr>
      </w:pPr>
      <w:r>
        <w:rPr>
          <w:rFonts w:ascii="Times New Roman" w:hAnsi="Times New Roman" w:cs="Times New Roman"/>
        </w:rPr>
        <w:t>Cel 1.</w:t>
      </w:r>
      <w:r w:rsidR="00A17173">
        <w:rPr>
          <w:rFonts w:ascii="Times New Roman" w:hAnsi="Times New Roman" w:cs="Times New Roman"/>
        </w:rPr>
        <w:t xml:space="preserve"> </w:t>
      </w:r>
      <w:r>
        <w:rPr>
          <w:rFonts w:ascii="Times New Roman" w:hAnsi="Times New Roman" w:cs="Times New Roman"/>
          <w:i/>
          <w:iCs/>
        </w:rPr>
        <w:t>Zbudowanie Bialskopodlaskiego kapitału społecznego</w:t>
      </w:r>
      <w:r w:rsidR="00A17173">
        <w:rPr>
          <w:rFonts w:ascii="Times New Roman" w:hAnsi="Times New Roman" w:cs="Times New Roman"/>
        </w:rPr>
        <w:t>, któr</w:t>
      </w:r>
      <w:r>
        <w:rPr>
          <w:rFonts w:ascii="Times New Roman" w:hAnsi="Times New Roman" w:cs="Times New Roman"/>
        </w:rPr>
        <w:t>y</w:t>
      </w:r>
      <w:r w:rsidR="00A17173">
        <w:rPr>
          <w:rFonts w:ascii="Times New Roman" w:hAnsi="Times New Roman" w:cs="Times New Roman"/>
        </w:rPr>
        <w:t xml:space="preserve"> będzie realizowan</w:t>
      </w:r>
      <w:r w:rsidR="00CD53CB">
        <w:rPr>
          <w:rFonts w:ascii="Times New Roman" w:hAnsi="Times New Roman" w:cs="Times New Roman"/>
        </w:rPr>
        <w:t>y</w:t>
      </w:r>
      <w:r w:rsidR="00A17173">
        <w:rPr>
          <w:rFonts w:ascii="Times New Roman" w:hAnsi="Times New Roman" w:cs="Times New Roman"/>
        </w:rPr>
        <w:t xml:space="preserve"> przy wsparciu funduszy PS WPR, wpłynie na rozwój </w:t>
      </w:r>
      <w:r w:rsidR="008F0AF3">
        <w:rPr>
          <w:rFonts w:ascii="Times New Roman" w:hAnsi="Times New Roman" w:cs="Times New Roman"/>
        </w:rPr>
        <w:t xml:space="preserve">społeczny i </w:t>
      </w:r>
      <w:r w:rsidR="00A17173">
        <w:rPr>
          <w:rFonts w:ascii="Times New Roman" w:hAnsi="Times New Roman" w:cs="Times New Roman"/>
        </w:rPr>
        <w:t>gospodarczy regionu</w:t>
      </w:r>
      <w:r w:rsidR="00CD53CB">
        <w:rPr>
          <w:rFonts w:ascii="Times New Roman" w:hAnsi="Times New Roman" w:cs="Times New Roman"/>
        </w:rPr>
        <w:t xml:space="preserve"> p</w:t>
      </w:r>
      <w:r w:rsidR="00A17173">
        <w:rPr>
          <w:rFonts w:ascii="Times New Roman" w:hAnsi="Times New Roman" w:cs="Times New Roman"/>
        </w:rPr>
        <w:t xml:space="preserve">oprzez wspieranie podejmowania </w:t>
      </w:r>
      <w:r w:rsidR="008F0AF3">
        <w:rPr>
          <w:rFonts w:ascii="Times New Roman" w:hAnsi="Times New Roman" w:cs="Times New Roman"/>
        </w:rPr>
        <w:br/>
      </w:r>
      <w:r w:rsidR="00A17173">
        <w:rPr>
          <w:rFonts w:ascii="Times New Roman" w:hAnsi="Times New Roman" w:cs="Times New Roman"/>
        </w:rPr>
        <w:t xml:space="preserve">i rozwijania działalności gospodarczej, oraz zaspokoi potrzebę mieszkańców związaną ze </w:t>
      </w:r>
      <w:r w:rsidR="00E55CEF">
        <w:rPr>
          <w:rFonts w:ascii="Times New Roman" w:hAnsi="Times New Roman" w:cs="Times New Roman"/>
        </w:rPr>
        <w:t>zdrowym i aktywnym trybem życia</w:t>
      </w:r>
      <w:r w:rsidR="00A17173">
        <w:rPr>
          <w:rFonts w:ascii="Times New Roman" w:hAnsi="Times New Roman" w:cs="Times New Roman"/>
        </w:rPr>
        <w:t>.</w:t>
      </w:r>
      <w:r w:rsidR="00A17173" w:rsidRPr="003C13B1">
        <w:rPr>
          <w:rFonts w:ascii="Times New Roman" w:hAnsi="Times New Roman" w:cs="Times New Roman"/>
        </w:rPr>
        <w:t xml:space="preserve"> </w:t>
      </w:r>
      <w:r w:rsidR="00A17173">
        <w:rPr>
          <w:rFonts w:ascii="Times New Roman" w:hAnsi="Times New Roman" w:cs="Times New Roman"/>
        </w:rPr>
        <w:t>Jednym z kryteriów premiujących będzie kryterium o brzmieniu: „s</w:t>
      </w:r>
      <w:r w:rsidR="00A17173" w:rsidRPr="009F30F8">
        <w:rPr>
          <w:rFonts w:ascii="Times New Roman" w:hAnsi="Times New Roman" w:cs="Times New Roman"/>
        </w:rPr>
        <w:t>pecyfika działalności umożliwia jej świadczenie tylko na obszarze LGD</w:t>
      </w:r>
      <w:r w:rsidR="00A17173">
        <w:rPr>
          <w:rFonts w:ascii="Times New Roman" w:hAnsi="Times New Roman" w:cs="Times New Roman"/>
        </w:rPr>
        <w:t xml:space="preserve">” – ma to na celu ograniczenie przypadków, kiedy wsparcie udzielone jest na realizację usług mobilnych, czy zakup mobilnego sprzętu, które ostatecznie świadczone/używane są poza obszarem i nie stanowią żadnej wartości dodanej dla mieszkańców. Ważne, aby rozwijane działalności miały na celu wzrost jakości i dostępności usług dla lokalnej społeczności. Co więcej, dokonano </w:t>
      </w:r>
      <w:r w:rsidR="00A17173" w:rsidRPr="009F30F8">
        <w:rPr>
          <w:rFonts w:ascii="Times New Roman" w:hAnsi="Times New Roman" w:cs="Times New Roman"/>
        </w:rPr>
        <w:t>skoncentrowani</w:t>
      </w:r>
      <w:r w:rsidR="00A17173">
        <w:rPr>
          <w:rFonts w:ascii="Times New Roman" w:hAnsi="Times New Roman" w:cs="Times New Roman"/>
        </w:rPr>
        <w:t>a</w:t>
      </w:r>
      <w:r w:rsidR="00A17173" w:rsidRPr="009F30F8">
        <w:rPr>
          <w:rFonts w:ascii="Times New Roman" w:hAnsi="Times New Roman" w:cs="Times New Roman"/>
        </w:rPr>
        <w:t xml:space="preserve"> wsparcia dotyczącego wspierania przedsiębiorczości</w:t>
      </w:r>
      <w:r w:rsidR="00A17173">
        <w:rPr>
          <w:rFonts w:ascii="Times New Roman" w:hAnsi="Times New Roman" w:cs="Times New Roman"/>
        </w:rPr>
        <w:t xml:space="preserve">, w celu </w:t>
      </w:r>
      <w:r w:rsidR="00A17173" w:rsidRPr="009F30F8">
        <w:rPr>
          <w:rFonts w:ascii="Times New Roman" w:hAnsi="Times New Roman" w:cs="Times New Roman"/>
        </w:rPr>
        <w:t>jak najlepsze</w:t>
      </w:r>
      <w:r w:rsidR="00A17173">
        <w:rPr>
          <w:rFonts w:ascii="Times New Roman" w:hAnsi="Times New Roman" w:cs="Times New Roman"/>
        </w:rPr>
        <w:t>go</w:t>
      </w:r>
      <w:r w:rsidR="00A17173" w:rsidRPr="009F30F8">
        <w:rPr>
          <w:rFonts w:ascii="Times New Roman" w:hAnsi="Times New Roman" w:cs="Times New Roman"/>
        </w:rPr>
        <w:t xml:space="preserve"> wykorzystani</w:t>
      </w:r>
      <w:r w:rsidR="00A17173">
        <w:rPr>
          <w:rFonts w:ascii="Times New Roman" w:hAnsi="Times New Roman" w:cs="Times New Roman"/>
        </w:rPr>
        <w:t>a</w:t>
      </w:r>
      <w:r w:rsidR="00A17173" w:rsidRPr="009F30F8">
        <w:rPr>
          <w:rFonts w:ascii="Times New Roman" w:hAnsi="Times New Roman" w:cs="Times New Roman"/>
        </w:rPr>
        <w:t xml:space="preserve"> posiadanych zasobów finansowych</w:t>
      </w:r>
      <w:r w:rsidR="00A17173">
        <w:rPr>
          <w:rFonts w:ascii="Times New Roman" w:hAnsi="Times New Roman" w:cs="Times New Roman"/>
        </w:rPr>
        <w:t xml:space="preserve">. W związku z tym, w oparciu o lokalne zasoby oraz zgłaszane potrzeby </w:t>
      </w:r>
      <w:r w:rsidR="00E55CEF">
        <w:rPr>
          <w:rFonts w:ascii="Times New Roman" w:hAnsi="Times New Roman" w:cs="Times New Roman"/>
        </w:rPr>
        <w:t>i</w:t>
      </w:r>
      <w:r w:rsidR="00A17173">
        <w:rPr>
          <w:rFonts w:ascii="Times New Roman" w:hAnsi="Times New Roman" w:cs="Times New Roman"/>
        </w:rPr>
        <w:t xml:space="preserve"> zdiagnozowane problemy, wsparcie przeznaczone będzie na gospodarkę </w:t>
      </w:r>
      <w:r w:rsidR="00E55CEF">
        <w:rPr>
          <w:rFonts w:ascii="Times New Roman" w:hAnsi="Times New Roman" w:cs="Times New Roman"/>
        </w:rPr>
        <w:t>związaną z rekreacją promującą zdrowy i aktywny tryb życia oraz z rozwijaniem zainteresowań mieszkańców</w:t>
      </w:r>
      <w:r w:rsidR="00A17173">
        <w:rPr>
          <w:rFonts w:ascii="Times New Roman" w:hAnsi="Times New Roman" w:cs="Times New Roman"/>
        </w:rPr>
        <w:t xml:space="preserve">, a więc wszelkie działalności, które mają na celu wzrost dostępności i jakości usług dla lokalnej społeczności w zakresie rekreacji, sportu, spędzania czasu wolnego, w tym samorozwoju, rozwoju pasji i talentów </w:t>
      </w:r>
      <w:r w:rsidR="000317F6">
        <w:rPr>
          <w:rFonts w:ascii="Times New Roman" w:hAnsi="Times New Roman" w:cs="Times New Roman"/>
        </w:rPr>
        <w:t>mieszkańców</w:t>
      </w:r>
      <w:r w:rsidR="00C859B7">
        <w:rPr>
          <w:rFonts w:ascii="Times New Roman" w:hAnsi="Times New Roman" w:cs="Times New Roman"/>
        </w:rPr>
        <w:t>,</w:t>
      </w:r>
      <w:r w:rsidR="000317F6">
        <w:rPr>
          <w:rFonts w:ascii="Times New Roman" w:hAnsi="Times New Roman" w:cs="Times New Roman"/>
        </w:rPr>
        <w:t xml:space="preserve"> z uwzględnieniem potrzeb osób z niepełnosprawnościami</w:t>
      </w:r>
      <w:r w:rsidR="008F0AF3">
        <w:rPr>
          <w:rFonts w:ascii="Times New Roman" w:hAnsi="Times New Roman" w:cs="Times New Roman"/>
        </w:rPr>
        <w:t xml:space="preserve"> i ich opiekunów</w:t>
      </w:r>
      <w:r w:rsidR="00A17173">
        <w:rPr>
          <w:rFonts w:ascii="Times New Roman" w:hAnsi="Times New Roman" w:cs="Times New Roman"/>
        </w:rPr>
        <w:t>. Przykładowo mogą to być siłownie, niepubliczne szkoły muzyczne, usługi w zakresie zajęć plastycznych, tanecznych, sportowych, robotyka, oferta kulturalna</w:t>
      </w:r>
      <w:r w:rsidR="00872F75">
        <w:rPr>
          <w:rFonts w:ascii="Times New Roman" w:hAnsi="Times New Roman" w:cs="Times New Roman"/>
        </w:rPr>
        <w:t xml:space="preserve">, również zajęcie integracyjne dla osób z niepełnosprawnościami </w:t>
      </w:r>
      <w:r w:rsidR="00A17173">
        <w:rPr>
          <w:rFonts w:ascii="Times New Roman" w:hAnsi="Times New Roman" w:cs="Times New Roman"/>
        </w:rPr>
        <w:t>itp.</w:t>
      </w:r>
      <w:r w:rsidR="008F0AF3">
        <w:rPr>
          <w:rFonts w:ascii="Times New Roman" w:hAnsi="Times New Roman" w:cs="Times New Roman"/>
        </w:rPr>
        <w:t xml:space="preserve"> Rozwój gospodarczy zostanie również wzmocniony poprzez inwestycję w gospodarstwa agroturystyczne i zagrody edukacyjne. Działania te wzmocnią potencjał gospodarczy regionu oraz zapewnią mieszkańcom stabilny rozwój. Zaspokojenie potrzeb mieszkańców związanych z</w:t>
      </w:r>
      <w:r w:rsidR="00C859B7">
        <w:rPr>
          <w:rFonts w:ascii="Times New Roman" w:hAnsi="Times New Roman" w:cs="Times New Roman"/>
        </w:rPr>
        <w:t>e</w:t>
      </w:r>
      <w:r w:rsidR="008F0AF3">
        <w:rPr>
          <w:rFonts w:ascii="Times New Roman" w:hAnsi="Times New Roman" w:cs="Times New Roman"/>
        </w:rPr>
        <w:t xml:space="preserve"> stabilną sytuacją gospodarczą regionu bazującą na zasobach lokalnych oraz dającą bezpieczeństwo finansowe, pozwoli im na rozwijanie pasji i talentów oraz korzystanie z oferowanych komercyjnych usług. Wtedy mieszkańcy chętniej zaczną uczestniczyć w życiu społecznym. Dlatego uzupe</w:t>
      </w:r>
      <w:r w:rsidR="00A17173">
        <w:rPr>
          <w:rFonts w:ascii="Times New Roman" w:hAnsi="Times New Roman" w:cs="Times New Roman"/>
        </w:rPr>
        <w:t>łnieniem d</w:t>
      </w:r>
      <w:r>
        <w:rPr>
          <w:rFonts w:ascii="Times New Roman" w:hAnsi="Times New Roman" w:cs="Times New Roman"/>
        </w:rPr>
        <w:t>o powyższych działań będą przedsięwzięcia</w:t>
      </w:r>
      <w:r w:rsidR="00A17173">
        <w:rPr>
          <w:rFonts w:ascii="Times New Roman" w:hAnsi="Times New Roman" w:cs="Times New Roman"/>
          <w:i/>
          <w:iCs/>
        </w:rPr>
        <w:t xml:space="preserve">, </w:t>
      </w:r>
      <w:r w:rsidR="00A17173">
        <w:rPr>
          <w:rFonts w:ascii="Times New Roman" w:hAnsi="Times New Roman" w:cs="Times New Roman"/>
        </w:rPr>
        <w:t>które</w:t>
      </w:r>
      <w:r>
        <w:rPr>
          <w:rFonts w:ascii="Times New Roman" w:hAnsi="Times New Roman" w:cs="Times New Roman"/>
        </w:rPr>
        <w:t xml:space="preserve"> </w:t>
      </w:r>
      <w:r w:rsidR="00A17173">
        <w:rPr>
          <w:rFonts w:ascii="Times New Roman" w:hAnsi="Times New Roman" w:cs="Times New Roman"/>
        </w:rPr>
        <w:t>zakłada</w:t>
      </w:r>
      <w:r>
        <w:rPr>
          <w:rFonts w:ascii="Times New Roman" w:hAnsi="Times New Roman" w:cs="Times New Roman"/>
        </w:rPr>
        <w:t>ją</w:t>
      </w:r>
      <w:r w:rsidR="00A17173">
        <w:rPr>
          <w:rFonts w:ascii="Times New Roman" w:hAnsi="Times New Roman" w:cs="Times New Roman"/>
        </w:rPr>
        <w:t xml:space="preserve"> wspieranie aktywności społecznej mieszkańców</w:t>
      </w:r>
      <w:r w:rsidR="000317F6">
        <w:rPr>
          <w:rFonts w:ascii="Times New Roman" w:hAnsi="Times New Roman" w:cs="Times New Roman"/>
        </w:rPr>
        <w:t xml:space="preserve"> m.in. poprzez utworzenie akademii lidera</w:t>
      </w:r>
      <w:r w:rsidR="00A17173">
        <w:rPr>
          <w:rFonts w:ascii="Times New Roman" w:hAnsi="Times New Roman" w:cs="Times New Roman"/>
        </w:rPr>
        <w:t xml:space="preserve">, edukację </w:t>
      </w:r>
      <w:r w:rsidR="00E55CEF">
        <w:rPr>
          <w:rFonts w:ascii="Times New Roman" w:hAnsi="Times New Roman" w:cs="Times New Roman"/>
        </w:rPr>
        <w:t xml:space="preserve">w zakresie zdrowego trybu życia, </w:t>
      </w:r>
      <w:r w:rsidR="002A4DAC">
        <w:rPr>
          <w:rFonts w:ascii="Times New Roman" w:hAnsi="Times New Roman" w:cs="Times New Roman"/>
        </w:rPr>
        <w:t xml:space="preserve">w tym </w:t>
      </w:r>
      <w:r w:rsidR="00E55CEF">
        <w:rPr>
          <w:rFonts w:ascii="Times New Roman" w:hAnsi="Times New Roman" w:cs="Times New Roman"/>
        </w:rPr>
        <w:t>edukacj</w:t>
      </w:r>
      <w:r w:rsidR="00C859B7">
        <w:rPr>
          <w:rFonts w:ascii="Times New Roman" w:hAnsi="Times New Roman" w:cs="Times New Roman"/>
        </w:rPr>
        <w:t>ę</w:t>
      </w:r>
      <w:r w:rsidR="00E55CEF">
        <w:rPr>
          <w:rFonts w:ascii="Times New Roman" w:hAnsi="Times New Roman" w:cs="Times New Roman"/>
        </w:rPr>
        <w:t xml:space="preserve"> ekologiczn</w:t>
      </w:r>
      <w:r w:rsidR="002A4DAC">
        <w:rPr>
          <w:rFonts w:ascii="Times New Roman" w:hAnsi="Times New Roman" w:cs="Times New Roman"/>
        </w:rPr>
        <w:t>ą</w:t>
      </w:r>
      <w:r w:rsidR="00E55CEF">
        <w:rPr>
          <w:rFonts w:ascii="Times New Roman" w:hAnsi="Times New Roman" w:cs="Times New Roman"/>
        </w:rPr>
        <w:t xml:space="preserve"> i </w:t>
      </w:r>
      <w:r w:rsidR="00A17173">
        <w:rPr>
          <w:rFonts w:ascii="Times New Roman" w:hAnsi="Times New Roman" w:cs="Times New Roman"/>
        </w:rPr>
        <w:t>promocj</w:t>
      </w:r>
      <w:r w:rsidR="00C859B7">
        <w:rPr>
          <w:rFonts w:ascii="Times New Roman" w:hAnsi="Times New Roman" w:cs="Times New Roman"/>
        </w:rPr>
        <w:t>ę</w:t>
      </w:r>
      <w:r w:rsidR="00A17173">
        <w:rPr>
          <w:rFonts w:ascii="Times New Roman" w:hAnsi="Times New Roman" w:cs="Times New Roman"/>
        </w:rPr>
        <w:t xml:space="preserve"> oraz podnoszenie świadomości i wiedzy mieszkańców, przedsiębiorców i władz lokalnych w zakresie efektywności energetycznej i wykorzystania OZE, zwiększenie kompetencji i umiejętności mieszkańców szczególnie w zakresie cyfryzacji oraz wspieranie nauki dzieci i młodych </w:t>
      </w:r>
      <w:r w:rsidR="00C859B7">
        <w:rPr>
          <w:rFonts w:ascii="Times New Roman" w:hAnsi="Times New Roman" w:cs="Times New Roman"/>
        </w:rPr>
        <w:t>d</w:t>
      </w:r>
      <w:r w:rsidR="00A17173">
        <w:rPr>
          <w:rFonts w:ascii="Times New Roman" w:hAnsi="Times New Roman" w:cs="Times New Roman"/>
        </w:rPr>
        <w:t xml:space="preserve">o 25. roku życia, a także osób </w:t>
      </w:r>
      <w:r w:rsidR="00C859B7">
        <w:rPr>
          <w:rFonts w:ascii="Times New Roman" w:hAnsi="Times New Roman" w:cs="Times New Roman"/>
        </w:rPr>
        <w:t>p</w:t>
      </w:r>
      <w:r w:rsidR="00A17173">
        <w:rPr>
          <w:rFonts w:ascii="Times New Roman" w:hAnsi="Times New Roman" w:cs="Times New Roman"/>
        </w:rPr>
        <w:t>o 60. roku życia</w:t>
      </w:r>
      <w:r w:rsidR="000317F6">
        <w:rPr>
          <w:rFonts w:ascii="Times New Roman" w:hAnsi="Times New Roman" w:cs="Times New Roman"/>
        </w:rPr>
        <w:t>.</w:t>
      </w:r>
      <w:r w:rsidR="00A17173">
        <w:rPr>
          <w:rFonts w:ascii="Times New Roman" w:hAnsi="Times New Roman" w:cs="Times New Roman"/>
        </w:rPr>
        <w:t xml:space="preserve"> </w:t>
      </w:r>
      <w:r w:rsidR="000317F6">
        <w:rPr>
          <w:rFonts w:ascii="Times New Roman" w:hAnsi="Times New Roman" w:cs="Times New Roman"/>
        </w:rPr>
        <w:t xml:space="preserve">Przedsięwzięcie </w:t>
      </w:r>
      <w:r w:rsidR="00A17173">
        <w:rPr>
          <w:rFonts w:ascii="Times New Roman" w:hAnsi="Times New Roman" w:cs="Times New Roman"/>
        </w:rPr>
        <w:t xml:space="preserve">wpłynie </w:t>
      </w:r>
      <w:r w:rsidR="000317F6">
        <w:rPr>
          <w:rFonts w:ascii="Times New Roman" w:hAnsi="Times New Roman" w:cs="Times New Roman"/>
        </w:rPr>
        <w:t xml:space="preserve">również </w:t>
      </w:r>
      <w:r w:rsidR="00A17173">
        <w:rPr>
          <w:rFonts w:ascii="Times New Roman" w:hAnsi="Times New Roman" w:cs="Times New Roman"/>
        </w:rPr>
        <w:t>na integrację mieszkańców obszaru oraz podmiotów gospodarczych poprzez podejmowanie przez LGD działań animujących do realizacji wspólnych inicjaty</w:t>
      </w:r>
      <w:r w:rsidR="000317F6">
        <w:rPr>
          <w:rFonts w:ascii="Times New Roman" w:hAnsi="Times New Roman" w:cs="Times New Roman"/>
        </w:rPr>
        <w:t>w wspierających aktywność społeczną mieszkańców</w:t>
      </w:r>
      <w:r w:rsidR="00A17173">
        <w:rPr>
          <w:rFonts w:ascii="Times New Roman" w:hAnsi="Times New Roman" w:cs="Times New Roman"/>
        </w:rPr>
        <w:t xml:space="preserve">. </w:t>
      </w:r>
      <w:r w:rsidR="00481FBE">
        <w:rPr>
          <w:rFonts w:ascii="Times New Roman" w:hAnsi="Times New Roman" w:cs="Times New Roman"/>
        </w:rPr>
        <w:t>Dzięki tym działaniom zostanie zbudowany silny kapitał społeczny.</w:t>
      </w:r>
    </w:p>
    <w:p w14:paraId="75D21D52" w14:textId="34A75AD8" w:rsidR="00A17173" w:rsidRDefault="00481FBE" w:rsidP="00481FBE">
      <w:pPr>
        <w:spacing w:line="276" w:lineRule="auto"/>
        <w:ind w:firstLine="708"/>
        <w:jc w:val="both"/>
        <w:rPr>
          <w:rFonts w:ascii="Times New Roman" w:hAnsi="Times New Roman" w:cs="Times New Roman"/>
        </w:rPr>
      </w:pPr>
      <w:bookmarkStart w:id="101" w:name="_Hlk135596166"/>
      <w:r>
        <w:rPr>
          <w:rFonts w:ascii="Times New Roman" w:hAnsi="Times New Roman" w:cs="Times New Roman"/>
        </w:rPr>
        <w:t>W ramach LSR określono przedsięwzięcia, które będą realizowane przez różne podmioty, z wykorzystaniem różnych metod wdrażania. Są one kompatybilne i wzajemnie się uzupełniają, a ponadto bezpośrednio wpłyną na osiągnięcie celu LSR</w:t>
      </w:r>
      <w:r>
        <w:rPr>
          <w:rFonts w:ascii="Times New Roman" w:hAnsi="Times New Roman" w:cs="Times New Roman"/>
          <w:i/>
          <w:iCs/>
        </w:rPr>
        <w:t xml:space="preserve">, </w:t>
      </w:r>
      <w:r>
        <w:rPr>
          <w:rFonts w:ascii="Times New Roman" w:hAnsi="Times New Roman" w:cs="Times New Roman"/>
        </w:rPr>
        <w:t xml:space="preserve">który odnosi się do zbudowania zasobu jakim jest kapitał ludzki na obszarze poprzez jego aktywizację, ale też do zapewnienia lokalnej społeczności możliwości rozwoju, dostępu do usług, atrakcyjnych przestrzeni publicznych i wsparcia osób w niekorzystnej sytuacji. Przedsięwzięcia zaplanowane do realizacji będą </w:t>
      </w:r>
      <w:r>
        <w:rPr>
          <w:rFonts w:ascii="Times New Roman" w:hAnsi="Times New Roman" w:cs="Times New Roman"/>
        </w:rPr>
        <w:lastRenderedPageBreak/>
        <w:t>wspierały przedsiębiorczość mieszkańców w celu stworzenia silnego gospodarczo obszaru, gdzie mieszkańcy będą mieli zapewnione usługi na wysokim poziomie, co zachęci ich do większej aktywności społecznej oraz ciągłego ulepszania miejsca</w:t>
      </w:r>
      <w:r w:rsidR="00CD53CB">
        <w:rPr>
          <w:rFonts w:ascii="Times New Roman" w:hAnsi="Times New Roman" w:cs="Times New Roman"/>
        </w:rPr>
        <w:t>,</w:t>
      </w:r>
      <w:r>
        <w:rPr>
          <w:rFonts w:ascii="Times New Roman" w:hAnsi="Times New Roman" w:cs="Times New Roman"/>
        </w:rPr>
        <w:t xml:space="preserve"> w którym żyją. Żadne przedsięwzięcie realizowane pojedynczo nie przyniosłoby efektu synergii, który zostanie osiągnięty przez realizację wszystkich przedsięwzięć mających na siebie ogromy wpływ, co przyniesie lepsze efekty w rozwoju całego obszaru.</w:t>
      </w:r>
      <w:bookmarkEnd w:id="101"/>
    </w:p>
    <w:p w14:paraId="18BBD47E" w14:textId="77777777" w:rsidR="00A17173" w:rsidRPr="004D07EE" w:rsidRDefault="00A17173" w:rsidP="0084722A">
      <w:pPr>
        <w:spacing w:after="80"/>
        <w:rPr>
          <w:rFonts w:ascii="Times New Roman" w:hAnsi="Times New Roman" w:cs="Times New Roman"/>
        </w:rPr>
      </w:pPr>
      <w:r w:rsidRPr="004D07EE">
        <w:rPr>
          <w:rFonts w:ascii="Times New Roman" w:hAnsi="Times New Roman" w:cs="Times New Roman"/>
        </w:rPr>
        <w:t>Poniżej wykazano wartość dodaną podejścia LEADER w realizacji LSR:</w:t>
      </w:r>
    </w:p>
    <w:p w14:paraId="54517ED0" w14:textId="77777777" w:rsidR="008A7D58" w:rsidRDefault="00A17173" w:rsidP="008A7D58">
      <w:pPr>
        <w:pStyle w:val="Akapitzlist"/>
        <w:numPr>
          <w:ilvl w:val="0"/>
          <w:numId w:val="23"/>
        </w:numPr>
        <w:spacing w:before="80" w:after="80"/>
        <w:rPr>
          <w:rFonts w:ascii="Times New Roman" w:hAnsi="Times New Roman" w:cs="Times New Roman"/>
          <w:b/>
          <w:bCs/>
        </w:rPr>
      </w:pPr>
      <w:r w:rsidRPr="004D07EE">
        <w:rPr>
          <w:rFonts w:ascii="Times New Roman" w:hAnsi="Times New Roman" w:cs="Times New Roman"/>
          <w:b/>
          <w:bCs/>
        </w:rPr>
        <w:t>Korzyści planowane do osiągnięcia</w:t>
      </w:r>
    </w:p>
    <w:p w14:paraId="1A32A577" w14:textId="7D74FD47" w:rsidR="00A17173" w:rsidRPr="008A7D58" w:rsidRDefault="008A7D58" w:rsidP="008A7D58">
      <w:pPr>
        <w:spacing w:after="0" w:line="276" w:lineRule="auto"/>
        <w:ind w:firstLine="709"/>
        <w:jc w:val="both"/>
        <w:rPr>
          <w:rFonts w:ascii="Times New Roman" w:hAnsi="Times New Roman" w:cs="Times New Roman"/>
          <w:b/>
          <w:bCs/>
        </w:rPr>
      </w:pPr>
      <w:r w:rsidRPr="008A7D58">
        <w:rPr>
          <w:rFonts w:ascii="Times New Roman" w:hAnsi="Times New Roman" w:cs="Times New Roman"/>
        </w:rPr>
        <w:t>Dzięki realizacji założeń Strategii planowane jest zwiększenie zainteresowania oraz realizacji projektów w partnerstwie. Wdrażanie LSR opierać się będzie przede wszystkim na partnerstwie w ramach LGD oraz partnerstwie LGD z innymi podmiotami zarówno z obszaru objętego LSR (szczególnie władzami lokalnymi), jak i spoza obszaru, co w rezultacie spowoduje, iż bliska współpraca międzysektorowa oraz z innymi obszarami nie będzie tylko punktowa</w:t>
      </w:r>
      <w:r w:rsidR="009408B5">
        <w:rPr>
          <w:rFonts w:ascii="Times New Roman" w:hAnsi="Times New Roman" w:cs="Times New Roman"/>
        </w:rPr>
        <w:t>, ale</w:t>
      </w:r>
      <w:r w:rsidRPr="008A7D58">
        <w:rPr>
          <w:rFonts w:ascii="Times New Roman" w:hAnsi="Times New Roman" w:cs="Times New Roman"/>
        </w:rPr>
        <w:t xml:space="preserve"> stanie się długofalowa i będzie w przyszłości standardem. Aktywizacja lokalnych społeczności, w tym szczególnie osób młodych oraz seniorów, przyczyni się do wzrostu poczucia tożsamości lokalnej oraz lepszej integracji społeczności, dodatkowo do tego przyczynią się działania międzypokoleniowe, gdyż rodzice z dziećmi będą mogli wspólnie spędzać czas i realizować swoje pasje. Również wartością dodaną będzie zwiększenie innowacyjności obszaru, która będzie dotyczyła inicjatyw oddolnych skupiających się na pilotażach rozwiązań zmieniających sposób funkcjonowania społeczności lokalnej. Animacja społeczności i ukierunkowywanie jej na podejmowanie innowacyjnych działań wpłynie na to, że każdy mieszkaniec poczuje się innowatorem, a LGD da mu wsparcie do wykorzystania swojego potencjału. Takie działania również wpłyną na integrację, a zastosowanie innowacji pozwoli na rozwinięcie obszaru i zapewni mieszkańcom więcej możliwości do samorealizacji. Objęcie szczególnym wsparciem </w:t>
      </w:r>
      <w:r>
        <w:rPr>
          <w:rFonts w:ascii="Times New Roman" w:hAnsi="Times New Roman" w:cs="Times New Roman"/>
        </w:rPr>
        <w:t xml:space="preserve">osób z niepełnosprawnościami i ich opiekunów </w:t>
      </w:r>
      <w:r w:rsidRPr="008A7D58">
        <w:rPr>
          <w:rFonts w:ascii="Times New Roman" w:hAnsi="Times New Roman" w:cs="Times New Roman"/>
        </w:rPr>
        <w:t>zmniejszy nierówności w możliwościach rozwoju</w:t>
      </w:r>
      <w:r>
        <w:rPr>
          <w:rFonts w:ascii="Times New Roman" w:hAnsi="Times New Roman" w:cs="Times New Roman"/>
        </w:rPr>
        <w:t xml:space="preserve">. </w:t>
      </w:r>
      <w:r w:rsidRPr="008A7D58">
        <w:rPr>
          <w:rFonts w:ascii="Times New Roman" w:hAnsi="Times New Roman" w:cs="Times New Roman"/>
        </w:rPr>
        <w:t>Różnorodne metody wdrażania operacji przyczynią się do rozwoju społecznego, w tym wzrostu potencjału członków lokalnych społeczności. Oddolny charakter LSR, w tym szeroki udział społeczności zarówno na etapie je</w:t>
      </w:r>
      <w:r w:rsidR="009408B5">
        <w:rPr>
          <w:rFonts w:ascii="Times New Roman" w:hAnsi="Times New Roman" w:cs="Times New Roman"/>
        </w:rPr>
        <w:t>j</w:t>
      </w:r>
      <w:r w:rsidRPr="008A7D58">
        <w:rPr>
          <w:rFonts w:ascii="Times New Roman" w:hAnsi="Times New Roman" w:cs="Times New Roman"/>
        </w:rPr>
        <w:t xml:space="preserve"> tworzenia, jak i na etapie wdrażania, przyczyni się do maksymalnego dopasowania założeń dokumentu </w:t>
      </w:r>
      <w:r>
        <w:rPr>
          <w:rFonts w:ascii="Times New Roman" w:hAnsi="Times New Roman" w:cs="Times New Roman"/>
        </w:rPr>
        <w:br/>
      </w:r>
      <w:r w:rsidRPr="008A7D58">
        <w:rPr>
          <w:rFonts w:ascii="Times New Roman" w:hAnsi="Times New Roman" w:cs="Times New Roman"/>
        </w:rPr>
        <w:t xml:space="preserve">i wdrażanych operacji do lokalnych potrzeb. Partnerskie i oddolne podejście będzie prowadzić do integracji członków społeczności, aktywizacji do udziału w życiu społecznym, poczucia sprawczości, co w dalszej kolejności sprzyjać będzie dojrzałości obywatelskiej, podejmowaniu własnych inicjatyw, samostanowienia, a także kontroli społecznej nad działaniami władz. Nie bez znaczenia jest także właśnie brak dominacji sektora publicznego. Ważnym aspektem jest to, że LSR będzie wdrażana na spójnym obszarze, a przedsięwzięcia realizowane będą poza obszarem jednostek administracyjnych gmin. Istotny we wszystkich powyższych działaniach jest ich wpływ na budowanie zaufania poprzez zapraszanie do współpracy wszystkich grup i mieszkańców, nawet dotąd nieobecnych, zarówno tych </w:t>
      </w:r>
      <w:r w:rsidRPr="008A7D58">
        <w:rPr>
          <w:rFonts w:ascii="Times New Roman" w:hAnsi="Times New Roman" w:cs="Times New Roman"/>
        </w:rPr>
        <w:br/>
        <w:t>o dużym potencjale, jak i deficytach.</w:t>
      </w:r>
    </w:p>
    <w:p w14:paraId="12735358" w14:textId="2DEEA1EE" w:rsidR="00A17173" w:rsidRPr="0084722A" w:rsidRDefault="00A17173" w:rsidP="0084722A">
      <w:pPr>
        <w:pStyle w:val="Akapitzlist"/>
        <w:numPr>
          <w:ilvl w:val="0"/>
          <w:numId w:val="23"/>
        </w:numPr>
        <w:spacing w:before="80" w:after="80"/>
        <w:ind w:left="714" w:hanging="357"/>
        <w:rPr>
          <w:rFonts w:ascii="Times New Roman" w:hAnsi="Times New Roman" w:cs="Times New Roman"/>
          <w:b/>
          <w:bCs/>
        </w:rPr>
      </w:pPr>
      <w:r w:rsidRPr="004D07EE">
        <w:rPr>
          <w:rFonts w:ascii="Times New Roman" w:hAnsi="Times New Roman" w:cs="Times New Roman"/>
          <w:b/>
          <w:bCs/>
        </w:rPr>
        <w:t>Uzasadnienie wyboru zakresów wsparcia</w:t>
      </w:r>
    </w:p>
    <w:p w14:paraId="6D511FCC" w14:textId="77777777" w:rsidR="00A17173" w:rsidRDefault="00A17173" w:rsidP="0084722A">
      <w:pPr>
        <w:pStyle w:val="Akapitzlist"/>
        <w:spacing w:before="80" w:after="80" w:line="276" w:lineRule="auto"/>
        <w:ind w:left="0" w:firstLine="708"/>
        <w:jc w:val="both"/>
        <w:rPr>
          <w:rFonts w:ascii="Times New Roman" w:hAnsi="Times New Roman" w:cs="Times New Roman"/>
        </w:rPr>
      </w:pPr>
      <w:r>
        <w:rPr>
          <w:rFonts w:ascii="Times New Roman" w:hAnsi="Times New Roman" w:cs="Times New Roman"/>
        </w:rPr>
        <w:t>W oddolnym procesie tworzenia LSR dokonano wyboru następujących zakresów wsparcia:</w:t>
      </w:r>
    </w:p>
    <w:p w14:paraId="5C3DC43A" w14:textId="77777777" w:rsidR="00A17173" w:rsidRDefault="00A17173" w:rsidP="0084722A">
      <w:pPr>
        <w:pStyle w:val="Akapitzlist"/>
        <w:numPr>
          <w:ilvl w:val="0"/>
          <w:numId w:val="24"/>
        </w:numPr>
        <w:spacing w:before="80" w:after="80" w:line="276" w:lineRule="auto"/>
        <w:jc w:val="both"/>
        <w:rPr>
          <w:rFonts w:ascii="Times New Roman" w:hAnsi="Times New Roman" w:cs="Times New Roman"/>
        </w:rPr>
      </w:pPr>
      <w:r w:rsidRPr="00023C1E">
        <w:rPr>
          <w:rFonts w:ascii="Times New Roman" w:hAnsi="Times New Roman" w:cs="Times New Roman"/>
        </w:rPr>
        <w:t>rozwój przedsiębiorczości, w tym rozwój biogospodarki lub zielonej gospodarki</w:t>
      </w:r>
      <w:r>
        <w:rPr>
          <w:rFonts w:ascii="Times New Roman" w:hAnsi="Times New Roman" w:cs="Times New Roman"/>
        </w:rPr>
        <w:t>;</w:t>
      </w:r>
    </w:p>
    <w:p w14:paraId="489DCD4C" w14:textId="77777777" w:rsidR="00A17173" w:rsidRDefault="00A17173" w:rsidP="0084722A">
      <w:pPr>
        <w:pStyle w:val="Akapitzlist"/>
        <w:numPr>
          <w:ilvl w:val="0"/>
          <w:numId w:val="24"/>
        </w:numPr>
        <w:spacing w:before="80" w:after="80" w:line="276" w:lineRule="auto"/>
        <w:jc w:val="both"/>
        <w:rPr>
          <w:rFonts w:ascii="Times New Roman" w:hAnsi="Times New Roman" w:cs="Times New Roman"/>
        </w:rPr>
      </w:pPr>
      <w:r>
        <w:rPr>
          <w:rFonts w:ascii="Times New Roman" w:hAnsi="Times New Roman" w:cs="Times New Roman"/>
        </w:rPr>
        <w:t>rozwój pozarolniczych funkcji małych gospodarstw rolnych;</w:t>
      </w:r>
    </w:p>
    <w:p w14:paraId="68D9A97C" w14:textId="77777777" w:rsidR="00A17173" w:rsidRDefault="00A17173" w:rsidP="0084722A">
      <w:pPr>
        <w:pStyle w:val="Akapitzlist"/>
        <w:numPr>
          <w:ilvl w:val="0"/>
          <w:numId w:val="24"/>
        </w:numPr>
        <w:spacing w:before="80" w:after="80" w:line="276" w:lineRule="auto"/>
        <w:jc w:val="both"/>
        <w:rPr>
          <w:rFonts w:ascii="Times New Roman" w:hAnsi="Times New Roman" w:cs="Times New Roman"/>
        </w:rPr>
      </w:pPr>
      <w:r w:rsidRPr="00023C1E">
        <w:rPr>
          <w:rFonts w:ascii="Times New Roman" w:hAnsi="Times New Roman" w:cs="Times New Roman"/>
        </w:rPr>
        <w:t>poprawa dostępu do małej infrastruktury publicznej</w:t>
      </w:r>
      <w:r>
        <w:rPr>
          <w:rFonts w:ascii="Times New Roman" w:hAnsi="Times New Roman" w:cs="Times New Roman"/>
        </w:rPr>
        <w:t>;</w:t>
      </w:r>
    </w:p>
    <w:p w14:paraId="0147E1D4" w14:textId="77777777" w:rsidR="00A17173" w:rsidRDefault="00A17173" w:rsidP="0084722A">
      <w:pPr>
        <w:pStyle w:val="Akapitzlist"/>
        <w:numPr>
          <w:ilvl w:val="0"/>
          <w:numId w:val="24"/>
        </w:numPr>
        <w:spacing w:before="80" w:after="80" w:line="276" w:lineRule="auto"/>
        <w:jc w:val="both"/>
        <w:rPr>
          <w:rFonts w:ascii="Times New Roman" w:hAnsi="Times New Roman" w:cs="Times New Roman"/>
        </w:rPr>
      </w:pPr>
      <w:r w:rsidRPr="00023C1E">
        <w:rPr>
          <w:rFonts w:ascii="Times New Roman" w:hAnsi="Times New Roman" w:cs="Times New Roman"/>
        </w:rPr>
        <w:t xml:space="preserve">kształtowanie świadomości obywatelskiej o znaczeniu zrównoważonego rolnictwa, gospodarki rolno-spożywczej, zielonej gospodarki, biogospodarki, </w:t>
      </w:r>
      <w:r w:rsidRPr="002E09C8">
        <w:rPr>
          <w:rFonts w:ascii="Times New Roman" w:hAnsi="Times New Roman" w:cs="Times New Roman"/>
        </w:rPr>
        <w:t>wsparcie rozwoju wiedzy i umiejętności w</w:t>
      </w:r>
      <w:r>
        <w:rPr>
          <w:rFonts w:ascii="Times New Roman" w:hAnsi="Times New Roman" w:cs="Times New Roman"/>
        </w:rPr>
        <w:t> </w:t>
      </w:r>
      <w:r w:rsidRPr="002E09C8">
        <w:rPr>
          <w:rFonts w:ascii="Times New Roman" w:hAnsi="Times New Roman" w:cs="Times New Roman"/>
        </w:rPr>
        <w:t>zakresie innowacyjności, cyfryzacji i przedsiębiorczości</w:t>
      </w:r>
      <w:r>
        <w:rPr>
          <w:rFonts w:ascii="Times New Roman" w:hAnsi="Times New Roman" w:cs="Times New Roman"/>
        </w:rPr>
        <w:t xml:space="preserve">, </w:t>
      </w:r>
      <w:r w:rsidRPr="00023C1E">
        <w:rPr>
          <w:rFonts w:ascii="Times New Roman" w:hAnsi="Times New Roman" w:cs="Times New Roman"/>
        </w:rPr>
        <w:t>a także wzmacnianie programów edukacji liderów życia publicznego i społecznego</w:t>
      </w:r>
      <w:r>
        <w:rPr>
          <w:rFonts w:ascii="Times New Roman" w:hAnsi="Times New Roman" w:cs="Times New Roman"/>
        </w:rPr>
        <w:t xml:space="preserve">, </w:t>
      </w:r>
      <w:r w:rsidRPr="002E09C8">
        <w:rPr>
          <w:rFonts w:ascii="Times New Roman" w:hAnsi="Times New Roman" w:cs="Times New Roman"/>
        </w:rPr>
        <w:t>z wyłączeniem inwestycji infrastrukturalnych</w:t>
      </w:r>
      <w:r>
        <w:rPr>
          <w:rFonts w:ascii="Times New Roman" w:hAnsi="Times New Roman" w:cs="Times New Roman"/>
        </w:rPr>
        <w:t>;</w:t>
      </w:r>
    </w:p>
    <w:p w14:paraId="3DAF2515" w14:textId="77777777" w:rsidR="00A17173" w:rsidRPr="00023C1E" w:rsidRDefault="00A17173" w:rsidP="0084722A">
      <w:pPr>
        <w:pStyle w:val="Akapitzlist"/>
        <w:numPr>
          <w:ilvl w:val="0"/>
          <w:numId w:val="24"/>
        </w:numPr>
        <w:spacing w:after="0" w:line="276" w:lineRule="auto"/>
        <w:jc w:val="both"/>
        <w:rPr>
          <w:rFonts w:ascii="Times New Roman" w:hAnsi="Times New Roman" w:cs="Times New Roman"/>
        </w:rPr>
      </w:pPr>
      <w:r w:rsidRPr="00023C1E">
        <w:rPr>
          <w:rFonts w:ascii="Times New Roman" w:hAnsi="Times New Roman" w:cs="Times New Roman"/>
        </w:rPr>
        <w:t>włączenie społeczne seniorów, ludzi młodych i osób w niekorzystnej sytuacji</w:t>
      </w:r>
      <w:r>
        <w:rPr>
          <w:rFonts w:ascii="Times New Roman" w:hAnsi="Times New Roman" w:cs="Times New Roman"/>
        </w:rPr>
        <w:t>.</w:t>
      </w:r>
    </w:p>
    <w:p w14:paraId="0242AAC0" w14:textId="0C2575D9" w:rsidR="00A17173" w:rsidRPr="00727F73" w:rsidRDefault="00CD2D87" w:rsidP="00481FBE">
      <w:pPr>
        <w:spacing w:after="0" w:line="276" w:lineRule="auto"/>
        <w:ind w:firstLine="709"/>
        <w:jc w:val="both"/>
        <w:rPr>
          <w:rFonts w:ascii="Times New Roman" w:hAnsi="Times New Roman" w:cs="Times New Roman"/>
        </w:rPr>
      </w:pPr>
      <w:r w:rsidRPr="00CD2D87">
        <w:rPr>
          <w:rFonts w:ascii="Times New Roman" w:hAnsi="Times New Roman" w:cs="Times New Roman"/>
        </w:rPr>
        <w:t>Wspieranie rozwoju przedsiębiorczości wynika z jednej strony z nadal niekorzystnych wskaźników sytuacji gospodarczej na obszarze, ale z drugiej też z dużego dotychczasowego zainteresowani</w:t>
      </w:r>
      <w:r w:rsidR="009408B5">
        <w:rPr>
          <w:rFonts w:ascii="Times New Roman" w:hAnsi="Times New Roman" w:cs="Times New Roman"/>
        </w:rPr>
        <w:t>a</w:t>
      </w:r>
      <w:r w:rsidRPr="00CD2D87">
        <w:rPr>
          <w:rFonts w:ascii="Times New Roman" w:hAnsi="Times New Roman" w:cs="Times New Roman"/>
        </w:rPr>
        <w:t xml:space="preserve"> takim wsparciem i pozytywnymi efektami jego wdrażania. Wspierane będą działalności z zakresu gospodarki czasu wolnego</w:t>
      </w:r>
      <w:r>
        <w:rPr>
          <w:rFonts w:ascii="Times New Roman" w:hAnsi="Times New Roman" w:cs="Times New Roman"/>
        </w:rPr>
        <w:t xml:space="preserve"> oraz promujące zdrowy i aktywny tryb życia </w:t>
      </w:r>
      <w:r w:rsidRPr="00CD2D87">
        <w:rPr>
          <w:rFonts w:ascii="Times New Roman" w:hAnsi="Times New Roman" w:cs="Times New Roman"/>
        </w:rPr>
        <w:t xml:space="preserve">oraz takie, których specyfika pozwoli na świadczenie usług tylko na obszarze LGD (wzrost dostępności usług dla lokalnej społeczności). Ponadto w zakresie włączenia społecznego i aktywizacji społecznej, szczególny nacisk zostanie położony na potrzeby seniorów (osoby, które ukończyły 60. rok życia) i ludzi młodych (do 25. roku życia). Mieszkańcy obszaru zdają sobie sprawę, że są świadkami coraz szybszych zmian, nie </w:t>
      </w:r>
      <w:r w:rsidRPr="00CD2D87">
        <w:rPr>
          <w:rFonts w:ascii="Times New Roman" w:hAnsi="Times New Roman" w:cs="Times New Roman"/>
        </w:rPr>
        <w:lastRenderedPageBreak/>
        <w:t>tylko klimatycznych, ale także społecznych, technicznych i technologicznych. Rolą lokalnych społeczności będzie partnerskie i oddolne wdrażanie Strategii, w tym poprzez inicjatywy innowacyjne. Zgodnie z oczekiwaniami mieszkańców zaplanowano realizację projektów w zakresie poprawy dostępu do małej infrastruktury publicznej, która nie tylko poprawiłaby estetykę i funkcjonalność przestrzeni publicznych, ale też wsparłaby rozwój miejsc rekreacji i spędzania czasu wolnego</w:t>
      </w:r>
      <w:r>
        <w:rPr>
          <w:rFonts w:ascii="Times New Roman" w:hAnsi="Times New Roman" w:cs="Times New Roman"/>
        </w:rPr>
        <w:t>, ze szczególnym uwzględnieniem potrzeb osób z niepełnosprawnościami</w:t>
      </w:r>
      <w:r w:rsidRPr="00CD2D87">
        <w:rPr>
          <w:rFonts w:ascii="Times New Roman" w:hAnsi="Times New Roman" w:cs="Times New Roman"/>
        </w:rPr>
        <w:t xml:space="preserve">. Ze względu na niewykorzystany potencjał organizacji pozarządowych i niewielką aktywność mieszkańców w takich organizacjach, zaplanowano wsparcie organizacji i ich członków, szczególnie w zakresie wzmacniania programów edukacji liderów życia publicznego i społecznego. Wszystkie zakresy będą się wzajemnie uzupełniać, a realizowane operacje wywołają efekt kuli śnieżnej. Wsparcie dla przedsiębiorców będzie skoncentrowane tylko na te branże, które są związane z tworzeniem możliwości rekreacji, budowaniem oferty spędzania czasu wolnego dla mieszkańców i będą komplementarne w stosunku do tworzonej małej infrastruktury publicznej. Organizacje pozarządowe i ich członkowie będą nie tylko beneficjentami, ale i odbiorcami wsparcia. Będą miały możliwość rozwoju i jednocześnie będą mogły realizować projekty dla lokalnej społeczności. </w:t>
      </w:r>
      <w:r w:rsidR="0080794E">
        <w:rPr>
          <w:rFonts w:ascii="Times New Roman" w:hAnsi="Times New Roman" w:cs="Times New Roman"/>
        </w:rPr>
        <w:t>Istotne również będą działania promujące obszar i zachęcające do zamieszkania na tym obszarze oraz odwiedzania go w celach rekreacyjnych.</w:t>
      </w:r>
      <w:r w:rsidR="00402079">
        <w:rPr>
          <w:rFonts w:ascii="Times New Roman" w:hAnsi="Times New Roman" w:cs="Times New Roman"/>
        </w:rPr>
        <w:t xml:space="preserve"> Marketing obszaru jest szczególnie istotny ze względu na położenie przy granicy i międzynarodowych szlakach komunikacyjnych.</w:t>
      </w:r>
    </w:p>
    <w:p w14:paraId="529D3CE0" w14:textId="77777777" w:rsidR="00A17173" w:rsidRDefault="00A17173" w:rsidP="0084722A">
      <w:pPr>
        <w:pStyle w:val="Akapitzlist"/>
        <w:numPr>
          <w:ilvl w:val="0"/>
          <w:numId w:val="23"/>
        </w:numPr>
        <w:spacing w:after="0"/>
        <w:rPr>
          <w:rFonts w:ascii="Times New Roman" w:hAnsi="Times New Roman" w:cs="Times New Roman"/>
          <w:b/>
          <w:bCs/>
        </w:rPr>
      </w:pPr>
      <w:r w:rsidRPr="004D07EE">
        <w:rPr>
          <w:rFonts w:ascii="Times New Roman" w:hAnsi="Times New Roman" w:cs="Times New Roman"/>
          <w:b/>
          <w:bCs/>
        </w:rPr>
        <w:t>Uzasadnienie wyboru dostępnych źródeł</w:t>
      </w:r>
      <w:r>
        <w:rPr>
          <w:rFonts w:ascii="Times New Roman" w:hAnsi="Times New Roman" w:cs="Times New Roman"/>
          <w:b/>
          <w:bCs/>
        </w:rPr>
        <w:t xml:space="preserve"> finansowania</w:t>
      </w:r>
    </w:p>
    <w:p w14:paraId="75352EE5" w14:textId="61A1A5AB" w:rsidR="00A17173" w:rsidRPr="003D6FAB" w:rsidRDefault="00A17173" w:rsidP="00481FBE">
      <w:pPr>
        <w:spacing w:after="0" w:line="276" w:lineRule="auto"/>
        <w:ind w:firstLine="708"/>
        <w:jc w:val="both"/>
        <w:rPr>
          <w:rFonts w:ascii="Times New Roman" w:hAnsi="Times New Roman" w:cs="Times New Roman"/>
        </w:rPr>
      </w:pPr>
      <w:r>
        <w:rPr>
          <w:rFonts w:ascii="Times New Roman" w:hAnsi="Times New Roman" w:cs="Times New Roman"/>
        </w:rPr>
        <w:t xml:space="preserve">LSR będzie wdrażana za pomocą środków PS WPR na lata 2023–2027 w ramach EFRROW. Niniejsza Strategia jest tzw. strategią </w:t>
      </w:r>
      <w:r w:rsidR="00F2229F">
        <w:rPr>
          <w:rFonts w:ascii="Times New Roman" w:hAnsi="Times New Roman" w:cs="Times New Roman"/>
        </w:rPr>
        <w:t>jedno</w:t>
      </w:r>
      <w:r>
        <w:rPr>
          <w:rFonts w:ascii="Times New Roman" w:hAnsi="Times New Roman" w:cs="Times New Roman"/>
        </w:rPr>
        <w:t xml:space="preserve">funduszową. </w:t>
      </w:r>
      <w:r w:rsidR="00F2229F">
        <w:rPr>
          <w:rFonts w:ascii="Times New Roman" w:hAnsi="Times New Roman" w:cs="Times New Roman"/>
        </w:rPr>
        <w:t>Natomiast r</w:t>
      </w:r>
      <w:r w:rsidRPr="00F825A1">
        <w:rPr>
          <w:rFonts w:ascii="Times New Roman" w:hAnsi="Times New Roman" w:cs="Times New Roman"/>
        </w:rPr>
        <w:t>óżnorodność źródeł finansowania umożliwi działanie w</w:t>
      </w:r>
      <w:r>
        <w:rPr>
          <w:rFonts w:ascii="Times New Roman" w:hAnsi="Times New Roman" w:cs="Times New Roman"/>
        </w:rPr>
        <w:t> </w:t>
      </w:r>
      <w:r w:rsidRPr="00F825A1">
        <w:rPr>
          <w:rFonts w:ascii="Times New Roman" w:hAnsi="Times New Roman" w:cs="Times New Roman"/>
        </w:rPr>
        <w:t>sposób wszechstronny, kompleksowy</w:t>
      </w:r>
      <w:r>
        <w:rPr>
          <w:rFonts w:ascii="Times New Roman" w:hAnsi="Times New Roman" w:cs="Times New Roman"/>
        </w:rPr>
        <w:t>,</w:t>
      </w:r>
      <w:r w:rsidRPr="00F825A1">
        <w:rPr>
          <w:rFonts w:ascii="Times New Roman" w:hAnsi="Times New Roman" w:cs="Times New Roman"/>
        </w:rPr>
        <w:t xml:space="preserve"> a tym samym efektywniejszy niż w</w:t>
      </w:r>
      <w:r>
        <w:rPr>
          <w:rFonts w:ascii="Times New Roman" w:hAnsi="Times New Roman" w:cs="Times New Roman"/>
        </w:rPr>
        <w:t> </w:t>
      </w:r>
      <w:r w:rsidRPr="00F825A1">
        <w:rPr>
          <w:rFonts w:ascii="Times New Roman" w:hAnsi="Times New Roman" w:cs="Times New Roman"/>
        </w:rPr>
        <w:t>przypadku korzystania z jednego funduszu</w:t>
      </w:r>
      <w:r>
        <w:rPr>
          <w:rFonts w:ascii="Times New Roman" w:hAnsi="Times New Roman" w:cs="Times New Roman"/>
        </w:rPr>
        <w:t xml:space="preserve">, dlatego też przewiduje się finansowanie LSR </w:t>
      </w:r>
      <w:r w:rsidRPr="00854270">
        <w:rPr>
          <w:rFonts w:ascii="Times New Roman" w:hAnsi="Times New Roman" w:cs="Times New Roman"/>
        </w:rPr>
        <w:t>z innych źródeł, takich jak: środki krajowe</w:t>
      </w:r>
      <w:r>
        <w:rPr>
          <w:rFonts w:ascii="Times New Roman" w:hAnsi="Times New Roman" w:cs="Times New Roman"/>
        </w:rPr>
        <w:t xml:space="preserve">, </w:t>
      </w:r>
      <w:r w:rsidRPr="00481FBE">
        <w:rPr>
          <w:rFonts w:ascii="Times New Roman" w:hAnsi="Times New Roman" w:cs="Times New Roman"/>
          <w:i/>
          <w:iCs/>
        </w:rPr>
        <w:t>Krajowy Plan Odbudowy,</w:t>
      </w:r>
      <w:r>
        <w:rPr>
          <w:rFonts w:ascii="Times New Roman" w:hAnsi="Times New Roman" w:cs="Times New Roman"/>
        </w:rPr>
        <w:t xml:space="preserve"> </w:t>
      </w:r>
      <w:r w:rsidRPr="00481FBE">
        <w:rPr>
          <w:rFonts w:ascii="Times New Roman" w:hAnsi="Times New Roman" w:cs="Times New Roman"/>
          <w:i/>
          <w:iCs/>
        </w:rPr>
        <w:t>Fundusze Europejskie dla Rozwoju Społecznego 2021–2027</w:t>
      </w:r>
      <w:r>
        <w:rPr>
          <w:rFonts w:ascii="Times New Roman" w:hAnsi="Times New Roman" w:cs="Times New Roman"/>
        </w:rPr>
        <w:t xml:space="preserve">, </w:t>
      </w:r>
      <w:r w:rsidRPr="00481FBE">
        <w:rPr>
          <w:rFonts w:ascii="Times New Roman" w:hAnsi="Times New Roman" w:cs="Times New Roman"/>
          <w:i/>
          <w:iCs/>
        </w:rPr>
        <w:t>Fundusze Europejskie na Infrastrukturę, Klimat, Środowisko 2021–2027</w:t>
      </w:r>
      <w:r w:rsidR="00481FBE">
        <w:rPr>
          <w:rFonts w:ascii="Times New Roman" w:hAnsi="Times New Roman" w:cs="Times New Roman"/>
          <w:i/>
          <w:iCs/>
        </w:rPr>
        <w:t>, Program Fundusz Inicjatyw Obywatelskich NOWEFIO na lata 2021–2030</w:t>
      </w:r>
      <w:r w:rsidRPr="00481FBE">
        <w:rPr>
          <w:rFonts w:ascii="Times New Roman" w:hAnsi="Times New Roman" w:cs="Times New Roman"/>
          <w:i/>
          <w:iCs/>
        </w:rPr>
        <w:t xml:space="preserve"> </w:t>
      </w:r>
      <w:r>
        <w:rPr>
          <w:rFonts w:ascii="Times New Roman" w:hAnsi="Times New Roman" w:cs="Times New Roman"/>
        </w:rPr>
        <w:t>i inne.</w:t>
      </w:r>
    </w:p>
    <w:p w14:paraId="14551003" w14:textId="77777777" w:rsidR="00A17173" w:rsidRPr="00FD1B2F" w:rsidRDefault="00A17173" w:rsidP="0084722A">
      <w:pPr>
        <w:pStyle w:val="Akapitzlist"/>
        <w:numPr>
          <w:ilvl w:val="0"/>
          <w:numId w:val="23"/>
        </w:numPr>
        <w:spacing w:after="0"/>
        <w:rPr>
          <w:rFonts w:ascii="Times New Roman" w:hAnsi="Times New Roman" w:cs="Times New Roman"/>
          <w:b/>
          <w:bCs/>
        </w:rPr>
      </w:pPr>
      <w:r w:rsidRPr="004D07EE">
        <w:rPr>
          <w:rFonts w:ascii="Times New Roman" w:hAnsi="Times New Roman" w:cs="Times New Roman"/>
          <w:b/>
          <w:bCs/>
        </w:rPr>
        <w:t>Uzasadnienie przyjętego sposobu wdrażania LSR</w:t>
      </w:r>
    </w:p>
    <w:p w14:paraId="2761BBF9" w14:textId="67CDEADC" w:rsidR="0084722A" w:rsidRDefault="00A17173" w:rsidP="0084722A">
      <w:pPr>
        <w:spacing w:after="0" w:line="276" w:lineRule="auto"/>
        <w:ind w:firstLine="708"/>
        <w:jc w:val="both"/>
        <w:rPr>
          <w:rFonts w:ascii="Times New Roman" w:hAnsi="Times New Roman" w:cs="Times New Roman"/>
        </w:rPr>
      </w:pPr>
      <w:r>
        <w:rPr>
          <w:rFonts w:ascii="Times New Roman" w:hAnsi="Times New Roman" w:cs="Times New Roman"/>
        </w:rPr>
        <w:t xml:space="preserve">W celu opracowania LSR, która nie tylko będzie odpowiedzią na potrzeby lokalnej społeczności, ale też przyniesie wymierne efekty, podjęto trud wyspecjalizowania się w konkretnych </w:t>
      </w:r>
      <w:r w:rsidRPr="00854270">
        <w:rPr>
          <w:rFonts w:ascii="Times New Roman" w:hAnsi="Times New Roman" w:cs="Times New Roman"/>
        </w:rPr>
        <w:t>obszarach. Stąd podjęto decyzję o określeniu tylko jednego, konkretnego celu. Odpowiednie ukierunkowanie się na wybrane obszary wzmocni efekt synergii i będzie wzmacniać wartość dodaną zastosowanego podejścia LEADER</w:t>
      </w:r>
      <w:r>
        <w:rPr>
          <w:rFonts w:ascii="Times New Roman" w:hAnsi="Times New Roman" w:cs="Times New Roman"/>
        </w:rPr>
        <w:t xml:space="preserve"> w rozwoju obszaru. Ukierunkowanie to pozwoli też na skonkretyzowanie oczekiwanych rezultatów i osiągniecie założonych celów przy planowanym budżecie w określonym czasie. Rozwój obszaru objętego LSR ukierunkowany będzie przede wszystkim na </w:t>
      </w:r>
      <w:r w:rsidR="00F04550">
        <w:rPr>
          <w:rFonts w:ascii="Times New Roman" w:hAnsi="Times New Roman" w:cs="Times New Roman"/>
        </w:rPr>
        <w:t>zbudowanie kapitału społecznego</w:t>
      </w:r>
      <w:r>
        <w:rPr>
          <w:rFonts w:ascii="Times New Roman" w:hAnsi="Times New Roman" w:cs="Times New Roman"/>
        </w:rPr>
        <w:t xml:space="preserve"> mieszkańców poprzez tworzenie oferty rozwoju, spędzania czasu wolnego i rekreacji (lepszy dostęp do ogólnodostępnej infrastruktury, projekty w zakresie włączania społecznego) oraz rozwój kompetencji społecznych mieszkańców (wsparcie innowacyjnych inicjatyw, kojarzenie partnerów i animowanie do realizacji projektów w partnerstwie, kształtowanie liderów życia publicznego, wzmacnianie organizacji pozarządowych). Uzupełnieniem będzie wzmacnianie przedsiębiorczości mieszkańców, co przełoży się na poprawę warunków bytowych i minimalizację ryzyka ubóstwa. LSR wdrażana będzie przez różne podmioty, w tym samą LGD w ramach projektów własnych. Stowarzyszenie ma duże doświadczenie w zakresie wdrażania </w:t>
      </w:r>
      <w:r w:rsidRPr="003013C5">
        <w:rPr>
          <w:rFonts w:ascii="Times New Roman" w:hAnsi="Times New Roman" w:cs="Times New Roman"/>
        </w:rPr>
        <w:t xml:space="preserve">LSR, realizowania projektów, w tym partnerskich i animowania lokalnej społeczności. </w:t>
      </w:r>
      <w:bookmarkStart w:id="102" w:name="_Hlk133231828"/>
      <w:r w:rsidR="00CD2D87" w:rsidRPr="003013C5">
        <w:rPr>
          <w:rFonts w:ascii="Times New Roman" w:hAnsi="Times New Roman" w:cs="Times New Roman"/>
        </w:rPr>
        <w:t>Zaplanowano również harmonizację następujących po sobie naborów wniosków</w:t>
      </w:r>
      <w:r w:rsidR="00CD2D87">
        <w:rPr>
          <w:rFonts w:ascii="Times New Roman" w:hAnsi="Times New Roman" w:cs="Times New Roman"/>
        </w:rPr>
        <w:t xml:space="preserve">. Pierwszymi operacjami realizowanymi w ramach przedsięwzięć będą </w:t>
      </w:r>
      <w:r w:rsidR="00F14811">
        <w:rPr>
          <w:rFonts w:ascii="Times New Roman" w:hAnsi="Times New Roman" w:cs="Times New Roman"/>
        </w:rPr>
        <w:t xml:space="preserve">operacje w zakresie </w:t>
      </w:r>
      <w:r w:rsidR="00CD2D87">
        <w:rPr>
          <w:rFonts w:ascii="Times New Roman" w:hAnsi="Times New Roman" w:cs="Times New Roman"/>
        </w:rPr>
        <w:t>kształtowania liderów życia publicznego (1.</w:t>
      </w:r>
      <w:r w:rsidR="00481FBE">
        <w:rPr>
          <w:rFonts w:ascii="Times New Roman" w:hAnsi="Times New Roman" w:cs="Times New Roman"/>
        </w:rPr>
        <w:t>1</w:t>
      </w:r>
      <w:r w:rsidR="00F14811">
        <w:rPr>
          <w:rFonts w:ascii="Times New Roman" w:hAnsi="Times New Roman" w:cs="Times New Roman"/>
        </w:rPr>
        <w:t>4</w:t>
      </w:r>
      <w:r w:rsidR="00CD2D87">
        <w:rPr>
          <w:rFonts w:ascii="Times New Roman" w:hAnsi="Times New Roman" w:cs="Times New Roman"/>
        </w:rPr>
        <w:t>)</w:t>
      </w:r>
      <w:r w:rsidR="00F14811">
        <w:rPr>
          <w:rFonts w:ascii="Times New Roman" w:hAnsi="Times New Roman" w:cs="Times New Roman"/>
        </w:rPr>
        <w:t>, a także wspierające rozwój kompetencji mieszkańców w zakresie pracy i nauki zdalnej (1.</w:t>
      </w:r>
      <w:r w:rsidR="00481FBE">
        <w:rPr>
          <w:rFonts w:ascii="Times New Roman" w:hAnsi="Times New Roman" w:cs="Times New Roman"/>
        </w:rPr>
        <w:t>1</w:t>
      </w:r>
      <w:r w:rsidR="00F14811">
        <w:rPr>
          <w:rFonts w:ascii="Times New Roman" w:hAnsi="Times New Roman" w:cs="Times New Roman"/>
        </w:rPr>
        <w:t>5), co również przyczyni się do zwiększenia innowacyjności obszaru. Równolegle będą realizowane operacje</w:t>
      </w:r>
      <w:r w:rsidR="00CD2D87">
        <w:rPr>
          <w:rFonts w:ascii="Times New Roman" w:hAnsi="Times New Roman" w:cs="Times New Roman"/>
        </w:rPr>
        <w:t xml:space="preserve"> związane z powstaniem ogólnodostępnej infrastruktury publicznej</w:t>
      </w:r>
      <w:r w:rsidR="00F14811">
        <w:rPr>
          <w:rFonts w:ascii="Times New Roman" w:hAnsi="Times New Roman" w:cs="Times New Roman"/>
        </w:rPr>
        <w:t xml:space="preserve"> dostosowanej do osób z niepełnosprawnościami</w:t>
      </w:r>
      <w:r w:rsidR="00CD2D87">
        <w:rPr>
          <w:rFonts w:ascii="Times New Roman" w:hAnsi="Times New Roman" w:cs="Times New Roman"/>
        </w:rPr>
        <w:t xml:space="preserve"> (1.1)</w:t>
      </w:r>
      <w:r w:rsidR="00F14811">
        <w:rPr>
          <w:rFonts w:ascii="Times New Roman" w:hAnsi="Times New Roman" w:cs="Times New Roman"/>
        </w:rPr>
        <w:t>, a także z zakresu rozwijania pozarolniczych funkcji gospodarstw rolnych (</w:t>
      </w:r>
      <w:r w:rsidR="00251B81">
        <w:rPr>
          <w:rFonts w:ascii="Times New Roman" w:hAnsi="Times New Roman" w:cs="Times New Roman"/>
        </w:rPr>
        <w:t>1.1</w:t>
      </w:r>
      <w:r w:rsidR="00481FBE">
        <w:rPr>
          <w:rFonts w:ascii="Times New Roman" w:hAnsi="Times New Roman" w:cs="Times New Roman"/>
        </w:rPr>
        <w:t>0</w:t>
      </w:r>
      <w:r w:rsidR="00251B81">
        <w:rPr>
          <w:rFonts w:ascii="Times New Roman" w:hAnsi="Times New Roman" w:cs="Times New Roman"/>
        </w:rPr>
        <w:t>, 1.1</w:t>
      </w:r>
      <w:r w:rsidR="00481FBE">
        <w:rPr>
          <w:rFonts w:ascii="Times New Roman" w:hAnsi="Times New Roman" w:cs="Times New Roman"/>
        </w:rPr>
        <w:t>1</w:t>
      </w:r>
      <w:r w:rsidR="00251B81">
        <w:rPr>
          <w:rFonts w:ascii="Times New Roman" w:hAnsi="Times New Roman" w:cs="Times New Roman"/>
        </w:rPr>
        <w:t>)</w:t>
      </w:r>
      <w:r w:rsidR="00F14811">
        <w:rPr>
          <w:rFonts w:ascii="Times New Roman" w:hAnsi="Times New Roman" w:cs="Times New Roman"/>
        </w:rPr>
        <w:t>.</w:t>
      </w:r>
      <w:r w:rsidR="00CD2D87">
        <w:rPr>
          <w:rFonts w:ascii="Times New Roman" w:hAnsi="Times New Roman" w:cs="Times New Roman"/>
        </w:rPr>
        <w:t xml:space="preserve"> </w:t>
      </w:r>
      <w:r w:rsidR="00F14811">
        <w:rPr>
          <w:rFonts w:ascii="Times New Roman" w:hAnsi="Times New Roman" w:cs="Times New Roman"/>
        </w:rPr>
        <w:t>Następnie zrealizowane będą operacje w zakresie wzmocnienia potencjału organizacji pozarządowych (1.</w:t>
      </w:r>
      <w:r w:rsidR="00481FBE">
        <w:rPr>
          <w:rFonts w:ascii="Times New Roman" w:hAnsi="Times New Roman" w:cs="Times New Roman"/>
        </w:rPr>
        <w:t>5</w:t>
      </w:r>
      <w:r w:rsidR="00F14811">
        <w:rPr>
          <w:rFonts w:ascii="Times New Roman" w:hAnsi="Times New Roman" w:cs="Times New Roman"/>
        </w:rPr>
        <w:t xml:space="preserve">) </w:t>
      </w:r>
      <w:r w:rsidR="00CD2D87">
        <w:rPr>
          <w:rFonts w:ascii="Times New Roman" w:hAnsi="Times New Roman" w:cs="Times New Roman"/>
        </w:rPr>
        <w:t xml:space="preserve">oraz </w:t>
      </w:r>
      <w:r w:rsidR="00F14811">
        <w:rPr>
          <w:rFonts w:ascii="Times New Roman" w:hAnsi="Times New Roman" w:cs="Times New Roman"/>
        </w:rPr>
        <w:t>kojarzące</w:t>
      </w:r>
      <w:r w:rsidR="00CD2D87" w:rsidRPr="00E346D5">
        <w:rPr>
          <w:rFonts w:ascii="Times New Roman" w:hAnsi="Times New Roman" w:cs="Times New Roman"/>
        </w:rPr>
        <w:t xml:space="preserve"> partnerów i anim</w:t>
      </w:r>
      <w:r w:rsidR="00F14811">
        <w:rPr>
          <w:rFonts w:ascii="Times New Roman" w:hAnsi="Times New Roman" w:cs="Times New Roman"/>
        </w:rPr>
        <w:t>ujące</w:t>
      </w:r>
      <w:r w:rsidR="00CD2D87" w:rsidRPr="00E346D5">
        <w:rPr>
          <w:rFonts w:ascii="Times New Roman" w:hAnsi="Times New Roman" w:cs="Times New Roman"/>
        </w:rPr>
        <w:t xml:space="preserve"> do realizacji wspólnych projektów na rzecz wzmacniania tożsamości lokalnej</w:t>
      </w:r>
      <w:r w:rsidR="00F14811">
        <w:rPr>
          <w:rFonts w:ascii="Times New Roman" w:hAnsi="Times New Roman" w:cs="Times New Roman"/>
        </w:rPr>
        <w:t xml:space="preserve"> i aktywizacji społecznej</w:t>
      </w:r>
      <w:r w:rsidR="00251B81">
        <w:rPr>
          <w:rFonts w:ascii="Times New Roman" w:hAnsi="Times New Roman" w:cs="Times New Roman"/>
        </w:rPr>
        <w:t xml:space="preserve"> </w:t>
      </w:r>
      <w:r w:rsidR="00EE1575">
        <w:rPr>
          <w:rFonts w:ascii="Times New Roman" w:hAnsi="Times New Roman" w:cs="Times New Roman"/>
        </w:rPr>
        <w:t xml:space="preserve">oraz promujące zdrowy </w:t>
      </w:r>
      <w:r w:rsidR="009408B5">
        <w:rPr>
          <w:rFonts w:ascii="Times New Roman" w:hAnsi="Times New Roman" w:cs="Times New Roman"/>
        </w:rPr>
        <w:br/>
      </w:r>
      <w:r w:rsidR="00EE1575">
        <w:rPr>
          <w:rFonts w:ascii="Times New Roman" w:hAnsi="Times New Roman" w:cs="Times New Roman"/>
        </w:rPr>
        <w:t xml:space="preserve">i aktywny tryb życia poprzez organizację wydarzeń </w:t>
      </w:r>
      <w:r w:rsidR="00CD2D87">
        <w:rPr>
          <w:rFonts w:ascii="Times New Roman" w:hAnsi="Times New Roman" w:cs="Times New Roman"/>
        </w:rPr>
        <w:t>(</w:t>
      </w:r>
      <w:r w:rsidR="00EE1575">
        <w:rPr>
          <w:rFonts w:ascii="Times New Roman" w:hAnsi="Times New Roman" w:cs="Times New Roman"/>
        </w:rPr>
        <w:t xml:space="preserve">1.4, </w:t>
      </w:r>
      <w:r w:rsidR="00CD2D87">
        <w:rPr>
          <w:rFonts w:ascii="Times New Roman" w:hAnsi="Times New Roman" w:cs="Times New Roman"/>
        </w:rPr>
        <w:t>1.</w:t>
      </w:r>
      <w:r w:rsidR="00481FBE">
        <w:rPr>
          <w:rFonts w:ascii="Times New Roman" w:hAnsi="Times New Roman" w:cs="Times New Roman"/>
        </w:rPr>
        <w:t>1</w:t>
      </w:r>
      <w:r w:rsidR="00F14811">
        <w:rPr>
          <w:rFonts w:ascii="Times New Roman" w:hAnsi="Times New Roman" w:cs="Times New Roman"/>
        </w:rPr>
        <w:t>6</w:t>
      </w:r>
      <w:r w:rsidR="00CD2D87">
        <w:rPr>
          <w:rFonts w:ascii="Times New Roman" w:hAnsi="Times New Roman" w:cs="Times New Roman"/>
        </w:rPr>
        <w:t>)</w:t>
      </w:r>
      <w:r w:rsidR="004126E1">
        <w:rPr>
          <w:rFonts w:ascii="Times New Roman" w:hAnsi="Times New Roman" w:cs="Times New Roman"/>
        </w:rPr>
        <w:t>, a także działania promujące obszar (1.1</w:t>
      </w:r>
      <w:r w:rsidR="00481FBE">
        <w:rPr>
          <w:rFonts w:ascii="Times New Roman" w:hAnsi="Times New Roman" w:cs="Times New Roman"/>
        </w:rPr>
        <w:t>2</w:t>
      </w:r>
      <w:r w:rsidR="004126E1">
        <w:rPr>
          <w:rFonts w:ascii="Times New Roman" w:hAnsi="Times New Roman" w:cs="Times New Roman"/>
        </w:rPr>
        <w:t>)</w:t>
      </w:r>
      <w:r w:rsidR="00EE1575">
        <w:rPr>
          <w:rFonts w:ascii="Times New Roman" w:hAnsi="Times New Roman" w:cs="Times New Roman"/>
        </w:rPr>
        <w:t xml:space="preserve"> oraz zwiększające ofertę kulturalną na obszarze (1.13)</w:t>
      </w:r>
      <w:r w:rsidR="00CD2D87">
        <w:rPr>
          <w:rFonts w:ascii="Times New Roman" w:hAnsi="Times New Roman" w:cs="Times New Roman"/>
        </w:rPr>
        <w:t>. Na koniec wdrażane będą operacje, w których istotne będzie wykorzystanie infrastruktury i innych efektów zrealizowanych już operacji. Będą to: projekty grantowe w zakresie włączenia społecznego seniorów i ludzi młodych (1.</w:t>
      </w:r>
      <w:r w:rsidR="00F14811">
        <w:rPr>
          <w:rFonts w:ascii="Times New Roman" w:hAnsi="Times New Roman" w:cs="Times New Roman"/>
        </w:rPr>
        <w:t>2</w:t>
      </w:r>
      <w:r w:rsidR="00251B81">
        <w:rPr>
          <w:rFonts w:ascii="Times New Roman" w:hAnsi="Times New Roman" w:cs="Times New Roman"/>
        </w:rPr>
        <w:t xml:space="preserve">, </w:t>
      </w:r>
      <w:r w:rsidR="00CD2D87">
        <w:rPr>
          <w:rFonts w:ascii="Times New Roman" w:hAnsi="Times New Roman" w:cs="Times New Roman"/>
        </w:rPr>
        <w:t>1.</w:t>
      </w:r>
      <w:r w:rsidR="00F14811">
        <w:rPr>
          <w:rFonts w:ascii="Times New Roman" w:hAnsi="Times New Roman" w:cs="Times New Roman"/>
        </w:rPr>
        <w:t>3</w:t>
      </w:r>
      <w:r w:rsidR="00CD2D87">
        <w:rPr>
          <w:rFonts w:ascii="Times New Roman" w:hAnsi="Times New Roman" w:cs="Times New Roman"/>
        </w:rPr>
        <w:t>)</w:t>
      </w:r>
      <w:r w:rsidR="00481FBE">
        <w:rPr>
          <w:rFonts w:ascii="Times New Roman" w:hAnsi="Times New Roman" w:cs="Times New Roman"/>
        </w:rPr>
        <w:t xml:space="preserve"> oraz integracja i rozwój osób w niekorzystnej sytuacji </w:t>
      </w:r>
      <w:r w:rsidR="00481FBE">
        <w:rPr>
          <w:rFonts w:ascii="Times New Roman" w:hAnsi="Times New Roman" w:cs="Times New Roman"/>
        </w:rPr>
        <w:lastRenderedPageBreak/>
        <w:t>(1.7)</w:t>
      </w:r>
      <w:r w:rsidR="00CD2D87">
        <w:rPr>
          <w:rFonts w:ascii="Times New Roman" w:hAnsi="Times New Roman" w:cs="Times New Roman"/>
        </w:rPr>
        <w:t>, wsparcie rozwoju pozarolniczej działalności gospodarczej (1.</w:t>
      </w:r>
      <w:r w:rsidR="00481FBE">
        <w:rPr>
          <w:rFonts w:ascii="Times New Roman" w:hAnsi="Times New Roman" w:cs="Times New Roman"/>
        </w:rPr>
        <w:t>8</w:t>
      </w:r>
      <w:r w:rsidR="00251B81">
        <w:rPr>
          <w:rFonts w:ascii="Times New Roman" w:hAnsi="Times New Roman" w:cs="Times New Roman"/>
        </w:rPr>
        <w:t>, 1.</w:t>
      </w:r>
      <w:r w:rsidR="00481FBE">
        <w:rPr>
          <w:rFonts w:ascii="Times New Roman" w:hAnsi="Times New Roman" w:cs="Times New Roman"/>
        </w:rPr>
        <w:t>9</w:t>
      </w:r>
      <w:r w:rsidR="00CD2D87">
        <w:rPr>
          <w:rFonts w:ascii="Times New Roman" w:hAnsi="Times New Roman" w:cs="Times New Roman"/>
        </w:rPr>
        <w:t>) oraz projekty grantowe w zakresie innowacyjnych inicjatyw oddolnych</w:t>
      </w:r>
      <w:r w:rsidR="00251B81">
        <w:rPr>
          <w:rFonts w:ascii="Times New Roman" w:hAnsi="Times New Roman" w:cs="Times New Roman"/>
        </w:rPr>
        <w:t xml:space="preserve"> </w:t>
      </w:r>
      <w:r w:rsidR="00CD2D87">
        <w:rPr>
          <w:rFonts w:ascii="Times New Roman" w:hAnsi="Times New Roman" w:cs="Times New Roman"/>
        </w:rPr>
        <w:t>(1.</w:t>
      </w:r>
      <w:r w:rsidR="00481FBE">
        <w:rPr>
          <w:rFonts w:ascii="Times New Roman" w:hAnsi="Times New Roman" w:cs="Times New Roman"/>
        </w:rPr>
        <w:t>6</w:t>
      </w:r>
      <w:r w:rsidR="00CD2D87">
        <w:rPr>
          <w:rFonts w:ascii="Times New Roman" w:hAnsi="Times New Roman" w:cs="Times New Roman"/>
        </w:rPr>
        <w:t>)</w:t>
      </w:r>
      <w:r w:rsidR="00251B81">
        <w:rPr>
          <w:rFonts w:ascii="Times New Roman" w:hAnsi="Times New Roman" w:cs="Times New Roman"/>
        </w:rPr>
        <w:t xml:space="preserve"> wspierających aktywność społeczną mieszkańców.</w:t>
      </w:r>
    </w:p>
    <w:bookmarkEnd w:id="102"/>
    <w:p w14:paraId="55B123AC" w14:textId="1EDE30F4" w:rsidR="00A17173" w:rsidRPr="0084722A" w:rsidRDefault="00A17173" w:rsidP="0084722A">
      <w:pPr>
        <w:pStyle w:val="Akapitzlist"/>
        <w:numPr>
          <w:ilvl w:val="0"/>
          <w:numId w:val="23"/>
        </w:numPr>
        <w:rPr>
          <w:rFonts w:ascii="Times New Roman" w:hAnsi="Times New Roman" w:cs="Times New Roman"/>
          <w:b/>
          <w:bCs/>
        </w:rPr>
      </w:pPr>
      <w:r w:rsidRPr="004D07EE">
        <w:rPr>
          <w:rFonts w:ascii="Times New Roman" w:hAnsi="Times New Roman" w:cs="Times New Roman"/>
          <w:b/>
          <w:bCs/>
        </w:rPr>
        <w:t>Uzasadnienie doboru dostępnych metod wdrażania operacji w ramach LSR</w:t>
      </w:r>
    </w:p>
    <w:p w14:paraId="07B25B00" w14:textId="07F3EEB5" w:rsidR="00A17173" w:rsidRDefault="00A17173" w:rsidP="00A17173">
      <w:pPr>
        <w:pStyle w:val="Akapitzlist"/>
        <w:tabs>
          <w:tab w:val="left" w:pos="709"/>
        </w:tabs>
        <w:spacing w:before="240" w:line="276" w:lineRule="auto"/>
        <w:ind w:left="0" w:firstLine="709"/>
        <w:jc w:val="both"/>
        <w:rPr>
          <w:rFonts w:ascii="Times New Roman" w:hAnsi="Times New Roman" w:cs="Times New Roman"/>
        </w:rPr>
      </w:pPr>
      <w:r w:rsidRPr="0094089C">
        <w:rPr>
          <w:rFonts w:ascii="Times New Roman" w:hAnsi="Times New Roman" w:cs="Times New Roman"/>
        </w:rPr>
        <w:t>Operacje zaplanowane do finansowania w ramach LSR realizowane będą przez beneficjentów</w:t>
      </w:r>
      <w:r>
        <w:rPr>
          <w:rFonts w:ascii="Times New Roman" w:hAnsi="Times New Roman" w:cs="Times New Roman"/>
        </w:rPr>
        <w:t xml:space="preserve"> </w:t>
      </w:r>
      <w:r w:rsidRPr="0094089C">
        <w:rPr>
          <w:rFonts w:ascii="Times New Roman" w:hAnsi="Times New Roman" w:cs="Times New Roman"/>
        </w:rPr>
        <w:t>reprezentujących wszystkie sektory życia społeczno-gospodarczego obszaru LGD</w:t>
      </w:r>
      <w:r>
        <w:rPr>
          <w:rFonts w:ascii="Times New Roman" w:hAnsi="Times New Roman" w:cs="Times New Roman"/>
        </w:rPr>
        <w:t>.</w:t>
      </w:r>
      <w:r w:rsidRPr="0094089C">
        <w:rPr>
          <w:rFonts w:ascii="Times New Roman" w:hAnsi="Times New Roman" w:cs="Times New Roman"/>
        </w:rPr>
        <w:t xml:space="preserve"> </w:t>
      </w:r>
      <w:r>
        <w:rPr>
          <w:rFonts w:ascii="Times New Roman" w:hAnsi="Times New Roman" w:cs="Times New Roman"/>
        </w:rPr>
        <w:t xml:space="preserve">Różnorodność zaplanowanych metod wdrażania operacji, tj. </w:t>
      </w:r>
      <w:r w:rsidRPr="0094089C">
        <w:rPr>
          <w:rFonts w:ascii="Times New Roman" w:hAnsi="Times New Roman" w:cs="Times New Roman"/>
        </w:rPr>
        <w:t>wsparcie finansowe poprzez przyznawanie dotacji</w:t>
      </w:r>
      <w:r>
        <w:rPr>
          <w:rFonts w:ascii="Times New Roman" w:hAnsi="Times New Roman" w:cs="Times New Roman"/>
        </w:rPr>
        <w:t>,</w:t>
      </w:r>
      <w:r w:rsidRPr="0094089C">
        <w:rPr>
          <w:rFonts w:ascii="Times New Roman" w:hAnsi="Times New Roman" w:cs="Times New Roman"/>
        </w:rPr>
        <w:t xml:space="preserve"> </w:t>
      </w:r>
      <w:r>
        <w:rPr>
          <w:rFonts w:ascii="Times New Roman" w:hAnsi="Times New Roman" w:cs="Times New Roman"/>
        </w:rPr>
        <w:t xml:space="preserve">projekty grantowe, operacje własne, </w:t>
      </w:r>
      <w:r w:rsidRPr="0094089C">
        <w:rPr>
          <w:rFonts w:ascii="Times New Roman" w:hAnsi="Times New Roman" w:cs="Times New Roman"/>
        </w:rPr>
        <w:t>organizacja szkoleń, warsztatów, prowadzenie doradztwa, promowanie dobrych praktyk</w:t>
      </w:r>
      <w:r>
        <w:rPr>
          <w:rFonts w:ascii="Times New Roman" w:hAnsi="Times New Roman" w:cs="Times New Roman"/>
        </w:rPr>
        <w:t>,</w:t>
      </w:r>
      <w:r w:rsidRPr="0094089C">
        <w:rPr>
          <w:rFonts w:ascii="Times New Roman" w:hAnsi="Times New Roman" w:cs="Times New Roman"/>
        </w:rPr>
        <w:t xml:space="preserve"> </w:t>
      </w:r>
      <w:r>
        <w:rPr>
          <w:rFonts w:ascii="Times New Roman" w:hAnsi="Times New Roman" w:cs="Times New Roman"/>
        </w:rPr>
        <w:t xml:space="preserve">operacje realizowane przez </w:t>
      </w:r>
      <w:r w:rsidR="00DE0E0D">
        <w:rPr>
          <w:rFonts w:ascii="Times New Roman" w:hAnsi="Times New Roman" w:cs="Times New Roman"/>
        </w:rPr>
        <w:t>w</w:t>
      </w:r>
      <w:r>
        <w:rPr>
          <w:rFonts w:ascii="Times New Roman" w:hAnsi="Times New Roman" w:cs="Times New Roman"/>
        </w:rPr>
        <w:t>nioskodawc</w:t>
      </w:r>
      <w:r w:rsidR="00DE0E0D">
        <w:rPr>
          <w:rFonts w:ascii="Times New Roman" w:hAnsi="Times New Roman" w:cs="Times New Roman"/>
        </w:rPr>
        <w:t>ę innego</w:t>
      </w:r>
      <w:r>
        <w:rPr>
          <w:rFonts w:ascii="Times New Roman" w:hAnsi="Times New Roman" w:cs="Times New Roman"/>
        </w:rPr>
        <w:t xml:space="preserve"> niż LGD, ma na celu upodmiotowienie i usamodzielnienie społeczności lokalnych. Przy wyborze operacji punktowana będzie r</w:t>
      </w:r>
      <w:r w:rsidRPr="002E09C8">
        <w:rPr>
          <w:rFonts w:ascii="Times New Roman" w:hAnsi="Times New Roman" w:cs="Times New Roman"/>
        </w:rPr>
        <w:t>ealiz</w:t>
      </w:r>
      <w:r>
        <w:rPr>
          <w:rFonts w:ascii="Times New Roman" w:hAnsi="Times New Roman" w:cs="Times New Roman"/>
        </w:rPr>
        <w:t xml:space="preserve">acja </w:t>
      </w:r>
      <w:r w:rsidRPr="002E09C8">
        <w:rPr>
          <w:rFonts w:ascii="Times New Roman" w:hAnsi="Times New Roman" w:cs="Times New Roman"/>
        </w:rPr>
        <w:t>w partnerstwie z partnerami z obszaru LSR</w:t>
      </w:r>
      <w:r w:rsidR="00251B81">
        <w:rPr>
          <w:rFonts w:ascii="Times New Roman" w:hAnsi="Times New Roman" w:cs="Times New Roman"/>
        </w:rPr>
        <w:t xml:space="preserve"> oraz spoza obszaru</w:t>
      </w:r>
      <w:r w:rsidR="00DE0E0D">
        <w:rPr>
          <w:rFonts w:ascii="Times New Roman" w:hAnsi="Times New Roman" w:cs="Times New Roman"/>
        </w:rPr>
        <w:t>,</w:t>
      </w:r>
      <w:r w:rsidR="00251B81">
        <w:rPr>
          <w:rFonts w:ascii="Times New Roman" w:hAnsi="Times New Roman" w:cs="Times New Roman"/>
        </w:rPr>
        <w:t xml:space="preserve"> zarówno krajowymi jak i zagranicznymi</w:t>
      </w:r>
      <w:r>
        <w:rPr>
          <w:rFonts w:ascii="Times New Roman" w:hAnsi="Times New Roman" w:cs="Times New Roman"/>
        </w:rPr>
        <w:t xml:space="preserve">, co przyczyni się do zwiększenia współpracy mieszkańców i innych podmiotów oraz do lepszych efektów realizowanych operacji. Wybrane metody wdrażania LSR wpłyną na wzmocnienie potencjałów obszaru i są odpowiedzią na zgłaszane potrzeby społeczności. LGD planuje w pierwszej kolejności zrealizować operacje o charakterze edukacyjnym, które będą kształtować świadomość, wzmacniać kompetencje i podnosić poziom zaangażowania lokalnej społeczności we wdrażanie LSR. Najpierw zrealizowane będą projekty własne, których celem będzie zwiększenie świadomości lokalnej społeczności, a także kojarzenie partnerów i animowanie do realizacji projektów w partnerstwie, a później udzielane będą granty na operacje, </w:t>
      </w:r>
      <w:r w:rsidR="00DE0E0D">
        <w:rPr>
          <w:rFonts w:ascii="Times New Roman" w:hAnsi="Times New Roman" w:cs="Times New Roman"/>
        </w:rPr>
        <w:br/>
      </w:r>
      <w:r>
        <w:rPr>
          <w:rFonts w:ascii="Times New Roman" w:hAnsi="Times New Roman" w:cs="Times New Roman"/>
        </w:rPr>
        <w:t>w których premiuje się projekty realizowane w partnerstwie</w:t>
      </w:r>
      <w:r w:rsidR="00251B81" w:rsidRPr="00251B81">
        <w:rPr>
          <w:rFonts w:ascii="Times New Roman" w:hAnsi="Times New Roman" w:cs="Times New Roman"/>
        </w:rPr>
        <w:t xml:space="preserve"> </w:t>
      </w:r>
      <w:r w:rsidR="00251B81">
        <w:rPr>
          <w:rFonts w:ascii="Times New Roman" w:hAnsi="Times New Roman" w:cs="Times New Roman"/>
        </w:rPr>
        <w:t>oraz na realizację innowacyjnych inicjatywy oddolnych</w:t>
      </w:r>
      <w:r>
        <w:rPr>
          <w:rFonts w:ascii="Times New Roman" w:hAnsi="Times New Roman" w:cs="Times New Roman"/>
        </w:rPr>
        <w:t xml:space="preserve">. Podobnie będzie z wsparciem przedsiębiorczości – najpierw zostaną zrealizowane operacje na rzecz podniesienia kwalifikacji i kompetencji </w:t>
      </w:r>
      <w:r w:rsidR="00251B81">
        <w:rPr>
          <w:rFonts w:ascii="Times New Roman" w:hAnsi="Times New Roman" w:cs="Times New Roman"/>
        </w:rPr>
        <w:t>mieszkańców</w:t>
      </w:r>
      <w:r w:rsidR="0050557E">
        <w:rPr>
          <w:rFonts w:ascii="Times New Roman" w:hAnsi="Times New Roman" w:cs="Times New Roman"/>
        </w:rPr>
        <w:t>, w tym cyfrowych</w:t>
      </w:r>
      <w:r>
        <w:rPr>
          <w:rFonts w:ascii="Times New Roman" w:hAnsi="Times New Roman" w:cs="Times New Roman"/>
        </w:rPr>
        <w:t xml:space="preserve">, a następnie będą ogłaszane granty na rozwój </w:t>
      </w:r>
      <w:r w:rsidR="00DE0E0D">
        <w:rPr>
          <w:rFonts w:ascii="Times New Roman" w:hAnsi="Times New Roman" w:cs="Times New Roman"/>
        </w:rPr>
        <w:br/>
      </w:r>
      <w:r>
        <w:rPr>
          <w:rFonts w:ascii="Times New Roman" w:hAnsi="Times New Roman" w:cs="Times New Roman"/>
        </w:rPr>
        <w:t>i podejmowanie działalności. Granty w zakresie działalności gospodarczej będą dotyczyły tworzenia ogólnodostępnej, małej infrastruktury publicznej</w:t>
      </w:r>
      <w:r w:rsidR="00251B81">
        <w:rPr>
          <w:rFonts w:ascii="Times New Roman" w:hAnsi="Times New Roman" w:cs="Times New Roman"/>
        </w:rPr>
        <w:t xml:space="preserve"> dostosowanej do osób w niekorzystnej sytuacji tj. </w:t>
      </w:r>
      <w:r w:rsidR="00DE0E0D">
        <w:rPr>
          <w:rFonts w:ascii="Times New Roman" w:hAnsi="Times New Roman" w:cs="Times New Roman"/>
        </w:rPr>
        <w:br/>
      </w:r>
      <w:r w:rsidR="00251B81">
        <w:rPr>
          <w:rFonts w:ascii="Times New Roman" w:hAnsi="Times New Roman" w:cs="Times New Roman"/>
        </w:rPr>
        <w:t>z niepełnosprawnościami.</w:t>
      </w:r>
    </w:p>
    <w:p w14:paraId="6059B67C" w14:textId="77777777" w:rsidR="00A17173" w:rsidRPr="004D07EE" w:rsidRDefault="00A17173" w:rsidP="00A17173">
      <w:pPr>
        <w:pStyle w:val="Akapitzlist"/>
        <w:spacing w:line="276" w:lineRule="auto"/>
        <w:ind w:left="0" w:firstLine="709"/>
        <w:jc w:val="both"/>
        <w:rPr>
          <w:rFonts w:ascii="Times New Roman" w:hAnsi="Times New Roman" w:cs="Times New Roman"/>
        </w:rPr>
      </w:pPr>
      <w:r>
        <w:rPr>
          <w:rFonts w:ascii="Times New Roman" w:hAnsi="Times New Roman" w:cs="Times New Roman"/>
        </w:rPr>
        <w:t xml:space="preserve">Zaplanowane w LSR </w:t>
      </w:r>
      <w:r w:rsidRPr="0094089C">
        <w:rPr>
          <w:rFonts w:ascii="Times New Roman" w:hAnsi="Times New Roman" w:cs="Times New Roman"/>
        </w:rPr>
        <w:t>przedsięwzięcia wraz z planowanymi operacjami są spójne,</w:t>
      </w:r>
      <w:r>
        <w:rPr>
          <w:rFonts w:ascii="Times New Roman" w:hAnsi="Times New Roman" w:cs="Times New Roman"/>
        </w:rPr>
        <w:t xml:space="preserve"> </w:t>
      </w:r>
      <w:r w:rsidRPr="0094089C">
        <w:rPr>
          <w:rFonts w:ascii="Times New Roman" w:hAnsi="Times New Roman" w:cs="Times New Roman"/>
        </w:rPr>
        <w:t>powiązane ze sobą oraz wzajemnie się uzupełniają.</w:t>
      </w:r>
      <w:r>
        <w:rPr>
          <w:rFonts w:ascii="Times New Roman" w:hAnsi="Times New Roman" w:cs="Times New Roman"/>
        </w:rPr>
        <w:t xml:space="preserve">  Zastosowane są w nich różne metody i różny może być stopień ich oddziaływania, jednak </w:t>
      </w:r>
      <w:r w:rsidRPr="0094089C">
        <w:rPr>
          <w:rFonts w:ascii="Times New Roman" w:hAnsi="Times New Roman" w:cs="Times New Roman"/>
        </w:rPr>
        <w:t>przyczyniać się będą do kompleksowego niwelowania</w:t>
      </w:r>
      <w:r>
        <w:rPr>
          <w:rFonts w:ascii="Times New Roman" w:hAnsi="Times New Roman" w:cs="Times New Roman"/>
        </w:rPr>
        <w:t xml:space="preserve"> </w:t>
      </w:r>
      <w:r w:rsidRPr="0094089C">
        <w:rPr>
          <w:rFonts w:ascii="Times New Roman" w:hAnsi="Times New Roman" w:cs="Times New Roman"/>
        </w:rPr>
        <w:t xml:space="preserve">ważnych deficytów </w:t>
      </w:r>
      <w:r>
        <w:rPr>
          <w:rFonts w:ascii="Times New Roman" w:hAnsi="Times New Roman" w:cs="Times New Roman"/>
        </w:rPr>
        <w:t xml:space="preserve">zgłaszanych przez </w:t>
      </w:r>
      <w:r w:rsidRPr="0094089C">
        <w:rPr>
          <w:rFonts w:ascii="Times New Roman" w:hAnsi="Times New Roman" w:cs="Times New Roman"/>
        </w:rPr>
        <w:t>mieszkańców obszarów LSR</w:t>
      </w:r>
      <w:r>
        <w:rPr>
          <w:rFonts w:ascii="Times New Roman" w:hAnsi="Times New Roman" w:cs="Times New Roman"/>
        </w:rPr>
        <w:t>.</w:t>
      </w:r>
    </w:p>
    <w:p w14:paraId="6CBAA8AF" w14:textId="77777777" w:rsidR="00A17173" w:rsidRDefault="00A17173" w:rsidP="00A17173">
      <w:pPr>
        <w:shd w:val="clear" w:color="auto" w:fill="FFFFFF"/>
        <w:spacing w:after="0" w:line="276" w:lineRule="auto"/>
        <w:ind w:firstLine="709"/>
        <w:jc w:val="both"/>
        <w:rPr>
          <w:rFonts w:ascii="Times New Roman" w:hAnsi="Times New Roman" w:cs="Times New Roman"/>
        </w:rPr>
      </w:pPr>
    </w:p>
    <w:p w14:paraId="7C49BE44" w14:textId="253D6537" w:rsidR="008F592F" w:rsidRDefault="00A17173" w:rsidP="0050557E">
      <w:pPr>
        <w:pStyle w:val="Gwne"/>
        <w:numPr>
          <w:ilvl w:val="0"/>
          <w:numId w:val="0"/>
        </w:numPr>
        <w:spacing w:line="276" w:lineRule="auto"/>
        <w:outlineLvl w:val="9"/>
        <w:rPr>
          <w:b w:val="0"/>
          <w:bCs w:val="0"/>
          <w:sz w:val="22"/>
          <w:szCs w:val="22"/>
        </w:rPr>
      </w:pPr>
      <w:r w:rsidRPr="00C46ABD">
        <w:rPr>
          <w:b w:val="0"/>
          <w:bCs w:val="0"/>
          <w:sz w:val="22"/>
          <w:szCs w:val="22"/>
        </w:rPr>
        <w:t>.</w:t>
      </w:r>
      <w:r w:rsidR="008F592F">
        <w:rPr>
          <w:b w:val="0"/>
          <w:bCs w:val="0"/>
          <w:sz w:val="22"/>
          <w:szCs w:val="22"/>
        </w:rPr>
        <w:br w:type="page"/>
      </w:r>
    </w:p>
    <w:p w14:paraId="3E976F22" w14:textId="77777777" w:rsidR="00A17173" w:rsidRPr="006822F6" w:rsidRDefault="00A17173" w:rsidP="00A17173">
      <w:pPr>
        <w:pStyle w:val="Gwne"/>
        <w:ind w:left="1077" w:hanging="510"/>
        <w:rPr>
          <w:sz w:val="22"/>
          <w:szCs w:val="22"/>
        </w:rPr>
      </w:pPr>
      <w:bookmarkStart w:id="103" w:name="_Toc135896903"/>
      <w:r w:rsidRPr="006822F6">
        <w:rPr>
          <w:sz w:val="22"/>
          <w:szCs w:val="22"/>
        </w:rPr>
        <w:lastRenderedPageBreak/>
        <w:t>CELE I WSKAŹNIKI</w:t>
      </w:r>
      <w:bookmarkEnd w:id="103"/>
    </w:p>
    <w:p w14:paraId="528F30CF" w14:textId="6036B029" w:rsidR="00A17173" w:rsidRPr="00493557" w:rsidRDefault="00A17173" w:rsidP="00A17173">
      <w:pPr>
        <w:pStyle w:val="Gwne"/>
        <w:numPr>
          <w:ilvl w:val="0"/>
          <w:numId w:val="0"/>
        </w:numPr>
        <w:spacing w:line="276" w:lineRule="auto"/>
        <w:ind w:firstLine="709"/>
        <w:outlineLvl w:val="9"/>
        <w:rPr>
          <w:b w:val="0"/>
          <w:bCs w:val="0"/>
          <w:sz w:val="22"/>
          <w:szCs w:val="22"/>
        </w:rPr>
      </w:pPr>
      <w:r w:rsidRPr="00493557">
        <w:rPr>
          <w:b w:val="0"/>
          <w:bCs w:val="0"/>
          <w:sz w:val="22"/>
          <w:szCs w:val="22"/>
        </w:rPr>
        <w:t>Wynikiem przeprowadzonej diagnozy opartej o analizę danych ilościowych, badania jakościowe oraz wniosków płynących z analizy SWOT, sporządzonych na pierwszym etapie prac nad LSR, jest wyznaczenie cel</w:t>
      </w:r>
      <w:r w:rsidR="00DE0E0D">
        <w:rPr>
          <w:b w:val="0"/>
          <w:bCs w:val="0"/>
          <w:sz w:val="22"/>
          <w:szCs w:val="22"/>
        </w:rPr>
        <w:t>u</w:t>
      </w:r>
      <w:r w:rsidRPr="00493557">
        <w:rPr>
          <w:b w:val="0"/>
          <w:bCs w:val="0"/>
          <w:sz w:val="22"/>
          <w:szCs w:val="22"/>
        </w:rPr>
        <w:t xml:space="preserve"> realizacji LSR. Osiągniecie </w:t>
      </w:r>
      <w:r w:rsidR="00DE0E0D">
        <w:rPr>
          <w:b w:val="0"/>
          <w:bCs w:val="0"/>
          <w:sz w:val="22"/>
          <w:szCs w:val="22"/>
        </w:rPr>
        <w:t>tego</w:t>
      </w:r>
      <w:r w:rsidRPr="00493557">
        <w:rPr>
          <w:b w:val="0"/>
          <w:bCs w:val="0"/>
          <w:sz w:val="22"/>
          <w:szCs w:val="22"/>
        </w:rPr>
        <w:t xml:space="preserve"> cel</w:t>
      </w:r>
      <w:r w:rsidR="00DE0E0D">
        <w:rPr>
          <w:b w:val="0"/>
          <w:bCs w:val="0"/>
          <w:sz w:val="22"/>
          <w:szCs w:val="22"/>
        </w:rPr>
        <w:t>u</w:t>
      </w:r>
      <w:r w:rsidRPr="00493557">
        <w:rPr>
          <w:b w:val="0"/>
          <w:bCs w:val="0"/>
          <w:sz w:val="22"/>
          <w:szCs w:val="22"/>
        </w:rPr>
        <w:t xml:space="preserve"> przyczyni się do ograniczenia słabych stron obszaru poprzez wykorzystanie zdiagnozowanych potencjałów, czego efektem będzie zniwelowanie wskazanych problemów i zaspokojenie zgłoszonych przez społeczność potrzeb. W niniejszej LSR określono jeden cel oparty o określone obszary tematyczne wynikające ze zdiagnozowanych potrzeb. Nie zawsze jedna potrzeba generuje jeden cel, czasami dopiero kilka potrzeb zgrupowanych w jeden cel daje możliwość kompleksowej realizacji tych potrzeb. </w:t>
      </w:r>
    </w:p>
    <w:p w14:paraId="5A505DA6" w14:textId="77777777" w:rsidR="00A17173" w:rsidRPr="00493557" w:rsidRDefault="00A17173" w:rsidP="0084722A">
      <w:pPr>
        <w:pStyle w:val="Gwne"/>
        <w:numPr>
          <w:ilvl w:val="0"/>
          <w:numId w:val="0"/>
        </w:numPr>
        <w:spacing w:after="0" w:line="276" w:lineRule="auto"/>
        <w:ind w:firstLine="709"/>
        <w:outlineLvl w:val="9"/>
        <w:rPr>
          <w:b w:val="0"/>
          <w:bCs w:val="0"/>
          <w:sz w:val="22"/>
          <w:szCs w:val="22"/>
        </w:rPr>
      </w:pPr>
      <w:r w:rsidRPr="00493557">
        <w:rPr>
          <w:b w:val="0"/>
          <w:bCs w:val="0"/>
          <w:sz w:val="22"/>
          <w:szCs w:val="22"/>
        </w:rPr>
        <w:t>Na rysunku 1 przedstawiono sposób określania celu LSR.</w:t>
      </w:r>
    </w:p>
    <w:p w14:paraId="58258B16" w14:textId="19EDD686" w:rsidR="00A17173" w:rsidRPr="00DB4A98" w:rsidRDefault="00A17173" w:rsidP="0084722A">
      <w:pPr>
        <w:pStyle w:val="Gwne"/>
        <w:numPr>
          <w:ilvl w:val="0"/>
          <w:numId w:val="0"/>
        </w:numPr>
        <w:spacing w:after="0" w:line="276" w:lineRule="auto"/>
        <w:ind w:firstLine="709"/>
        <w:jc w:val="center"/>
        <w:outlineLvl w:val="9"/>
        <w:rPr>
          <w:sz w:val="20"/>
          <w:szCs w:val="20"/>
        </w:rPr>
      </w:pPr>
      <w:bookmarkStart w:id="104" w:name="_Toc132892901"/>
      <w:bookmarkStart w:id="105" w:name="_Toc134016293"/>
      <w:r w:rsidRPr="00DB4A98">
        <w:rPr>
          <w:sz w:val="20"/>
          <w:szCs w:val="20"/>
        </w:rPr>
        <w:t xml:space="preserve">Rysunek </w:t>
      </w:r>
      <w:r w:rsidRPr="00DB4A98">
        <w:rPr>
          <w:i/>
          <w:iCs/>
          <w:sz w:val="20"/>
          <w:szCs w:val="20"/>
        </w:rPr>
        <w:fldChar w:fldCharType="begin"/>
      </w:r>
      <w:r w:rsidRPr="00DB4A98">
        <w:rPr>
          <w:sz w:val="20"/>
          <w:szCs w:val="20"/>
        </w:rPr>
        <w:instrText xml:space="preserve"> SEQ Rysunek \* ARABIC </w:instrText>
      </w:r>
      <w:r w:rsidRPr="00DB4A98">
        <w:rPr>
          <w:i/>
          <w:iCs/>
          <w:sz w:val="20"/>
          <w:szCs w:val="20"/>
        </w:rPr>
        <w:fldChar w:fldCharType="separate"/>
      </w:r>
      <w:r w:rsidR="00DB4A98" w:rsidRPr="00DB4A98">
        <w:rPr>
          <w:noProof/>
          <w:sz w:val="20"/>
          <w:szCs w:val="20"/>
        </w:rPr>
        <w:t>1</w:t>
      </w:r>
      <w:r w:rsidRPr="00DB4A98">
        <w:rPr>
          <w:i/>
          <w:iCs/>
          <w:sz w:val="20"/>
          <w:szCs w:val="20"/>
        </w:rPr>
        <w:fldChar w:fldCharType="end"/>
      </w:r>
      <w:r w:rsidRPr="00DB4A98">
        <w:rPr>
          <w:sz w:val="20"/>
          <w:szCs w:val="20"/>
        </w:rPr>
        <w:t xml:space="preserve"> Sposób określania celu LSR</w:t>
      </w:r>
      <w:bookmarkEnd w:id="104"/>
      <w:bookmarkEnd w:id="105"/>
    </w:p>
    <w:tbl>
      <w:tblPr>
        <w:tblStyle w:val="Tabela-Siatka"/>
        <w:tblW w:w="0" w:type="auto"/>
        <w:jc w:val="center"/>
        <w:tblLook w:val="04A0" w:firstRow="1" w:lastRow="0" w:firstColumn="1" w:lastColumn="0" w:noHBand="0" w:noVBand="1"/>
      </w:tblPr>
      <w:tblGrid>
        <w:gridCol w:w="9017"/>
      </w:tblGrid>
      <w:tr w:rsidR="00A17173" w:rsidRPr="00DB4A98" w14:paraId="0E75E8D2" w14:textId="77777777" w:rsidTr="00E15165">
        <w:trPr>
          <w:trHeight w:val="654"/>
          <w:jc w:val="center"/>
        </w:trPr>
        <w:tc>
          <w:tcPr>
            <w:tcW w:w="901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3355A668" w14:textId="77777777" w:rsidR="00A17173" w:rsidRPr="00DB4A98" w:rsidRDefault="00A17173" w:rsidP="0084722A">
            <w:pPr>
              <w:jc w:val="center"/>
              <w:rPr>
                <w:rFonts w:ascii="Times New Roman" w:hAnsi="Times New Roman" w:cs="Times New Roman"/>
                <w:b/>
                <w:bCs/>
                <w:sz w:val="20"/>
                <w:szCs w:val="20"/>
              </w:rPr>
            </w:pPr>
            <w:bookmarkStart w:id="106" w:name="_Hlk128645137"/>
            <w:r w:rsidRPr="00DB4A98">
              <w:rPr>
                <w:rFonts w:ascii="Times New Roman" w:hAnsi="Times New Roman" w:cs="Times New Roman"/>
                <w:b/>
                <w:bCs/>
                <w:sz w:val="20"/>
                <w:szCs w:val="20"/>
              </w:rPr>
              <w:t xml:space="preserve">ZDIAGNOZOWANY PROBLEM  </w:t>
            </w:r>
          </w:p>
          <w:p w14:paraId="77DDAE55" w14:textId="77777777" w:rsidR="00A17173" w:rsidRPr="00DB4A98" w:rsidRDefault="00A17173" w:rsidP="0084722A">
            <w:pPr>
              <w:jc w:val="center"/>
              <w:rPr>
                <w:rFonts w:ascii="Times New Roman" w:hAnsi="Times New Roman" w:cs="Times New Roman"/>
                <w:b/>
                <w:bCs/>
                <w:sz w:val="20"/>
                <w:szCs w:val="20"/>
              </w:rPr>
            </w:pPr>
            <w:r w:rsidRPr="00DB4A98">
              <w:rPr>
                <w:rFonts w:ascii="Times New Roman" w:hAnsi="Times New Roman" w:cs="Times New Roman"/>
                <w:b/>
                <w:bCs/>
                <w:sz w:val="20"/>
                <w:szCs w:val="20"/>
              </w:rPr>
              <w:t>+ POSIADANE SPECYFICZNE LOKALNE ZASOBY DO WYKORZYSTANIA</w:t>
            </w:r>
          </w:p>
        </w:tc>
      </w:tr>
      <w:tr w:rsidR="00A17173" w:rsidRPr="00DB4A98" w14:paraId="06E8FE16" w14:textId="77777777" w:rsidTr="00E15165">
        <w:trPr>
          <w:trHeight w:val="432"/>
          <w:jc w:val="center"/>
        </w:trPr>
        <w:tc>
          <w:tcPr>
            <w:tcW w:w="9017" w:type="dxa"/>
            <w:tcBorders>
              <w:top w:val="single" w:sz="4" w:space="0" w:color="2F5496" w:themeColor="accent1" w:themeShade="BF"/>
              <w:left w:val="nil"/>
              <w:bottom w:val="single" w:sz="4" w:space="0" w:color="2F5496" w:themeColor="accent1" w:themeShade="BF"/>
              <w:right w:val="nil"/>
            </w:tcBorders>
            <w:vAlign w:val="center"/>
          </w:tcPr>
          <w:p w14:paraId="5C71702B" w14:textId="77777777" w:rsidR="00A17173" w:rsidRPr="00DB4A98" w:rsidRDefault="00A17173" w:rsidP="0084722A">
            <w:pPr>
              <w:rPr>
                <w:rFonts w:ascii="Times New Roman" w:hAnsi="Times New Roman" w:cs="Times New Roman"/>
                <w:sz w:val="20"/>
                <w:szCs w:val="20"/>
              </w:rPr>
            </w:pPr>
            <w:r w:rsidRPr="00DB4A98">
              <w:rPr>
                <w:noProof/>
                <w:sz w:val="20"/>
                <w:szCs w:val="20"/>
              </w:rPr>
              <mc:AlternateContent>
                <mc:Choice Requires="wps">
                  <w:drawing>
                    <wp:anchor distT="0" distB="0" distL="114299" distR="114299" simplePos="0" relativeHeight="251660288" behindDoc="0" locked="0" layoutInCell="1" allowOverlap="1" wp14:anchorId="789B39E2" wp14:editId="611782F3">
                      <wp:simplePos x="0" y="0"/>
                      <wp:positionH relativeFrom="column">
                        <wp:posOffset>2766694</wp:posOffset>
                      </wp:positionH>
                      <wp:positionV relativeFrom="paragraph">
                        <wp:posOffset>3175</wp:posOffset>
                      </wp:positionV>
                      <wp:extent cx="0" cy="236220"/>
                      <wp:effectExtent l="76200" t="0" r="38100" b="30480"/>
                      <wp:wrapNone/>
                      <wp:docPr id="1643526309"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C5B26" id="_x0000_t32" coordsize="21600,21600" o:spt="32" o:oned="t" path="m,l21600,21600e" filled="f">
                      <v:path arrowok="t" fillok="f" o:connecttype="none"/>
                      <o:lock v:ext="edit" shapetype="t"/>
                    </v:shapetype>
                    <v:shape id="Łącznik prosty ze strzałką 3" o:spid="_x0000_s1026" type="#_x0000_t32" style="position:absolute;margin-left:217.85pt;margin-top:.25pt;width:0;height:18.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wfxgEAAOYDAAAOAAAAZHJzL2Uyb0RvYy54bWysU8GO1DAMvSPxD1HuTDtFWqFqOnuYBS4r&#10;WLHwAdnUaSOSOErMtPP3JOm0oAUhgbhYjeP3/PziHm5na9gZQtToOr7f1ZyBk9hrN3T8y+d3r95w&#10;Fkm4Xhh00PELRH57fPniMPkWGhzR9BBYInGxnXzHRyLfVlWUI1gRd+jBpUuFwQpKxzBUfRBTYrem&#10;aur6ppow9D6ghBhT9m655MfCrxRI+qhUBGKm40kblRhKfMqxOh5EOwThRy2vMsQ/qLBCu9R0o7oT&#10;JNi3oH+hsloGjKhoJ9FWqJSWUGZI0+zrZ9M8jsJDmSWZE/1mU/x/tPLD+eQeQpYuZ/fo71F+jcmU&#10;avKx3S7zIfqlbFbB5vKknc3FyMtmJMzE5JKUKdu8vmma4nEl2hXnQ6T3gJblj45HCkIPI53QufRa&#10;GPbFR3G+j5R1iHYF5KbG5UhCm7euZ3TxaaUoaOEGA/ktU3kuKeoXwUU6XQws8E+gmO6TxKVN2TM4&#10;mcDOIm2IkBIc7TemVJ1hShuzAeui74/Aa32GQtnBvwFviNIZHW1gqx2G33WneZWslvrVgWXubMET&#10;9peHsD5sWqbi1XXx87b+fC7wH7/n8TsAAAD//wMAUEsDBBQABgAIAAAAIQC2ZgMa2gAAAAcBAAAP&#10;AAAAZHJzL2Rvd25yZXYueG1sTI7BTsMwEETvSPyDtUjcqENLCYRsKoREj0UUDnBz460dNV5HsZsE&#10;vh5XHOA4mtGbV64m14qB+tB4RrieZSCIa68bNgjvb89XdyBCVKxV65kQvijAqjo/K1Wh/civNGyj&#10;EQnCoVAINsaukDLUlpwKM98Rp27ve6diir2RuldjgrtWzrPsVjrVcHqwqqMnS/Vhe3QIL+ZjcHNe&#10;N3J///m9Nht9sGNEvLyYHh9ARJri3xhO+kkdquS080fWQbQIN4tlnqYISxCp/o07hEWeg6xK+d+/&#10;+gEAAP//AwBQSwECLQAUAAYACAAAACEAtoM4kv4AAADhAQAAEwAAAAAAAAAAAAAAAAAAAAAAW0Nv&#10;bnRlbnRfVHlwZXNdLnhtbFBLAQItABQABgAIAAAAIQA4/SH/1gAAAJQBAAALAAAAAAAAAAAAAAAA&#10;AC8BAABfcmVscy8ucmVsc1BLAQItABQABgAIAAAAIQCvPmwfxgEAAOYDAAAOAAAAAAAAAAAAAAAA&#10;AC4CAABkcnMvZTJvRG9jLnhtbFBLAQItABQABgAIAAAAIQC2ZgMa2gAAAAcBAAAPAAAAAAAAAAAA&#10;AAAAACAEAABkcnMvZG93bnJldi54bWxQSwUGAAAAAAQABADzAAAAJwUAAAAA&#10;" strokecolor="#4472c4 [3204]" strokeweight=".5pt">
                      <v:stroke endarrow="block" joinstyle="miter"/>
                      <o:lock v:ext="edit" shapetype="f"/>
                    </v:shape>
                  </w:pict>
                </mc:Fallback>
              </mc:AlternateContent>
            </w:r>
          </w:p>
        </w:tc>
      </w:tr>
      <w:tr w:rsidR="00A17173" w:rsidRPr="00DB4A98" w14:paraId="431294B2" w14:textId="77777777" w:rsidTr="00E15165">
        <w:trPr>
          <w:trHeight w:val="403"/>
          <w:jc w:val="center"/>
        </w:trPr>
        <w:tc>
          <w:tcPr>
            <w:tcW w:w="901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33684B04" w14:textId="77777777" w:rsidR="00A17173" w:rsidRPr="00DB4A98" w:rsidRDefault="00A17173" w:rsidP="0084722A">
            <w:pPr>
              <w:jc w:val="center"/>
              <w:rPr>
                <w:rFonts w:ascii="Times New Roman" w:hAnsi="Times New Roman" w:cs="Times New Roman"/>
                <w:b/>
                <w:bCs/>
                <w:sz w:val="20"/>
                <w:szCs w:val="20"/>
              </w:rPr>
            </w:pPr>
            <w:r w:rsidRPr="00DB4A98">
              <w:rPr>
                <w:rFonts w:ascii="Times New Roman" w:hAnsi="Times New Roman" w:cs="Times New Roman"/>
                <w:b/>
                <w:bCs/>
                <w:sz w:val="20"/>
                <w:szCs w:val="20"/>
              </w:rPr>
              <w:t>GŁÓWNE POTRZEBY</w:t>
            </w:r>
          </w:p>
        </w:tc>
      </w:tr>
      <w:tr w:rsidR="00A17173" w:rsidRPr="00DB4A98" w14:paraId="237385F3" w14:textId="77777777" w:rsidTr="00E15165">
        <w:trPr>
          <w:trHeight w:val="432"/>
          <w:jc w:val="center"/>
        </w:trPr>
        <w:tc>
          <w:tcPr>
            <w:tcW w:w="9017" w:type="dxa"/>
            <w:tcBorders>
              <w:top w:val="single" w:sz="4" w:space="0" w:color="2F5496" w:themeColor="accent1" w:themeShade="BF"/>
              <w:left w:val="nil"/>
              <w:bottom w:val="single" w:sz="4" w:space="0" w:color="2F5496" w:themeColor="accent1" w:themeShade="BF"/>
              <w:right w:val="nil"/>
            </w:tcBorders>
            <w:vAlign w:val="center"/>
          </w:tcPr>
          <w:p w14:paraId="3ADF4C01" w14:textId="77777777" w:rsidR="00A17173" w:rsidRPr="00DB4A98" w:rsidRDefault="00A17173" w:rsidP="0084722A">
            <w:pPr>
              <w:rPr>
                <w:rFonts w:ascii="Times New Roman" w:hAnsi="Times New Roman" w:cs="Times New Roman"/>
                <w:sz w:val="20"/>
                <w:szCs w:val="20"/>
              </w:rPr>
            </w:pPr>
            <w:r w:rsidRPr="00DB4A98">
              <w:rPr>
                <w:noProof/>
                <w:sz w:val="20"/>
                <w:szCs w:val="20"/>
              </w:rPr>
              <mc:AlternateContent>
                <mc:Choice Requires="wps">
                  <w:drawing>
                    <wp:anchor distT="0" distB="0" distL="114299" distR="114299" simplePos="0" relativeHeight="251661312" behindDoc="0" locked="0" layoutInCell="1" allowOverlap="1" wp14:anchorId="437D9845" wp14:editId="444770D9">
                      <wp:simplePos x="0" y="0"/>
                      <wp:positionH relativeFrom="column">
                        <wp:posOffset>2768599</wp:posOffset>
                      </wp:positionH>
                      <wp:positionV relativeFrom="paragraph">
                        <wp:posOffset>12065</wp:posOffset>
                      </wp:positionV>
                      <wp:extent cx="0" cy="236220"/>
                      <wp:effectExtent l="76200" t="0" r="38100" b="30480"/>
                      <wp:wrapNone/>
                      <wp:docPr id="924166945"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97A56" id="Łącznik prosty ze strzałką 2" o:spid="_x0000_s1026" type="#_x0000_t32" style="position:absolute;margin-left:218pt;margin-top:.95pt;width:0;height:18.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wfxgEAAOYDAAAOAAAAZHJzL2Uyb0RvYy54bWysU8GO1DAMvSPxD1HuTDtFWqFqOnuYBS4r&#10;WLHwAdnUaSOSOErMtPP3JOm0oAUhgbhYjeP3/PziHm5na9gZQtToOr7f1ZyBk9hrN3T8y+d3r95w&#10;Fkm4Xhh00PELRH57fPniMPkWGhzR9BBYInGxnXzHRyLfVlWUI1gRd+jBpUuFwQpKxzBUfRBTYrem&#10;aur6ppow9D6ghBhT9m655MfCrxRI+qhUBGKm40kblRhKfMqxOh5EOwThRy2vMsQ/qLBCu9R0o7oT&#10;JNi3oH+hsloGjKhoJ9FWqJSWUGZI0+zrZ9M8jsJDmSWZE/1mU/x/tPLD+eQeQpYuZ/fo71F+jcmU&#10;avKx3S7zIfqlbFbB5vKknc3FyMtmJMzE5JKUKdu8vmma4nEl2hXnQ6T3gJblj45HCkIPI53QufRa&#10;GPbFR3G+j5R1iHYF5KbG5UhCm7euZ3TxaaUoaOEGA/ktU3kuKeoXwUU6XQws8E+gmO6TxKVN2TM4&#10;mcDOIm2IkBIc7TemVJ1hShuzAeui74/Aa32GQtnBvwFviNIZHW1gqx2G33WneZWslvrVgWXubMET&#10;9peHsD5sWqbi1XXx87b+fC7wH7/n8TsAAAD//wMAUEsDBBQABgAIAAAAIQBOeDfr2wAAAAgBAAAP&#10;AAAAZHJzL2Rvd25yZXYueG1sTI/BTsMwEETvSPyDtZW4Uactqkgap0JI9Aii5QA3N97aUeN1FLtJ&#10;4OtZxAGOo7eafVNuJ9+KAfvYBFKwmGcgkOpgGrIK3g5Pt/cgYtJkdBsIFXxihG11fVXqwoSRXnHY&#10;Jyu4hGKhFbiUukLKWDv0Os5Dh8TsFHqvE8feStPrkct9K5dZtpZeN8QfnO7w0WF93l+8ghf7Pvgl&#10;7Rp5yj++dvbZnN2YlLqZTQ8bEAmn9HcMP/qsDhU7HcOFTBStgrvVmrckBjkI5r/5qGCVL0BWpfw/&#10;oPoGAAD//wMAUEsBAi0AFAAGAAgAAAAhALaDOJL+AAAA4QEAABMAAAAAAAAAAAAAAAAAAAAAAFtD&#10;b250ZW50X1R5cGVzXS54bWxQSwECLQAUAAYACAAAACEAOP0h/9YAAACUAQAACwAAAAAAAAAAAAAA&#10;AAAvAQAAX3JlbHMvLnJlbHNQSwECLQAUAAYACAAAACEArz5sH8YBAADmAwAADgAAAAAAAAAAAAAA&#10;AAAuAgAAZHJzL2Uyb0RvYy54bWxQSwECLQAUAAYACAAAACEATng369sAAAAIAQAADwAAAAAAAAAA&#10;AAAAAAAgBAAAZHJzL2Rvd25yZXYueG1sUEsFBgAAAAAEAAQA8wAAACgFAAAAAA==&#10;" strokecolor="#4472c4 [3204]" strokeweight=".5pt">
                      <v:stroke endarrow="block" joinstyle="miter"/>
                      <o:lock v:ext="edit" shapetype="f"/>
                    </v:shape>
                  </w:pict>
                </mc:Fallback>
              </mc:AlternateContent>
            </w:r>
          </w:p>
        </w:tc>
      </w:tr>
      <w:tr w:rsidR="00A17173" w:rsidRPr="00DB4A98" w14:paraId="2507BC2D" w14:textId="77777777" w:rsidTr="00E15165">
        <w:trPr>
          <w:trHeight w:val="432"/>
          <w:jc w:val="center"/>
        </w:trPr>
        <w:tc>
          <w:tcPr>
            <w:tcW w:w="901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21E68EF9" w14:textId="77777777" w:rsidR="00A17173" w:rsidRPr="00DB4A98" w:rsidRDefault="00A17173" w:rsidP="0084722A">
            <w:pPr>
              <w:jc w:val="center"/>
              <w:rPr>
                <w:rFonts w:ascii="Times New Roman" w:hAnsi="Times New Roman" w:cs="Times New Roman"/>
                <w:b/>
                <w:bCs/>
                <w:sz w:val="20"/>
                <w:szCs w:val="20"/>
              </w:rPr>
            </w:pPr>
            <w:r w:rsidRPr="00DB4A98">
              <w:rPr>
                <w:rFonts w:ascii="Times New Roman" w:hAnsi="Times New Roman" w:cs="Times New Roman"/>
                <w:b/>
                <w:bCs/>
                <w:sz w:val="20"/>
                <w:szCs w:val="20"/>
              </w:rPr>
              <w:t>CEL</w:t>
            </w:r>
          </w:p>
        </w:tc>
      </w:tr>
    </w:tbl>
    <w:bookmarkEnd w:id="106"/>
    <w:p w14:paraId="34CADC65" w14:textId="77777777" w:rsidR="00A17173" w:rsidRPr="00DB4A98" w:rsidRDefault="00A17173" w:rsidP="0084722A">
      <w:pPr>
        <w:pStyle w:val="Gwne"/>
        <w:numPr>
          <w:ilvl w:val="0"/>
          <w:numId w:val="0"/>
        </w:numPr>
        <w:spacing w:after="0"/>
        <w:jc w:val="center"/>
        <w:outlineLvl w:val="9"/>
        <w:rPr>
          <w:b w:val="0"/>
          <w:bCs w:val="0"/>
          <w:i/>
          <w:iCs/>
          <w:sz w:val="20"/>
          <w:szCs w:val="20"/>
        </w:rPr>
      </w:pPr>
      <w:r w:rsidRPr="00DB4A98">
        <w:rPr>
          <w:b w:val="0"/>
          <w:bCs w:val="0"/>
          <w:i/>
          <w:iCs/>
          <w:sz w:val="20"/>
          <w:szCs w:val="20"/>
        </w:rPr>
        <w:t>Źródło: Opracowanie własne</w:t>
      </w:r>
    </w:p>
    <w:p w14:paraId="6575E48F" w14:textId="77777777" w:rsidR="00A17173" w:rsidRPr="00493557" w:rsidRDefault="00A17173" w:rsidP="00A17173">
      <w:pPr>
        <w:pStyle w:val="Gwne"/>
        <w:numPr>
          <w:ilvl w:val="0"/>
          <w:numId w:val="0"/>
        </w:numPr>
        <w:ind w:left="360" w:hanging="360"/>
        <w:outlineLvl w:val="9"/>
        <w:rPr>
          <w:b w:val="0"/>
          <w:bCs w:val="0"/>
          <w:sz w:val="22"/>
          <w:szCs w:val="22"/>
        </w:rPr>
      </w:pPr>
      <w:r w:rsidRPr="00493557">
        <w:rPr>
          <w:b w:val="0"/>
          <w:bCs w:val="0"/>
          <w:sz w:val="22"/>
          <w:szCs w:val="22"/>
        </w:rPr>
        <w:t>Zgodnie z powyższym schematem przyjęto następujący ciąg logiczny określenia celu LSR:</w:t>
      </w:r>
    </w:p>
    <w:p w14:paraId="78910064" w14:textId="77777777" w:rsidR="00523270" w:rsidRPr="0073385C" w:rsidRDefault="00523270" w:rsidP="00523270">
      <w:pPr>
        <w:pStyle w:val="Akapitzlist"/>
        <w:numPr>
          <w:ilvl w:val="0"/>
          <w:numId w:val="58"/>
        </w:numPr>
        <w:spacing w:before="240" w:line="276" w:lineRule="auto"/>
        <w:jc w:val="both"/>
        <w:rPr>
          <w:rFonts w:ascii="Times New Roman" w:hAnsi="Times New Roman" w:cs="Times New Roman"/>
          <w:b/>
          <w:bCs/>
        </w:rPr>
      </w:pPr>
      <w:bookmarkStart w:id="107" w:name="_Hlk134056463"/>
      <w:r w:rsidRPr="0073385C">
        <w:rPr>
          <w:rFonts w:ascii="Times New Roman" w:hAnsi="Times New Roman" w:cs="Times New Roman"/>
          <w:b/>
          <w:bCs/>
        </w:rPr>
        <w:t>Najistotniejsze zdiagnozowane problemy i potencjały:</w:t>
      </w:r>
    </w:p>
    <w:p w14:paraId="6DC8EF31" w14:textId="02CAD89D" w:rsidR="00523270" w:rsidRDefault="00523270" w:rsidP="00523270">
      <w:pPr>
        <w:pStyle w:val="Akapitzlist"/>
        <w:spacing w:before="240" w:line="276" w:lineRule="auto"/>
        <w:ind w:left="0" w:firstLine="708"/>
        <w:jc w:val="both"/>
        <w:rPr>
          <w:rFonts w:ascii="Times New Roman" w:hAnsi="Times New Roman" w:cs="Times New Roman"/>
        </w:rPr>
      </w:pPr>
      <w:r>
        <w:rPr>
          <w:rFonts w:ascii="Times New Roman" w:hAnsi="Times New Roman" w:cs="Times New Roman"/>
        </w:rPr>
        <w:t>O</w:t>
      </w:r>
      <w:r w:rsidRPr="00BA5A88">
        <w:rPr>
          <w:rFonts w:ascii="Times New Roman" w:hAnsi="Times New Roman" w:cs="Times New Roman"/>
        </w:rPr>
        <w:t>bszar LGD jest obszarem</w:t>
      </w:r>
      <w:r>
        <w:rPr>
          <w:rFonts w:ascii="Times New Roman" w:hAnsi="Times New Roman" w:cs="Times New Roman"/>
        </w:rPr>
        <w:t xml:space="preserve"> charakteryzującym się spadkiem liczby mieszkańców i </w:t>
      </w:r>
      <w:r w:rsidRPr="00BA5A88">
        <w:rPr>
          <w:rFonts w:ascii="Times New Roman" w:hAnsi="Times New Roman" w:cs="Times New Roman"/>
        </w:rPr>
        <w:t>stosunkowo szybko starzejącym się</w:t>
      </w:r>
      <w:r>
        <w:rPr>
          <w:rFonts w:ascii="Times New Roman" w:hAnsi="Times New Roman" w:cs="Times New Roman"/>
        </w:rPr>
        <w:t xml:space="preserve"> społeczeństwem. Jednocześnie posiada kapitał społeczny mieszkańców oraz bogatą historię i dziedzictwo kulturowe. Potencjał organizacji pozarządowych nie jest odpowiednio wykorzystany, a dotychczasowa aktywizacja w zakresie przedsiębiorczości i aktywności mieszkańców wymaga kontynuacji. Zauważany przez mieszkańców jest </w:t>
      </w:r>
      <w:r w:rsidRPr="004666C2">
        <w:rPr>
          <w:rFonts w:ascii="Times New Roman" w:hAnsi="Times New Roman" w:cs="Times New Roman"/>
        </w:rPr>
        <w:t>brak atrakcyjnej oferty spędzania czasu wolnego</w:t>
      </w:r>
      <w:r>
        <w:rPr>
          <w:rFonts w:ascii="Times New Roman" w:hAnsi="Times New Roman" w:cs="Times New Roman"/>
        </w:rPr>
        <w:t xml:space="preserve"> i możliwości rekreacji. Występują braki w przedsiębiorczości i innowacyjności. Problem stanowi ilość osób wymagając</w:t>
      </w:r>
      <w:r w:rsidR="00DE0E0D">
        <w:rPr>
          <w:rFonts w:ascii="Times New Roman" w:hAnsi="Times New Roman" w:cs="Times New Roman"/>
        </w:rPr>
        <w:t>ych</w:t>
      </w:r>
      <w:r>
        <w:rPr>
          <w:rFonts w:ascii="Times New Roman" w:hAnsi="Times New Roman" w:cs="Times New Roman"/>
        </w:rPr>
        <w:t xml:space="preserve"> wsparcia w ramach środowiskowej pomocy społecznej, a więc osób zagrożonych wykluczeniem społecznym, a w szczególności osób </w:t>
      </w:r>
      <w:r w:rsidR="004126E1">
        <w:rPr>
          <w:rFonts w:ascii="Times New Roman" w:hAnsi="Times New Roman" w:cs="Times New Roman"/>
        </w:rPr>
        <w:br/>
      </w:r>
      <w:r>
        <w:rPr>
          <w:rFonts w:ascii="Times New Roman" w:hAnsi="Times New Roman" w:cs="Times New Roman"/>
        </w:rPr>
        <w:t>z niepełnosprawnościami.</w:t>
      </w:r>
    </w:p>
    <w:p w14:paraId="508D162C" w14:textId="57EF777B" w:rsidR="00523270" w:rsidRPr="00523270" w:rsidRDefault="00523270" w:rsidP="00DE0E0D">
      <w:pPr>
        <w:pStyle w:val="Akapitzlist"/>
        <w:spacing w:before="240" w:line="276" w:lineRule="auto"/>
        <w:ind w:left="0" w:firstLine="708"/>
        <w:jc w:val="both"/>
        <w:rPr>
          <w:rFonts w:ascii="Times New Roman" w:hAnsi="Times New Roman" w:cs="Times New Roman"/>
        </w:rPr>
      </w:pPr>
      <w:r>
        <w:rPr>
          <w:rFonts w:ascii="Times New Roman" w:hAnsi="Times New Roman" w:cs="Times New Roman"/>
        </w:rPr>
        <w:t xml:space="preserve">Na tej podstawie sformułowano główny </w:t>
      </w:r>
      <w:r w:rsidRPr="00CF4E9D">
        <w:rPr>
          <w:rFonts w:ascii="Times New Roman" w:hAnsi="Times New Roman" w:cs="Times New Roman"/>
        </w:rPr>
        <w:t>„</w:t>
      </w:r>
      <w:r w:rsidRPr="00523270">
        <w:rPr>
          <w:rFonts w:ascii="Times New Roman" w:hAnsi="Times New Roman" w:cs="Times New Roman"/>
          <w:b/>
          <w:bCs/>
        </w:rPr>
        <w:t>ZDIAGNOZOW</w:t>
      </w:r>
      <w:r w:rsidR="00CD53CB">
        <w:rPr>
          <w:rFonts w:ascii="Times New Roman" w:hAnsi="Times New Roman" w:cs="Times New Roman"/>
          <w:b/>
          <w:bCs/>
        </w:rPr>
        <w:t>A</w:t>
      </w:r>
      <w:r w:rsidRPr="00523270">
        <w:rPr>
          <w:rFonts w:ascii="Times New Roman" w:hAnsi="Times New Roman" w:cs="Times New Roman"/>
          <w:b/>
          <w:bCs/>
        </w:rPr>
        <w:t>NY PROBLEM</w:t>
      </w:r>
      <w:r w:rsidRPr="008546D9">
        <w:rPr>
          <w:rFonts w:ascii="Times New Roman" w:hAnsi="Times New Roman" w:cs="Times New Roman"/>
        </w:rPr>
        <w:t>”</w:t>
      </w:r>
      <w:r w:rsidRPr="00523270">
        <w:rPr>
          <w:rFonts w:ascii="Times New Roman" w:hAnsi="Times New Roman" w:cs="Times New Roman"/>
          <w:b/>
          <w:bCs/>
          <w:sz w:val="20"/>
          <w:szCs w:val="20"/>
        </w:rPr>
        <w:t xml:space="preserve"> </w:t>
      </w:r>
      <w:r w:rsidRPr="00523270">
        <w:rPr>
          <w:rFonts w:ascii="Times New Roman" w:hAnsi="Times New Roman" w:cs="Times New Roman"/>
        </w:rPr>
        <w:t xml:space="preserve">– </w:t>
      </w:r>
      <w:r w:rsidRPr="00523270">
        <w:rPr>
          <w:rFonts w:ascii="Times New Roman" w:hAnsi="Times New Roman" w:cs="Times New Roman"/>
          <w:i/>
          <w:iCs/>
        </w:rPr>
        <w:t xml:space="preserve">Niewystarczające </w:t>
      </w:r>
      <w:r w:rsidR="008F592F">
        <w:rPr>
          <w:rFonts w:ascii="Times New Roman" w:hAnsi="Times New Roman" w:cs="Times New Roman"/>
          <w:i/>
          <w:iCs/>
        </w:rPr>
        <w:t>zaangażowanie</w:t>
      </w:r>
      <w:r w:rsidRPr="00523270">
        <w:rPr>
          <w:rFonts w:ascii="Times New Roman" w:hAnsi="Times New Roman" w:cs="Times New Roman"/>
          <w:i/>
          <w:iCs/>
        </w:rPr>
        <w:t xml:space="preserve"> kapitału ludzkiego </w:t>
      </w:r>
      <w:r w:rsidR="008F592F">
        <w:rPr>
          <w:rFonts w:ascii="Times New Roman" w:hAnsi="Times New Roman" w:cs="Times New Roman"/>
          <w:i/>
          <w:iCs/>
        </w:rPr>
        <w:t>do rozwoju obszaru</w:t>
      </w:r>
      <w:r w:rsidR="00DB4A98">
        <w:rPr>
          <w:rFonts w:ascii="Times New Roman" w:hAnsi="Times New Roman" w:cs="Times New Roman"/>
          <w:i/>
          <w:iCs/>
        </w:rPr>
        <w:t xml:space="preserve">, który przekłada się na </w:t>
      </w:r>
      <w:r w:rsidRPr="00523270">
        <w:rPr>
          <w:rFonts w:ascii="Times New Roman" w:hAnsi="Times New Roman" w:cs="Times New Roman"/>
          <w:i/>
          <w:iCs/>
        </w:rPr>
        <w:t>nisk</w:t>
      </w:r>
      <w:r w:rsidR="00DE0E0D">
        <w:rPr>
          <w:rFonts w:ascii="Times New Roman" w:hAnsi="Times New Roman" w:cs="Times New Roman"/>
          <w:i/>
          <w:iCs/>
        </w:rPr>
        <w:t>ą</w:t>
      </w:r>
      <w:r w:rsidRPr="00523270">
        <w:rPr>
          <w:rFonts w:ascii="Times New Roman" w:hAnsi="Times New Roman" w:cs="Times New Roman"/>
          <w:i/>
          <w:iCs/>
        </w:rPr>
        <w:t xml:space="preserve"> przedsiębiorczość</w:t>
      </w:r>
      <w:r w:rsidR="00DB4A98">
        <w:rPr>
          <w:rFonts w:ascii="Times New Roman" w:hAnsi="Times New Roman" w:cs="Times New Roman"/>
          <w:i/>
          <w:iCs/>
        </w:rPr>
        <w:t xml:space="preserve"> oraz </w:t>
      </w:r>
      <w:r w:rsidRPr="00523270">
        <w:rPr>
          <w:rFonts w:ascii="Times New Roman" w:hAnsi="Times New Roman" w:cs="Times New Roman"/>
          <w:i/>
          <w:iCs/>
        </w:rPr>
        <w:t>niskie dochody</w:t>
      </w:r>
      <w:r w:rsidR="00DB4A98">
        <w:rPr>
          <w:rFonts w:ascii="Times New Roman" w:hAnsi="Times New Roman" w:cs="Times New Roman"/>
          <w:i/>
          <w:iCs/>
        </w:rPr>
        <w:t xml:space="preserve">, a także </w:t>
      </w:r>
      <w:r w:rsidRPr="00523270">
        <w:rPr>
          <w:rFonts w:ascii="Times New Roman" w:hAnsi="Times New Roman" w:cs="Times New Roman"/>
          <w:i/>
          <w:iCs/>
        </w:rPr>
        <w:t>mał</w:t>
      </w:r>
      <w:r w:rsidR="00DB4A98">
        <w:rPr>
          <w:rFonts w:ascii="Times New Roman" w:hAnsi="Times New Roman" w:cs="Times New Roman"/>
          <w:i/>
          <w:iCs/>
        </w:rPr>
        <w:t>ą</w:t>
      </w:r>
      <w:r w:rsidRPr="00523270">
        <w:rPr>
          <w:rFonts w:ascii="Times New Roman" w:hAnsi="Times New Roman" w:cs="Times New Roman"/>
          <w:i/>
          <w:iCs/>
        </w:rPr>
        <w:t xml:space="preserve"> aktywność społeczn</w:t>
      </w:r>
      <w:r w:rsidR="00DB4A98">
        <w:rPr>
          <w:rFonts w:ascii="Times New Roman" w:hAnsi="Times New Roman" w:cs="Times New Roman"/>
          <w:i/>
          <w:iCs/>
        </w:rPr>
        <w:t>ą</w:t>
      </w:r>
      <w:r w:rsidRPr="00523270">
        <w:rPr>
          <w:rFonts w:ascii="Times New Roman" w:hAnsi="Times New Roman" w:cs="Times New Roman"/>
          <w:i/>
          <w:iCs/>
        </w:rPr>
        <w:t xml:space="preserve"> mieszkańców</w:t>
      </w:r>
      <w:r w:rsidR="00DB4A98">
        <w:rPr>
          <w:rFonts w:ascii="Times New Roman" w:hAnsi="Times New Roman" w:cs="Times New Roman"/>
          <w:i/>
          <w:iCs/>
        </w:rPr>
        <w:t xml:space="preserve"> i</w:t>
      </w:r>
      <w:r w:rsidRPr="00523270">
        <w:rPr>
          <w:rFonts w:ascii="Times New Roman" w:hAnsi="Times New Roman" w:cs="Times New Roman"/>
          <w:i/>
          <w:iCs/>
        </w:rPr>
        <w:t xml:space="preserve"> niekorzystn</w:t>
      </w:r>
      <w:r w:rsidR="00DB4A98">
        <w:rPr>
          <w:rFonts w:ascii="Times New Roman" w:hAnsi="Times New Roman" w:cs="Times New Roman"/>
          <w:i/>
          <w:iCs/>
        </w:rPr>
        <w:t>ą</w:t>
      </w:r>
      <w:r w:rsidRPr="00523270">
        <w:rPr>
          <w:rFonts w:ascii="Times New Roman" w:hAnsi="Times New Roman" w:cs="Times New Roman"/>
          <w:i/>
          <w:iCs/>
        </w:rPr>
        <w:t xml:space="preserve"> sytuacj</w:t>
      </w:r>
      <w:r w:rsidR="00DE0E0D">
        <w:rPr>
          <w:rFonts w:ascii="Times New Roman" w:hAnsi="Times New Roman" w:cs="Times New Roman"/>
          <w:i/>
          <w:iCs/>
        </w:rPr>
        <w:t>ę</w:t>
      </w:r>
      <w:r w:rsidRPr="00523270">
        <w:rPr>
          <w:rFonts w:ascii="Times New Roman" w:hAnsi="Times New Roman" w:cs="Times New Roman"/>
          <w:i/>
          <w:iCs/>
        </w:rPr>
        <w:t xml:space="preserve"> demograficzn</w:t>
      </w:r>
      <w:r w:rsidR="00DE0E0D">
        <w:rPr>
          <w:rFonts w:ascii="Times New Roman" w:hAnsi="Times New Roman" w:cs="Times New Roman"/>
          <w:i/>
          <w:iCs/>
        </w:rPr>
        <w:t>ą</w:t>
      </w:r>
      <w:r w:rsidRPr="00523270">
        <w:rPr>
          <w:rFonts w:ascii="Times New Roman" w:hAnsi="Times New Roman" w:cs="Times New Roman"/>
          <w:i/>
          <w:iCs/>
        </w:rPr>
        <w:t xml:space="preserve"> </w:t>
      </w:r>
      <w:r w:rsidRPr="00523270">
        <w:rPr>
          <w:rFonts w:ascii="Times New Roman" w:hAnsi="Times New Roman" w:cs="Times New Roman"/>
        </w:rPr>
        <w:t>oraz główne</w:t>
      </w:r>
      <w:r w:rsidRPr="00523270">
        <w:rPr>
          <w:rFonts w:ascii="Times New Roman" w:hAnsi="Times New Roman" w:cs="Times New Roman"/>
          <w:sz w:val="20"/>
          <w:szCs w:val="20"/>
        </w:rPr>
        <w:t xml:space="preserve"> </w:t>
      </w:r>
      <w:r w:rsidRPr="00523270">
        <w:rPr>
          <w:rFonts w:ascii="Times New Roman" w:hAnsi="Times New Roman" w:cs="Times New Roman"/>
        </w:rPr>
        <w:t>„</w:t>
      </w:r>
      <w:r w:rsidRPr="00523270">
        <w:rPr>
          <w:rFonts w:ascii="Times New Roman" w:hAnsi="Times New Roman" w:cs="Times New Roman"/>
          <w:b/>
          <w:bCs/>
        </w:rPr>
        <w:t>POSIADANE SPECYFICZNE LOKALNE ZASOBY DO WYKORZYSTANIA</w:t>
      </w:r>
      <w:r w:rsidRPr="008546D9">
        <w:rPr>
          <w:rFonts w:ascii="Times New Roman" w:hAnsi="Times New Roman" w:cs="Times New Roman"/>
        </w:rPr>
        <w:t>”</w:t>
      </w:r>
      <w:r w:rsidRPr="00523270">
        <w:rPr>
          <w:rFonts w:ascii="Times New Roman" w:hAnsi="Times New Roman" w:cs="Times New Roman"/>
          <w:b/>
          <w:bCs/>
          <w:sz w:val="20"/>
          <w:szCs w:val="20"/>
        </w:rPr>
        <w:t xml:space="preserve"> – </w:t>
      </w:r>
      <w:r w:rsidRPr="00523270">
        <w:rPr>
          <w:rFonts w:ascii="Times New Roman" w:hAnsi="Times New Roman" w:cs="Times New Roman"/>
          <w:i/>
          <w:iCs/>
        </w:rPr>
        <w:t xml:space="preserve">Walory przyrodnicze, dziedzictwo kulturowe i </w:t>
      </w:r>
      <w:r w:rsidR="00DB4A98">
        <w:rPr>
          <w:rFonts w:ascii="Times New Roman" w:hAnsi="Times New Roman" w:cs="Times New Roman"/>
          <w:i/>
          <w:iCs/>
        </w:rPr>
        <w:t>położenie przy międzynarodowych szlakach komunikacyjnych.</w:t>
      </w:r>
    </w:p>
    <w:p w14:paraId="4F987B10" w14:textId="77777777" w:rsidR="00523270" w:rsidRPr="008F592F" w:rsidRDefault="00523270" w:rsidP="00523270">
      <w:pPr>
        <w:pStyle w:val="Akapitzlist"/>
        <w:numPr>
          <w:ilvl w:val="0"/>
          <w:numId w:val="58"/>
        </w:numPr>
        <w:spacing w:before="240" w:line="276" w:lineRule="auto"/>
        <w:jc w:val="both"/>
        <w:rPr>
          <w:rFonts w:ascii="Times New Roman" w:hAnsi="Times New Roman" w:cs="Times New Roman"/>
          <w:b/>
          <w:bCs/>
        </w:rPr>
      </w:pPr>
      <w:r w:rsidRPr="008F592F">
        <w:rPr>
          <w:rFonts w:ascii="Times New Roman" w:hAnsi="Times New Roman" w:cs="Times New Roman"/>
          <w:b/>
          <w:bCs/>
          <w:sz w:val="20"/>
          <w:szCs w:val="20"/>
        </w:rPr>
        <w:t>GŁÓWNE POTRZEBY</w:t>
      </w:r>
      <w:r w:rsidRPr="008F592F">
        <w:rPr>
          <w:rFonts w:ascii="Times New Roman" w:hAnsi="Times New Roman" w:cs="Times New Roman"/>
          <w:b/>
          <w:bCs/>
        </w:rPr>
        <w:t>:</w:t>
      </w:r>
    </w:p>
    <w:p w14:paraId="27B5EFED" w14:textId="77777777" w:rsidR="00523270" w:rsidRDefault="00523270" w:rsidP="00523270">
      <w:pPr>
        <w:pStyle w:val="Akapitzlist"/>
        <w:numPr>
          <w:ilvl w:val="0"/>
          <w:numId w:val="59"/>
        </w:numPr>
        <w:spacing w:before="240" w:line="276" w:lineRule="auto"/>
        <w:ind w:left="1276"/>
        <w:jc w:val="both"/>
        <w:rPr>
          <w:rFonts w:ascii="Times New Roman" w:hAnsi="Times New Roman" w:cs="Times New Roman"/>
        </w:rPr>
      </w:pPr>
      <w:r>
        <w:rPr>
          <w:rFonts w:ascii="Times New Roman" w:hAnsi="Times New Roman" w:cs="Times New Roman"/>
        </w:rPr>
        <w:t>Zwiększenie możliwości rekreacji i dostępu do atrakcyjnej oferty spędzania czasu wolnego.</w:t>
      </w:r>
    </w:p>
    <w:p w14:paraId="09C22C25" w14:textId="77777777" w:rsidR="00523270" w:rsidRPr="004F010F" w:rsidRDefault="00523270" w:rsidP="00523270">
      <w:pPr>
        <w:pStyle w:val="Akapitzlist"/>
        <w:numPr>
          <w:ilvl w:val="0"/>
          <w:numId w:val="59"/>
        </w:numPr>
        <w:spacing w:before="240" w:line="276" w:lineRule="auto"/>
        <w:ind w:left="1276"/>
        <w:jc w:val="both"/>
        <w:rPr>
          <w:rFonts w:ascii="Times New Roman" w:hAnsi="Times New Roman" w:cs="Times New Roman"/>
        </w:rPr>
      </w:pPr>
      <w:r w:rsidRPr="004F010F">
        <w:rPr>
          <w:rFonts w:ascii="Times New Roman" w:hAnsi="Times New Roman" w:cs="Times New Roman"/>
        </w:rPr>
        <w:t>Wzmocnienie potencjału organizacji pozarządowych</w:t>
      </w:r>
      <w:r>
        <w:rPr>
          <w:rFonts w:ascii="Times New Roman" w:hAnsi="Times New Roman" w:cs="Times New Roman"/>
        </w:rPr>
        <w:t>.</w:t>
      </w:r>
    </w:p>
    <w:p w14:paraId="79244122" w14:textId="77777777" w:rsidR="00523270" w:rsidRDefault="00523270" w:rsidP="00523270">
      <w:pPr>
        <w:pStyle w:val="Akapitzlist"/>
        <w:numPr>
          <w:ilvl w:val="0"/>
          <w:numId w:val="59"/>
        </w:numPr>
        <w:spacing w:before="240" w:line="276" w:lineRule="auto"/>
        <w:ind w:left="1276"/>
        <w:jc w:val="both"/>
        <w:rPr>
          <w:rFonts w:ascii="Times New Roman" w:hAnsi="Times New Roman" w:cs="Times New Roman"/>
        </w:rPr>
      </w:pPr>
      <w:r w:rsidRPr="004F010F">
        <w:rPr>
          <w:rFonts w:ascii="Times New Roman" w:hAnsi="Times New Roman" w:cs="Times New Roman"/>
        </w:rPr>
        <w:t>Zwiększenie dostępu do kultury i efektywne wykorzystanie dziedzictwa kulturowego.</w:t>
      </w:r>
    </w:p>
    <w:p w14:paraId="7EE3B04E" w14:textId="77777777" w:rsidR="00523270" w:rsidRDefault="00523270" w:rsidP="00523270">
      <w:pPr>
        <w:pStyle w:val="Akapitzlist"/>
        <w:numPr>
          <w:ilvl w:val="0"/>
          <w:numId w:val="59"/>
        </w:numPr>
        <w:spacing w:before="240" w:line="276" w:lineRule="auto"/>
        <w:ind w:left="1276"/>
        <w:jc w:val="both"/>
        <w:rPr>
          <w:rFonts w:ascii="Times New Roman" w:hAnsi="Times New Roman" w:cs="Times New Roman"/>
        </w:rPr>
      </w:pPr>
      <w:r>
        <w:rPr>
          <w:rFonts w:ascii="Times New Roman" w:hAnsi="Times New Roman" w:cs="Times New Roman"/>
        </w:rPr>
        <w:t>Włączenie osób starszych i osób w niekorzystnej sytuacji.</w:t>
      </w:r>
    </w:p>
    <w:p w14:paraId="7FEFA362" w14:textId="77777777" w:rsidR="00523270" w:rsidRDefault="00523270" w:rsidP="00523270">
      <w:pPr>
        <w:pStyle w:val="Akapitzlist"/>
        <w:numPr>
          <w:ilvl w:val="0"/>
          <w:numId w:val="59"/>
        </w:numPr>
        <w:spacing w:before="240" w:line="276" w:lineRule="auto"/>
        <w:ind w:left="1276"/>
        <w:jc w:val="both"/>
        <w:rPr>
          <w:rFonts w:ascii="Times New Roman" w:hAnsi="Times New Roman" w:cs="Times New Roman"/>
        </w:rPr>
      </w:pPr>
      <w:r w:rsidRPr="00CD1572">
        <w:rPr>
          <w:rFonts w:ascii="Times New Roman" w:hAnsi="Times New Roman" w:cs="Times New Roman"/>
        </w:rPr>
        <w:t>Aktywizacja osób młodych.</w:t>
      </w:r>
    </w:p>
    <w:p w14:paraId="275BDAF8" w14:textId="3EC2D831" w:rsidR="00523270" w:rsidRPr="0073385C" w:rsidRDefault="00523270" w:rsidP="00523270">
      <w:pPr>
        <w:pStyle w:val="Akapitzlist"/>
        <w:numPr>
          <w:ilvl w:val="0"/>
          <w:numId w:val="58"/>
        </w:numPr>
        <w:spacing w:before="240" w:line="276" w:lineRule="auto"/>
        <w:jc w:val="both"/>
        <w:rPr>
          <w:rFonts w:ascii="Times New Roman" w:hAnsi="Times New Roman" w:cs="Times New Roman"/>
          <w:b/>
          <w:bCs/>
        </w:rPr>
      </w:pPr>
      <w:r>
        <w:rPr>
          <w:noProof/>
        </w:rPr>
        <mc:AlternateContent>
          <mc:Choice Requires="wps">
            <w:drawing>
              <wp:anchor distT="45720" distB="45720" distL="114300" distR="114300" simplePos="0" relativeHeight="251665408" behindDoc="0" locked="0" layoutInCell="1" allowOverlap="1" wp14:anchorId="09EC1305" wp14:editId="078F80EA">
                <wp:simplePos x="0" y="0"/>
                <wp:positionH relativeFrom="column">
                  <wp:posOffset>526415</wp:posOffset>
                </wp:positionH>
                <wp:positionV relativeFrom="paragraph">
                  <wp:posOffset>250190</wp:posOffset>
                </wp:positionV>
                <wp:extent cx="5722620" cy="502920"/>
                <wp:effectExtent l="0" t="0" r="11430" b="11430"/>
                <wp:wrapSquare wrapText="bothSides"/>
                <wp:docPr id="197392322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292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D146988" w14:textId="77777777" w:rsidR="00523270" w:rsidRPr="00DB4A98" w:rsidRDefault="00523270" w:rsidP="00523270">
                            <w:pPr>
                              <w:spacing w:after="0" w:line="276" w:lineRule="auto"/>
                              <w:jc w:val="center"/>
                              <w:rPr>
                                <w:rFonts w:ascii="Times New Roman" w:hAnsi="Times New Roman" w:cs="Times New Roman"/>
                                <w:b/>
                                <w:bCs/>
                              </w:rPr>
                            </w:pPr>
                            <w:r w:rsidRPr="00DB4A98">
                              <w:rPr>
                                <w:rFonts w:ascii="Times New Roman" w:hAnsi="Times New Roman" w:cs="Times New Roman"/>
                                <w:b/>
                                <w:bCs/>
                              </w:rPr>
                              <w:t>CEL LSR</w:t>
                            </w:r>
                          </w:p>
                          <w:p w14:paraId="1321803E" w14:textId="289C055C" w:rsidR="00523270" w:rsidRPr="00DB4A98" w:rsidRDefault="00DB4A98" w:rsidP="00DB4A98">
                            <w:pPr>
                              <w:spacing w:after="0" w:line="276" w:lineRule="auto"/>
                              <w:jc w:val="center"/>
                            </w:pPr>
                            <w:r w:rsidRPr="00DB4A98">
                              <w:rPr>
                                <w:rFonts w:ascii="Times New Roman" w:hAnsi="Times New Roman" w:cs="Times New Roman"/>
                                <w:b/>
                                <w:bCs/>
                                <w:i/>
                                <w:iCs/>
                              </w:rPr>
                              <w:t>Zbudowanie Bialskopodlaskiego kapitału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C1305" id="_x0000_t202" coordsize="21600,21600" o:spt="202" path="m,l,21600r21600,l21600,xe">
                <v:stroke joinstyle="miter"/>
                <v:path gradientshapeok="t" o:connecttype="rect"/>
              </v:shapetype>
              <v:shape id="Pole tekstowe 1" o:spid="_x0000_s1026" type="#_x0000_t202" style="position:absolute;left:0;text-align:left;margin-left:41.45pt;margin-top:19.7pt;width:450.6pt;height:3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41WwIAAAgFAAAOAAAAZHJzL2Uyb0RvYy54bWysVG1v0zAQ/o7Ef7D8nSaNurFFTafRMYQ0&#10;XsTgB7iO3VhzfMF2m5Rfz9lOsxaQkBBfLPvO99w95+e8vBlaTfbCOgWmovNZTokwHGplthX99vX+&#10;1RUlzjNTMw1GVPQgHL1ZvXyx7LtSFNCAroUlCGJc2XcVbbzvyixzvBEtczPohEGnBNsyj0e7zWrL&#10;ekRvdVbk+WXWg607C1w4h9a75KSriC+l4P6TlE54oiuKtfm42rhuwpqtlqzcWtY1io9lsH+oomXK&#10;YNIJ6o55RnZW/QbVKm7BgfQzDm0GUiouIgdkM89/YfPYsE5ELtgc101tcv8Pln/cP3afLfHDGxjw&#10;ASMJ1z0Af3LEwLphZiturYW+EazGxPPQsqzvXDmGhla70gWQTf8BanxktvMQgQZp29AV5EkQHR/g&#10;MDVdDJ5wNF68LorLAl0cfRd5cY37kIKVx+jOOv9OQEvCpqIWHzWis/2D8+nq8UpI5kCr+l5pHQ9B&#10;SGKtLdkzlADjXBifWOpdi+UmO0opH8WAZpRMMl8dzVhNlGRAirWdJdEmpAoNemvqqCjPlE57jAzu&#10;2LHQpLFd/qBFCNLmi5BE1diIIpKa0pwXnGjG2yFMIr0pcHy0c6YaWaag8W4IE3EipsD87xmniJgV&#10;jJ+CW2XA/gmgfpoyp/tH9olzUIsfNgMWF7YbqA8oHQtpNPErwU0D9gclPY5lRd33HbOCEv3eoPyu&#10;54tFmON4WKB28GBPPZtTDzMcoSrqKUnbtY+zH8gYuEWZShUV9FzJWCyOW3zn8WsI83x6jreeP7DV&#10;TwAAAP//AwBQSwMEFAAGAAgAAAAhAOGzpNrgAAAACQEAAA8AAABkcnMvZG93bnJldi54bWxMj0FL&#10;w0AQhe+C/2EZwZvdpK0lSbMppdCDeDIKwds2Oyah2dmQ3bTRX+94ssfhfbz3Tb6bbS8uOPrOkYJ4&#10;EYFAqp3pqFHw8X58SkD4oMno3hEq+EYPu+L+LteZcVd6w0sZGsEl5DOtoA1hyKT0dYtW+4UbkDj7&#10;cqPVgc+xkWbUVy63vVxG0UZa3REvtHrAQ4v1uZysAlN+rvaTHNLD8+uPeamqY9WNsVKPD/N+CyLg&#10;HP5h+NNndSjY6eQmMl70CpJlyqSCVboGwXmarGMQJwbjZAOyyOXtB8UvAAAA//8DAFBLAQItABQA&#10;BgAIAAAAIQC2gziS/gAAAOEBAAATAAAAAAAAAAAAAAAAAAAAAABbQ29udGVudF9UeXBlc10ueG1s&#10;UEsBAi0AFAAGAAgAAAAhADj9If/WAAAAlAEAAAsAAAAAAAAAAAAAAAAALwEAAF9yZWxzLy5yZWxz&#10;UEsBAi0AFAAGAAgAAAAhAKlVPjVbAgAACAUAAA4AAAAAAAAAAAAAAAAALgIAAGRycy9lMm9Eb2Mu&#10;eG1sUEsBAi0AFAAGAAgAAAAhAOGzpNrgAAAACQEAAA8AAAAAAAAAAAAAAAAAtQQAAGRycy9kb3du&#10;cmV2LnhtbFBLBQYAAAAABAAEAPMAAADCBQAAAAA=&#10;" fillcolor="#d9e2f3 [660]" strokecolor="#4472c4 [3204]" strokeweight="1pt">
                <v:textbox>
                  <w:txbxContent>
                    <w:p w14:paraId="7D146988" w14:textId="77777777" w:rsidR="00523270" w:rsidRPr="00DB4A98" w:rsidRDefault="00523270" w:rsidP="00523270">
                      <w:pPr>
                        <w:spacing w:after="0" w:line="276" w:lineRule="auto"/>
                        <w:jc w:val="center"/>
                        <w:rPr>
                          <w:rFonts w:ascii="Times New Roman" w:hAnsi="Times New Roman" w:cs="Times New Roman"/>
                          <w:b/>
                          <w:bCs/>
                        </w:rPr>
                      </w:pPr>
                      <w:r w:rsidRPr="00DB4A98">
                        <w:rPr>
                          <w:rFonts w:ascii="Times New Roman" w:hAnsi="Times New Roman" w:cs="Times New Roman"/>
                          <w:b/>
                          <w:bCs/>
                        </w:rPr>
                        <w:t>CEL LSR</w:t>
                      </w:r>
                    </w:p>
                    <w:p w14:paraId="1321803E" w14:textId="289C055C" w:rsidR="00523270" w:rsidRPr="00DB4A98" w:rsidRDefault="00DB4A98" w:rsidP="00DB4A98">
                      <w:pPr>
                        <w:spacing w:after="0" w:line="276" w:lineRule="auto"/>
                        <w:jc w:val="center"/>
                      </w:pPr>
                      <w:r w:rsidRPr="00DB4A98">
                        <w:rPr>
                          <w:rFonts w:ascii="Times New Roman" w:hAnsi="Times New Roman" w:cs="Times New Roman"/>
                          <w:b/>
                          <w:bCs/>
                          <w:i/>
                          <w:iCs/>
                        </w:rPr>
                        <w:t>Zbudowanie Bialskopodlaskiego kapitału społecznego</w:t>
                      </w:r>
                    </w:p>
                  </w:txbxContent>
                </v:textbox>
                <w10:wrap type="square"/>
              </v:shape>
            </w:pict>
          </mc:Fallback>
        </mc:AlternateContent>
      </w:r>
      <w:r w:rsidR="008F592F">
        <w:rPr>
          <w:rFonts w:ascii="Times New Roman" w:hAnsi="Times New Roman" w:cs="Times New Roman"/>
          <w:b/>
          <w:bCs/>
        </w:rPr>
        <w:t>Cel LSR</w:t>
      </w:r>
    </w:p>
    <w:bookmarkEnd w:id="107"/>
    <w:p w14:paraId="098A161A" w14:textId="77777777" w:rsidR="00A17173" w:rsidRDefault="00A17173" w:rsidP="0084722A">
      <w:pPr>
        <w:pStyle w:val="Gwne"/>
        <w:numPr>
          <w:ilvl w:val="0"/>
          <w:numId w:val="0"/>
        </w:numPr>
        <w:ind w:left="360" w:hanging="360"/>
        <w:outlineLvl w:val="9"/>
        <w:rPr>
          <w:sz w:val="22"/>
          <w:szCs w:val="22"/>
        </w:rPr>
      </w:pPr>
    </w:p>
    <w:p w14:paraId="2BD07916" w14:textId="77777777" w:rsidR="008F592F" w:rsidRDefault="008F592F" w:rsidP="00171A26">
      <w:pPr>
        <w:spacing w:after="0" w:line="276" w:lineRule="auto"/>
        <w:ind w:firstLine="708"/>
        <w:jc w:val="both"/>
        <w:rPr>
          <w:rFonts w:ascii="Times New Roman" w:hAnsi="Times New Roman" w:cs="Times New Roman"/>
        </w:rPr>
      </w:pPr>
      <w:bookmarkStart w:id="108" w:name="_Hlk134056895"/>
      <w:r>
        <w:rPr>
          <w:rFonts w:ascii="Times New Roman" w:hAnsi="Times New Roman" w:cs="Times New Roman"/>
        </w:rPr>
        <w:br w:type="page"/>
      </w:r>
    </w:p>
    <w:p w14:paraId="6ACE9253" w14:textId="0E6E4501" w:rsidR="008F592F" w:rsidRPr="005F1F0E" w:rsidRDefault="008F592F" w:rsidP="008F592F">
      <w:pPr>
        <w:spacing w:after="0" w:line="276" w:lineRule="auto"/>
        <w:ind w:firstLine="708"/>
        <w:jc w:val="both"/>
        <w:rPr>
          <w:rFonts w:ascii="Times New Roman" w:hAnsi="Times New Roman" w:cs="Times New Roman"/>
        </w:rPr>
      </w:pPr>
      <w:r w:rsidRPr="005F1F0E">
        <w:rPr>
          <w:rFonts w:ascii="Times New Roman" w:hAnsi="Times New Roman" w:cs="Times New Roman"/>
        </w:rPr>
        <w:lastRenderedPageBreak/>
        <w:t>Do celu LSR przypisano konkretne przedsięwzięcia (zbiory konkretnych działań, pakiety komplementarnych operacji), dla których wskazano sposób ich realizacji wraz z uzasadnieniem, źródł</w:t>
      </w:r>
      <w:r w:rsidR="00811783">
        <w:rPr>
          <w:rFonts w:ascii="Times New Roman" w:hAnsi="Times New Roman" w:cs="Times New Roman"/>
        </w:rPr>
        <w:t>o</w:t>
      </w:r>
      <w:r w:rsidRPr="005F1F0E">
        <w:rPr>
          <w:rFonts w:ascii="Times New Roman" w:hAnsi="Times New Roman" w:cs="Times New Roman"/>
        </w:rPr>
        <w:t xml:space="preserve"> finansowania, a także określono adekwatne rezultaty i wskaźniki. </w:t>
      </w:r>
      <w:r>
        <w:rPr>
          <w:rFonts w:ascii="Times New Roman" w:hAnsi="Times New Roman" w:cs="Times New Roman"/>
        </w:rPr>
        <w:t xml:space="preserve">W tabeli 18 </w:t>
      </w:r>
      <w:r w:rsidRPr="005F1F0E">
        <w:rPr>
          <w:rFonts w:ascii="Times New Roman" w:hAnsi="Times New Roman" w:cs="Times New Roman"/>
        </w:rPr>
        <w:t xml:space="preserve">przedstawiono powiązanie celu i przedsięwzięć ze zidentyfikowanymi podczas analizy obszaru problemami. Tabela zawiera również informację o charakterze danego przedsięwzięcia (inwestycyjny, nieinwestycyjny), budżecie, poziomie dofinansowania, maksymalnej i minimalnej kwocie, grupie docelowej i sposobie realizacji – stanowi ona poszerzoną wersję załącznika nr 1 do LSR. </w:t>
      </w:r>
    </w:p>
    <w:p w14:paraId="1934E5D1" w14:textId="2ED2DB63" w:rsidR="003B3C57" w:rsidRDefault="00DB4A98" w:rsidP="008F592F">
      <w:pPr>
        <w:spacing w:after="0" w:line="276" w:lineRule="auto"/>
        <w:ind w:firstLine="708"/>
        <w:jc w:val="both"/>
        <w:rPr>
          <w:rFonts w:ascii="Times New Roman" w:hAnsi="Times New Roman" w:cs="Times New Roman"/>
        </w:rPr>
        <w:sectPr w:rsidR="003B3C57" w:rsidSect="00F35EB5">
          <w:type w:val="continuous"/>
          <w:pgSz w:w="11906" w:h="16838"/>
          <w:pgMar w:top="851" w:right="851" w:bottom="851" w:left="851" w:header="709" w:footer="709" w:gutter="0"/>
          <w:cols w:space="708"/>
          <w:docGrid w:linePitch="360"/>
        </w:sectPr>
      </w:pPr>
      <w:r w:rsidRPr="00103703">
        <w:rPr>
          <w:rFonts w:ascii="Times New Roman" w:hAnsi="Times New Roman" w:cs="Times New Roman"/>
        </w:rPr>
        <w:t xml:space="preserve">W ramach </w:t>
      </w:r>
      <w:r w:rsidR="008F592F">
        <w:rPr>
          <w:rFonts w:ascii="Times New Roman" w:hAnsi="Times New Roman" w:cs="Times New Roman"/>
        </w:rPr>
        <w:t xml:space="preserve">Celu 1 </w:t>
      </w:r>
      <w:r w:rsidR="008F592F">
        <w:rPr>
          <w:rFonts w:ascii="Times New Roman" w:hAnsi="Times New Roman" w:cs="Times New Roman"/>
          <w:i/>
          <w:iCs/>
        </w:rPr>
        <w:t>Zbudowanie Bialskopodlaskiego kapitału społecznego</w:t>
      </w:r>
      <w:r w:rsidRPr="00103703">
        <w:rPr>
          <w:rFonts w:ascii="Times New Roman" w:hAnsi="Times New Roman" w:cs="Times New Roman"/>
          <w:i/>
          <w:iCs/>
        </w:rPr>
        <w:t xml:space="preserve"> </w:t>
      </w:r>
      <w:r>
        <w:rPr>
          <w:rFonts w:ascii="Times New Roman" w:hAnsi="Times New Roman" w:cs="Times New Roman"/>
        </w:rPr>
        <w:t xml:space="preserve">samorządy (sektor publiczny) będą mogły stworzyć/zmodernizować ogólnodostępną, małą infrastrukturę publiczną służącą rekreacji, sportowi </w:t>
      </w:r>
      <w:r w:rsidR="008F592F">
        <w:rPr>
          <w:rFonts w:ascii="Times New Roman" w:hAnsi="Times New Roman" w:cs="Times New Roman"/>
        </w:rPr>
        <w:br/>
      </w:r>
      <w:r>
        <w:rPr>
          <w:rFonts w:ascii="Times New Roman" w:hAnsi="Times New Roman" w:cs="Times New Roman"/>
        </w:rPr>
        <w:t xml:space="preserve">i zwiększaniu możliwości spędzania czasu wolnego (np. </w:t>
      </w:r>
      <w:r w:rsidRPr="008A78B0">
        <w:rPr>
          <w:rFonts w:ascii="Times New Roman" w:hAnsi="Times New Roman" w:cs="Times New Roman"/>
        </w:rPr>
        <w:t>place zabaw, siłownie plenerowe, skateparki, parki do parkoura, street workout parki, parki linowe, piaskownice, miejskie i wiejskie tereny rekreacyjne o połączonych formach rekreacji</w:t>
      </w:r>
      <w:r>
        <w:rPr>
          <w:rFonts w:ascii="Times New Roman" w:hAnsi="Times New Roman" w:cs="Times New Roman"/>
        </w:rPr>
        <w:t>, ścieżki edukacyjne)</w:t>
      </w:r>
      <w:r w:rsidR="001F7FD0">
        <w:rPr>
          <w:rFonts w:ascii="Times New Roman" w:hAnsi="Times New Roman" w:cs="Times New Roman"/>
        </w:rPr>
        <w:t>,</w:t>
      </w:r>
      <w:r w:rsidR="00811783">
        <w:rPr>
          <w:rFonts w:ascii="Times New Roman" w:hAnsi="Times New Roman" w:cs="Times New Roman"/>
        </w:rPr>
        <w:t xml:space="preserve"> </w:t>
      </w:r>
      <w:r w:rsidR="001F7FD0">
        <w:rPr>
          <w:rFonts w:ascii="Times New Roman" w:hAnsi="Times New Roman" w:cs="Times New Roman"/>
        </w:rPr>
        <w:t xml:space="preserve">a stworzona infrastruktura będzie wzbogacona o udogodnienia dla osób </w:t>
      </w:r>
      <w:r w:rsidR="001F7FD0">
        <w:rPr>
          <w:rFonts w:ascii="Times New Roman" w:hAnsi="Times New Roman" w:cs="Times New Roman"/>
        </w:rPr>
        <w:br/>
        <w:t>z niepełnosprawnościami</w:t>
      </w:r>
      <w:r w:rsidR="008F592F">
        <w:rPr>
          <w:rFonts w:ascii="Times New Roman" w:hAnsi="Times New Roman" w:cs="Times New Roman"/>
        </w:rPr>
        <w:t xml:space="preserve"> i ich opiekunów</w:t>
      </w:r>
      <w:r w:rsidR="001F7FD0">
        <w:rPr>
          <w:rFonts w:ascii="Times New Roman" w:hAnsi="Times New Roman" w:cs="Times New Roman"/>
        </w:rPr>
        <w:t xml:space="preserve"> (np. place zabaw dostosowane do wózków inwalidzkich, parki sensoryczne dla osób ze spektrum autyzmu)</w:t>
      </w:r>
      <w:r>
        <w:rPr>
          <w:rFonts w:ascii="Times New Roman" w:hAnsi="Times New Roman" w:cs="Times New Roman"/>
        </w:rPr>
        <w:t xml:space="preserve">. Mieszkańcy, </w:t>
      </w:r>
      <w:r w:rsidRPr="008A78B0">
        <w:rPr>
          <w:rFonts w:ascii="Times New Roman" w:hAnsi="Times New Roman" w:cs="Times New Roman"/>
        </w:rPr>
        <w:t>jednostki organizacyjne nieposiadające osobowości prawnej, którym ustawa przyznaje zdolność prawną</w:t>
      </w:r>
      <w:r>
        <w:rPr>
          <w:rFonts w:ascii="Times New Roman" w:hAnsi="Times New Roman" w:cs="Times New Roman"/>
        </w:rPr>
        <w:t>,</w:t>
      </w:r>
      <w:r w:rsidRPr="008A78B0">
        <w:rPr>
          <w:rFonts w:ascii="Times New Roman" w:hAnsi="Times New Roman" w:cs="Times New Roman"/>
        </w:rPr>
        <w:t xml:space="preserve"> </w:t>
      </w:r>
      <w:r>
        <w:rPr>
          <w:rFonts w:ascii="Times New Roman" w:hAnsi="Times New Roman" w:cs="Times New Roman"/>
        </w:rPr>
        <w:t>organizacje pozarządowe, mikro i małe przedsiębiorstwa, jednostki sektora finansów publicznych (sektor społeczny, publiczny i gospodarczy) będą, w ramach udzielonych grantów, realizować projekty (w tym partnerskie i/lub innowacyjne), polegające na włączeniu seniorów, ludzi młodych i osób w niekorzystnej sytuacji, których celem będzie integracja, wzmocnienie i umożliwienie aktywności społecznej tych grup mieszkańców, budowanie tożsamości lokalnej i sentymentu do miejsca zamieszkania, wzrostu możliwości spędzania czasu wolnego, samorozwoju i rekreacji. W ramach tego przedsięwzięcia mikro i małe przedsiębiorstwa (sektor gospodarczy)</w:t>
      </w:r>
      <w:r w:rsidR="00817ACC">
        <w:rPr>
          <w:rFonts w:ascii="Times New Roman" w:hAnsi="Times New Roman" w:cs="Times New Roman"/>
        </w:rPr>
        <w:t xml:space="preserve"> </w:t>
      </w:r>
      <w:r>
        <w:rPr>
          <w:rFonts w:ascii="Times New Roman" w:hAnsi="Times New Roman" w:cs="Times New Roman"/>
        </w:rPr>
        <w:t xml:space="preserve">będą mogły ubiegać się o wsparcie na podejmowanie działalności – tylko konkretne rodzaje działalności gospodarczej, w zakresie zgodnym z celem LSR. Dokonano </w:t>
      </w:r>
      <w:r w:rsidRPr="009F30F8">
        <w:rPr>
          <w:rFonts w:ascii="Times New Roman" w:hAnsi="Times New Roman" w:cs="Times New Roman"/>
        </w:rPr>
        <w:t>skoncentrowani</w:t>
      </w:r>
      <w:r>
        <w:rPr>
          <w:rFonts w:ascii="Times New Roman" w:hAnsi="Times New Roman" w:cs="Times New Roman"/>
        </w:rPr>
        <w:t xml:space="preserve">a w celu </w:t>
      </w:r>
      <w:r w:rsidRPr="009F30F8">
        <w:rPr>
          <w:rFonts w:ascii="Times New Roman" w:hAnsi="Times New Roman" w:cs="Times New Roman"/>
        </w:rPr>
        <w:t>jak najlepsze</w:t>
      </w:r>
      <w:r>
        <w:rPr>
          <w:rFonts w:ascii="Times New Roman" w:hAnsi="Times New Roman" w:cs="Times New Roman"/>
        </w:rPr>
        <w:t>go</w:t>
      </w:r>
      <w:r w:rsidRPr="009F30F8">
        <w:rPr>
          <w:rFonts w:ascii="Times New Roman" w:hAnsi="Times New Roman" w:cs="Times New Roman"/>
        </w:rPr>
        <w:t xml:space="preserve"> wykorzystani</w:t>
      </w:r>
      <w:r>
        <w:rPr>
          <w:rFonts w:ascii="Times New Roman" w:hAnsi="Times New Roman" w:cs="Times New Roman"/>
        </w:rPr>
        <w:t>a</w:t>
      </w:r>
      <w:r w:rsidRPr="009F30F8">
        <w:rPr>
          <w:rFonts w:ascii="Times New Roman" w:hAnsi="Times New Roman" w:cs="Times New Roman"/>
        </w:rPr>
        <w:t xml:space="preserve"> posiadanych zasobów finansowych</w:t>
      </w:r>
      <w:r>
        <w:rPr>
          <w:rFonts w:ascii="Times New Roman" w:hAnsi="Times New Roman" w:cs="Times New Roman"/>
        </w:rPr>
        <w:t xml:space="preserve">. W związku z tym, w oparciu o lokalne zasoby oraz zgłaszane potrzeby i zdiagnozowane problemy, wsparcie przeznaczone będzie na gospodarkę czasu wolnego, a więc wszelkie działalności, które mają na celu wzrost dostępności i jakości usług dla lokalnej społeczności w zakresie rekreacji, sportu, spędzania czasu wolnego, w tym samorozwoju, rozwoju pasji i talentów mieszkańców. Przykładowo mogą to być siłownie, niepubliczne szkoły muzyczne, usługi w zakresie zajęć plastycznych, tanecznych, sportowych, robotyka, oferta kulturalna itp. </w:t>
      </w:r>
      <w:r w:rsidRPr="00103703">
        <w:rPr>
          <w:rFonts w:ascii="Times New Roman" w:hAnsi="Times New Roman" w:cs="Times New Roman"/>
        </w:rPr>
        <w:t>W ramach wsparcia w zakresie rozwoju przedsiębiorczości przewiduje się finansowanie kosztów szkoleniowych związanych ściśle z celem danej operacji, takich jak nabycie lub podwyższenie kwalifikacji, reorientacja zawodowa, koszty kursów specjalistycznych lub obejmujących wiedzę niezbędną do prowadzenia działalności gospodarczej np. podstawy księgowości.</w:t>
      </w:r>
      <w:r w:rsidR="00817ACC">
        <w:rPr>
          <w:rFonts w:ascii="Times New Roman" w:hAnsi="Times New Roman" w:cs="Times New Roman"/>
        </w:rPr>
        <w:t xml:space="preserve"> Uzupełnieniem powyższych działań będzie realizacja projektu własnego</w:t>
      </w:r>
      <w:r w:rsidR="00811783">
        <w:rPr>
          <w:rFonts w:ascii="Times New Roman" w:hAnsi="Times New Roman" w:cs="Times New Roman"/>
        </w:rPr>
        <w:t>,</w:t>
      </w:r>
      <w:r w:rsidR="00817ACC">
        <w:rPr>
          <w:rFonts w:ascii="Times New Roman" w:hAnsi="Times New Roman" w:cs="Times New Roman"/>
        </w:rPr>
        <w:t xml:space="preserve"> promującego obszar na terenie województwa oraz całego kraju.</w:t>
      </w:r>
      <w:r w:rsidR="008F592F">
        <w:rPr>
          <w:rFonts w:ascii="Times New Roman" w:hAnsi="Times New Roman" w:cs="Times New Roman"/>
        </w:rPr>
        <w:t xml:space="preserve"> Ponadto </w:t>
      </w:r>
      <w:r w:rsidR="00811783">
        <w:rPr>
          <w:rFonts w:ascii="Times New Roman" w:hAnsi="Times New Roman" w:cs="Times New Roman"/>
        </w:rPr>
        <w:br/>
      </w:r>
      <w:r w:rsidR="008F592F">
        <w:rPr>
          <w:rFonts w:ascii="Times New Roman" w:hAnsi="Times New Roman" w:cs="Times New Roman"/>
        </w:rPr>
        <w:t xml:space="preserve">w ramach celu </w:t>
      </w:r>
      <w:r>
        <w:rPr>
          <w:rFonts w:ascii="Times New Roman" w:hAnsi="Times New Roman" w:cs="Times New Roman"/>
        </w:rPr>
        <w:t xml:space="preserve">planuje się projekt grantowy na realizację innowacyjnych inicjatyw oddolnych, w szczególności takich, które </w:t>
      </w:r>
      <w:r w:rsidR="00817ACC">
        <w:rPr>
          <w:rFonts w:ascii="Times New Roman" w:hAnsi="Times New Roman" w:cs="Times New Roman"/>
        </w:rPr>
        <w:t>przyczynią się do zwiększenia aktywności społecznej mieszkańców i ich integracji</w:t>
      </w:r>
      <w:r>
        <w:rPr>
          <w:rFonts w:ascii="Times New Roman" w:hAnsi="Times New Roman" w:cs="Times New Roman"/>
        </w:rPr>
        <w:t>. Kolejny projekt grantowy w ramach przedsięwzięcia będzie dotyczyć wzmocnienia potencjału organizacji pozarządowych, premiowane będą operacje wykorzystujące dziedzictwo kulturowe i naturalne.</w:t>
      </w:r>
      <w:r w:rsidR="008F592F">
        <w:rPr>
          <w:rFonts w:ascii="Times New Roman" w:hAnsi="Times New Roman" w:cs="Times New Roman"/>
        </w:rPr>
        <w:t xml:space="preserve"> Ponadto w ramach działań zostanie zwiększona oferta edukacyjna, integrująca i </w:t>
      </w:r>
      <w:r w:rsidR="00730AC6">
        <w:rPr>
          <w:rFonts w:ascii="Times New Roman" w:hAnsi="Times New Roman" w:cs="Times New Roman"/>
        </w:rPr>
        <w:t xml:space="preserve">kulturalna dla mieszkańców obszaru, w tym osób </w:t>
      </w:r>
      <w:r w:rsidR="00811783">
        <w:rPr>
          <w:rFonts w:ascii="Times New Roman" w:hAnsi="Times New Roman" w:cs="Times New Roman"/>
        </w:rPr>
        <w:br/>
      </w:r>
      <w:r w:rsidR="00730AC6">
        <w:rPr>
          <w:rFonts w:ascii="Times New Roman" w:hAnsi="Times New Roman" w:cs="Times New Roman"/>
        </w:rPr>
        <w:t>z niepełnosprawnościami i ich opiekunów.</w:t>
      </w:r>
      <w:r>
        <w:rPr>
          <w:rFonts w:ascii="Times New Roman" w:hAnsi="Times New Roman" w:cs="Times New Roman"/>
        </w:rPr>
        <w:t xml:space="preserve"> W ramach projektu możliwe będzie finansowanie warsztatów, szkoleń, kursów dla członków organizacji pozarządowych, wyjazdy studyjne, wszelkie działania zwi</w:t>
      </w:r>
      <w:r w:rsidR="00811783">
        <w:rPr>
          <w:rFonts w:ascii="Times New Roman" w:hAnsi="Times New Roman" w:cs="Times New Roman"/>
        </w:rPr>
        <w:t>ęk</w:t>
      </w:r>
      <w:r>
        <w:rPr>
          <w:rFonts w:ascii="Times New Roman" w:hAnsi="Times New Roman" w:cs="Times New Roman"/>
        </w:rPr>
        <w:t xml:space="preserve">szające potencjał </w:t>
      </w:r>
      <w:r w:rsidR="00811783">
        <w:rPr>
          <w:rFonts w:ascii="Times New Roman" w:hAnsi="Times New Roman" w:cs="Times New Roman"/>
        </w:rPr>
        <w:br/>
      </w:r>
      <w:r>
        <w:rPr>
          <w:rFonts w:ascii="Times New Roman" w:hAnsi="Times New Roman" w:cs="Times New Roman"/>
        </w:rPr>
        <w:t>i usprawniające funkcjonowanie organizacji. W ramach tego przedsięwzięcia zaplanowano także projekty własne LGD z zakresu k</w:t>
      </w:r>
      <w:r w:rsidRPr="0042713F">
        <w:rPr>
          <w:rFonts w:ascii="Times New Roman" w:hAnsi="Times New Roman" w:cs="Times New Roman"/>
        </w:rPr>
        <w:t>ojarzeni</w:t>
      </w:r>
      <w:r>
        <w:rPr>
          <w:rFonts w:ascii="Times New Roman" w:hAnsi="Times New Roman" w:cs="Times New Roman"/>
        </w:rPr>
        <w:t>a</w:t>
      </w:r>
      <w:r w:rsidRPr="0042713F">
        <w:rPr>
          <w:rFonts w:ascii="Times New Roman" w:hAnsi="Times New Roman" w:cs="Times New Roman"/>
        </w:rPr>
        <w:t xml:space="preserve"> partnerów i animowani</w:t>
      </w:r>
      <w:r>
        <w:rPr>
          <w:rFonts w:ascii="Times New Roman" w:hAnsi="Times New Roman" w:cs="Times New Roman"/>
        </w:rPr>
        <w:t>a</w:t>
      </w:r>
      <w:r w:rsidRPr="0042713F">
        <w:rPr>
          <w:rFonts w:ascii="Times New Roman" w:hAnsi="Times New Roman" w:cs="Times New Roman"/>
        </w:rPr>
        <w:t xml:space="preserve"> do realizacji wspólnych projektów</w:t>
      </w:r>
      <w:r w:rsidR="008A2804">
        <w:rPr>
          <w:rFonts w:ascii="Times New Roman" w:hAnsi="Times New Roman" w:cs="Times New Roman"/>
        </w:rPr>
        <w:t xml:space="preserve"> </w:t>
      </w:r>
      <w:r w:rsidR="008A2804" w:rsidRPr="0042713F">
        <w:rPr>
          <w:rFonts w:ascii="Times New Roman" w:hAnsi="Times New Roman" w:cs="Times New Roman"/>
        </w:rPr>
        <w:t>na rzecz wzmacniania tożsamości lokalne</w:t>
      </w:r>
      <w:r w:rsidR="008A2804">
        <w:rPr>
          <w:rFonts w:ascii="Times New Roman" w:hAnsi="Times New Roman" w:cs="Times New Roman"/>
        </w:rPr>
        <w:t>j</w:t>
      </w:r>
      <w:r w:rsidR="00811783">
        <w:rPr>
          <w:rFonts w:ascii="Times New Roman" w:hAnsi="Times New Roman" w:cs="Times New Roman"/>
        </w:rPr>
        <w:t>,</w:t>
      </w:r>
      <w:r w:rsidR="008A2804">
        <w:rPr>
          <w:rFonts w:ascii="Times New Roman" w:hAnsi="Times New Roman" w:cs="Times New Roman"/>
        </w:rPr>
        <w:t xml:space="preserve"> szczególnie z partnerami spoza granic kraju, w których BLGD ma duże doświadczenie</w:t>
      </w:r>
      <w:r>
        <w:rPr>
          <w:rFonts w:ascii="Times New Roman" w:hAnsi="Times New Roman" w:cs="Times New Roman"/>
        </w:rPr>
        <w:t xml:space="preserve">, kształtowania liderów życia publicznego i społecznego oraz projekt, </w:t>
      </w:r>
      <w:r w:rsidR="00817ACC">
        <w:rPr>
          <w:rFonts w:ascii="Times New Roman" w:hAnsi="Times New Roman" w:cs="Times New Roman"/>
        </w:rPr>
        <w:t>wspierający rozwój kompetencji mieszkańców w zakresie pracy, usług i nauki zdalnej</w:t>
      </w:r>
      <w:r w:rsidR="00730AC6">
        <w:rPr>
          <w:rFonts w:ascii="Times New Roman" w:hAnsi="Times New Roman" w:cs="Times New Roman"/>
        </w:rPr>
        <w:t>, a także animujące do podejmowania innowacyjnych inicjatyw oddolnych.</w:t>
      </w:r>
    </w:p>
    <w:p w14:paraId="72732A0A" w14:textId="0B8D12CA" w:rsidR="006826FB" w:rsidRPr="000A3190" w:rsidRDefault="006826FB" w:rsidP="006826FB">
      <w:pPr>
        <w:pStyle w:val="Legenda"/>
        <w:spacing w:after="0"/>
        <w:jc w:val="center"/>
        <w:rPr>
          <w:sz w:val="20"/>
          <w:szCs w:val="20"/>
        </w:rPr>
      </w:pPr>
      <w:bookmarkStart w:id="109" w:name="_Toc133240174"/>
      <w:bookmarkStart w:id="110" w:name="_Toc135896560"/>
      <w:bookmarkStart w:id="111" w:name="_Hlk133083821"/>
      <w:r w:rsidRPr="000A3190">
        <w:rPr>
          <w:rFonts w:ascii="Times New Roman" w:hAnsi="Times New Roman" w:cs="Times New Roman"/>
          <w:b/>
          <w:bCs/>
          <w:i w:val="0"/>
          <w:iCs w:val="0"/>
          <w:color w:val="000000" w:themeColor="text1"/>
          <w:sz w:val="20"/>
          <w:szCs w:val="20"/>
        </w:rPr>
        <w:lastRenderedPageBreak/>
        <w:t xml:space="preserve">Tabela </w:t>
      </w:r>
      <w:r w:rsidRPr="000A3190">
        <w:rPr>
          <w:rFonts w:ascii="Times New Roman" w:hAnsi="Times New Roman" w:cs="Times New Roman"/>
          <w:b/>
          <w:bCs/>
          <w:i w:val="0"/>
          <w:iCs w:val="0"/>
          <w:color w:val="000000" w:themeColor="text1"/>
          <w:sz w:val="20"/>
          <w:szCs w:val="20"/>
        </w:rPr>
        <w:fldChar w:fldCharType="begin"/>
      </w:r>
      <w:r w:rsidRPr="000A3190">
        <w:rPr>
          <w:rFonts w:ascii="Times New Roman" w:hAnsi="Times New Roman" w:cs="Times New Roman"/>
          <w:b/>
          <w:bCs/>
          <w:i w:val="0"/>
          <w:iCs w:val="0"/>
          <w:color w:val="000000" w:themeColor="text1"/>
          <w:sz w:val="20"/>
          <w:szCs w:val="20"/>
        </w:rPr>
        <w:instrText xml:space="preserve"> SEQ Tabela \* ARABIC </w:instrText>
      </w:r>
      <w:r w:rsidRPr="000A3190">
        <w:rPr>
          <w:rFonts w:ascii="Times New Roman" w:hAnsi="Times New Roman" w:cs="Times New Roman"/>
          <w:b/>
          <w:bCs/>
          <w:i w:val="0"/>
          <w:iCs w:val="0"/>
          <w:color w:val="000000" w:themeColor="text1"/>
          <w:sz w:val="20"/>
          <w:szCs w:val="20"/>
        </w:rPr>
        <w:fldChar w:fldCharType="separate"/>
      </w:r>
      <w:r w:rsidR="008F592F">
        <w:rPr>
          <w:rFonts w:ascii="Times New Roman" w:hAnsi="Times New Roman" w:cs="Times New Roman"/>
          <w:b/>
          <w:bCs/>
          <w:i w:val="0"/>
          <w:iCs w:val="0"/>
          <w:noProof/>
          <w:color w:val="000000" w:themeColor="text1"/>
          <w:sz w:val="20"/>
          <w:szCs w:val="20"/>
        </w:rPr>
        <w:t>18</w:t>
      </w:r>
      <w:r w:rsidRPr="000A3190">
        <w:rPr>
          <w:rFonts w:ascii="Times New Roman" w:hAnsi="Times New Roman" w:cs="Times New Roman"/>
          <w:b/>
          <w:bCs/>
          <w:i w:val="0"/>
          <w:iCs w:val="0"/>
          <w:color w:val="000000" w:themeColor="text1"/>
          <w:sz w:val="20"/>
          <w:szCs w:val="20"/>
        </w:rPr>
        <w:fldChar w:fldCharType="end"/>
      </w:r>
      <w:r w:rsidRPr="000A3190">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 xml:space="preserve">Przedsięwzięcia – powiązanie z analizą potrzeb, charakter, budżet, </w:t>
      </w:r>
      <w:r w:rsidRPr="004A7D7D">
        <w:rPr>
          <w:rFonts w:ascii="Times New Roman" w:hAnsi="Times New Roman" w:cs="Times New Roman"/>
          <w:b/>
          <w:bCs/>
          <w:i w:val="0"/>
          <w:iCs w:val="0"/>
          <w:color w:val="000000" w:themeColor="text1"/>
          <w:sz w:val="20"/>
          <w:szCs w:val="20"/>
        </w:rPr>
        <w:t>poziom dofinansowania, ma</w:t>
      </w:r>
      <w:r>
        <w:rPr>
          <w:rFonts w:ascii="Times New Roman" w:hAnsi="Times New Roman" w:cs="Times New Roman"/>
          <w:b/>
          <w:bCs/>
          <w:i w:val="0"/>
          <w:iCs w:val="0"/>
          <w:color w:val="000000" w:themeColor="text1"/>
          <w:sz w:val="20"/>
          <w:szCs w:val="20"/>
        </w:rPr>
        <w:t>ks.</w:t>
      </w:r>
      <w:r w:rsidRPr="004A7D7D">
        <w:rPr>
          <w:rFonts w:ascii="Times New Roman" w:hAnsi="Times New Roman" w:cs="Times New Roman"/>
          <w:b/>
          <w:bCs/>
          <w:i w:val="0"/>
          <w:iCs w:val="0"/>
          <w:color w:val="000000" w:themeColor="text1"/>
          <w:sz w:val="20"/>
          <w:szCs w:val="20"/>
        </w:rPr>
        <w:t xml:space="preserve"> i mi</w:t>
      </w:r>
      <w:r>
        <w:rPr>
          <w:rFonts w:ascii="Times New Roman" w:hAnsi="Times New Roman" w:cs="Times New Roman"/>
          <w:b/>
          <w:bCs/>
          <w:i w:val="0"/>
          <w:iCs w:val="0"/>
          <w:color w:val="000000" w:themeColor="text1"/>
          <w:sz w:val="20"/>
          <w:szCs w:val="20"/>
        </w:rPr>
        <w:t xml:space="preserve">n. </w:t>
      </w:r>
      <w:r w:rsidRPr="004A7D7D">
        <w:rPr>
          <w:rFonts w:ascii="Times New Roman" w:hAnsi="Times New Roman" w:cs="Times New Roman"/>
          <w:b/>
          <w:bCs/>
          <w:i w:val="0"/>
          <w:iCs w:val="0"/>
          <w:color w:val="000000" w:themeColor="text1"/>
          <w:sz w:val="20"/>
          <w:szCs w:val="20"/>
        </w:rPr>
        <w:t>kw</w:t>
      </w:r>
      <w:r>
        <w:rPr>
          <w:rFonts w:ascii="Times New Roman" w:hAnsi="Times New Roman" w:cs="Times New Roman"/>
          <w:b/>
          <w:bCs/>
          <w:i w:val="0"/>
          <w:iCs w:val="0"/>
          <w:color w:val="000000" w:themeColor="text1"/>
          <w:sz w:val="20"/>
          <w:szCs w:val="20"/>
        </w:rPr>
        <w:t>ota</w:t>
      </w:r>
      <w:r w:rsidRPr="004A7D7D">
        <w:rPr>
          <w:rFonts w:ascii="Times New Roman" w:hAnsi="Times New Roman" w:cs="Times New Roman"/>
          <w:b/>
          <w:bCs/>
          <w:i w:val="0"/>
          <w:iCs w:val="0"/>
          <w:color w:val="000000" w:themeColor="text1"/>
          <w:sz w:val="20"/>
          <w:szCs w:val="20"/>
        </w:rPr>
        <w:t>, grup</w:t>
      </w:r>
      <w:r>
        <w:rPr>
          <w:rFonts w:ascii="Times New Roman" w:hAnsi="Times New Roman" w:cs="Times New Roman"/>
          <w:b/>
          <w:bCs/>
          <w:i w:val="0"/>
          <w:iCs w:val="0"/>
          <w:color w:val="000000" w:themeColor="text1"/>
          <w:sz w:val="20"/>
          <w:szCs w:val="20"/>
        </w:rPr>
        <w:t>a</w:t>
      </w:r>
      <w:r w:rsidRPr="004A7D7D">
        <w:rPr>
          <w:rFonts w:ascii="Times New Roman" w:hAnsi="Times New Roman" w:cs="Times New Roman"/>
          <w:b/>
          <w:bCs/>
          <w:i w:val="0"/>
          <w:iCs w:val="0"/>
          <w:color w:val="000000" w:themeColor="text1"/>
          <w:sz w:val="20"/>
          <w:szCs w:val="20"/>
        </w:rPr>
        <w:t xml:space="preserve"> docelow</w:t>
      </w:r>
      <w:r>
        <w:rPr>
          <w:rFonts w:ascii="Times New Roman" w:hAnsi="Times New Roman" w:cs="Times New Roman"/>
          <w:b/>
          <w:bCs/>
          <w:i w:val="0"/>
          <w:iCs w:val="0"/>
          <w:color w:val="000000" w:themeColor="text1"/>
          <w:sz w:val="20"/>
          <w:szCs w:val="20"/>
        </w:rPr>
        <w:t>a</w:t>
      </w:r>
      <w:r w:rsidRPr="004A7D7D">
        <w:rPr>
          <w:rFonts w:ascii="Times New Roman" w:hAnsi="Times New Roman" w:cs="Times New Roman"/>
          <w:b/>
          <w:bCs/>
          <w:i w:val="0"/>
          <w:iCs w:val="0"/>
          <w:color w:val="000000" w:themeColor="text1"/>
          <w:sz w:val="20"/>
          <w:szCs w:val="20"/>
        </w:rPr>
        <w:t xml:space="preserve"> i spos</w:t>
      </w:r>
      <w:r>
        <w:rPr>
          <w:rFonts w:ascii="Times New Roman" w:hAnsi="Times New Roman" w:cs="Times New Roman"/>
          <w:b/>
          <w:bCs/>
          <w:i w:val="0"/>
          <w:iCs w:val="0"/>
          <w:color w:val="000000" w:themeColor="text1"/>
          <w:sz w:val="20"/>
          <w:szCs w:val="20"/>
        </w:rPr>
        <w:t>ób</w:t>
      </w:r>
      <w:r w:rsidRPr="004A7D7D">
        <w:rPr>
          <w:rFonts w:ascii="Times New Roman" w:hAnsi="Times New Roman" w:cs="Times New Roman"/>
          <w:b/>
          <w:bCs/>
          <w:i w:val="0"/>
          <w:iCs w:val="0"/>
          <w:color w:val="000000" w:themeColor="text1"/>
          <w:sz w:val="20"/>
          <w:szCs w:val="20"/>
        </w:rPr>
        <w:t xml:space="preserve"> realizacji</w:t>
      </w:r>
      <w:r>
        <w:rPr>
          <w:rFonts w:ascii="Times New Roman" w:hAnsi="Times New Roman" w:cs="Times New Roman"/>
          <w:b/>
          <w:bCs/>
          <w:i w:val="0"/>
          <w:iCs w:val="0"/>
          <w:color w:val="000000" w:themeColor="text1"/>
          <w:sz w:val="20"/>
          <w:szCs w:val="20"/>
        </w:rPr>
        <w:t xml:space="preserve"> (rozszerzona wersja analogicznej tabeli stanowiącej załącznik nr 1 do LSR)</w:t>
      </w:r>
      <w:bookmarkEnd w:id="109"/>
      <w:bookmarkEnd w:id="110"/>
    </w:p>
    <w:tbl>
      <w:tblPr>
        <w:tblW w:w="4903" w:type="pct"/>
        <w:tblLayout w:type="fixed"/>
        <w:tblCellMar>
          <w:left w:w="70" w:type="dxa"/>
          <w:right w:w="70" w:type="dxa"/>
        </w:tblCellMar>
        <w:tblLook w:val="04A0" w:firstRow="1" w:lastRow="0" w:firstColumn="1" w:lastColumn="0" w:noHBand="0" w:noVBand="1"/>
      </w:tblPr>
      <w:tblGrid>
        <w:gridCol w:w="1979"/>
        <w:gridCol w:w="525"/>
        <w:gridCol w:w="2029"/>
        <w:gridCol w:w="1919"/>
        <w:gridCol w:w="2759"/>
        <w:gridCol w:w="804"/>
        <w:gridCol w:w="1320"/>
        <w:gridCol w:w="1207"/>
        <w:gridCol w:w="991"/>
        <w:gridCol w:w="39"/>
        <w:gridCol w:w="1204"/>
        <w:gridCol w:w="39"/>
        <w:gridCol w:w="18"/>
      </w:tblGrid>
      <w:tr w:rsidR="00F35EB5" w:rsidRPr="00CB33D8" w14:paraId="23E764EC" w14:textId="77777777" w:rsidTr="00CE2EDC">
        <w:trPr>
          <w:trHeight w:val="443"/>
        </w:trPr>
        <w:tc>
          <w:tcPr>
            <w:tcW w:w="8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111"/>
          <w:p w14:paraId="4C92F3AD" w14:textId="77777777"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PROBLEM</w:t>
            </w:r>
          </w:p>
        </w:tc>
        <w:tc>
          <w:tcPr>
            <w:tcW w:w="4157" w:type="pct"/>
            <w:gridSpan w:val="11"/>
            <w:tcBorders>
              <w:top w:val="single" w:sz="4" w:space="0" w:color="auto"/>
              <w:left w:val="nil"/>
              <w:bottom w:val="single" w:sz="4" w:space="0" w:color="auto"/>
              <w:right w:val="single" w:sz="4" w:space="0" w:color="auto"/>
            </w:tcBorders>
            <w:shd w:val="clear" w:color="000000" w:fill="FFFFFF"/>
            <w:vAlign w:val="center"/>
            <w:hideMark/>
          </w:tcPr>
          <w:p w14:paraId="3C9B10FC" w14:textId="77777777"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Niewystarczające zaangażowanie kapitału ludzkiego do rozwoju obszaru: niska przedsiębiorczość, niskie dochody oraz mała aktywność społeczna mieszkańców, niekorzystna sytuacja demograficzna, sytuacja geopolityczna</w:t>
            </w:r>
          </w:p>
        </w:tc>
      </w:tr>
      <w:tr w:rsidR="00F35EB5" w:rsidRPr="00CB33D8" w14:paraId="2F114F9F" w14:textId="77777777" w:rsidTr="00CE2EDC">
        <w:trPr>
          <w:trHeight w:val="469"/>
        </w:trPr>
        <w:tc>
          <w:tcPr>
            <w:tcW w:w="8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176F3F" w14:textId="77777777"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ZASÓB</w:t>
            </w:r>
          </w:p>
        </w:tc>
        <w:tc>
          <w:tcPr>
            <w:tcW w:w="4157" w:type="pct"/>
            <w:gridSpan w:val="11"/>
            <w:tcBorders>
              <w:top w:val="single" w:sz="4" w:space="0" w:color="auto"/>
              <w:left w:val="nil"/>
              <w:bottom w:val="single" w:sz="4" w:space="0" w:color="auto"/>
              <w:right w:val="single" w:sz="4" w:space="0" w:color="auto"/>
            </w:tcBorders>
            <w:shd w:val="clear" w:color="000000" w:fill="FFFFFF"/>
            <w:vAlign w:val="center"/>
            <w:hideMark/>
          </w:tcPr>
          <w:p w14:paraId="4113C8F6" w14:textId="77777777"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Walory przyrodnicze, dziedzictwo kulturowe, położenie przy międzynarodowych szlakach komunikacyjnych</w:t>
            </w:r>
          </w:p>
        </w:tc>
      </w:tr>
      <w:tr w:rsidR="00F35EB5" w:rsidRPr="00CB33D8" w14:paraId="1A935576" w14:textId="77777777" w:rsidTr="00CE2EDC">
        <w:trPr>
          <w:trHeight w:val="578"/>
        </w:trPr>
        <w:tc>
          <w:tcPr>
            <w:tcW w:w="8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2860D3" w14:textId="77777777"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CEL</w:t>
            </w:r>
          </w:p>
        </w:tc>
        <w:tc>
          <w:tcPr>
            <w:tcW w:w="4157" w:type="pct"/>
            <w:gridSpan w:val="11"/>
            <w:tcBorders>
              <w:top w:val="single" w:sz="4" w:space="0" w:color="auto"/>
              <w:left w:val="nil"/>
              <w:bottom w:val="single" w:sz="4" w:space="0" w:color="auto"/>
              <w:right w:val="single" w:sz="4" w:space="0" w:color="auto"/>
            </w:tcBorders>
            <w:shd w:val="clear" w:color="000000" w:fill="FFFFFF"/>
            <w:vAlign w:val="center"/>
            <w:hideMark/>
          </w:tcPr>
          <w:p w14:paraId="1617653B" w14:textId="77777777"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Zbudowanie Bialskopodlaskiego kapitału społecznego</w:t>
            </w:r>
          </w:p>
        </w:tc>
      </w:tr>
      <w:tr w:rsidR="00CE2EDC" w:rsidRPr="00CB33D8" w14:paraId="5DA2977F" w14:textId="77777777" w:rsidTr="00CE2EDC">
        <w:trPr>
          <w:gridAfter w:val="2"/>
          <w:wAfter w:w="19" w:type="pct"/>
          <w:trHeight w:val="1050"/>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21425F38" w14:textId="77777777" w:rsidR="00CB33D8" w:rsidRPr="00E860C3" w:rsidRDefault="00CB33D8" w:rsidP="00CB33D8">
            <w:pPr>
              <w:spacing w:after="0" w:line="240" w:lineRule="auto"/>
              <w:jc w:val="center"/>
              <w:rPr>
                <w:rFonts w:ascii="Times New Roman" w:eastAsia="Times New Roman" w:hAnsi="Times New Roman" w:cs="Times New Roman"/>
                <w:b/>
                <w:bCs/>
                <w:i/>
                <w:iCs/>
                <w:color w:val="000000"/>
                <w:sz w:val="18"/>
                <w:szCs w:val="18"/>
                <w:lang w:eastAsia="pl-PL"/>
              </w:rPr>
            </w:pPr>
            <w:r w:rsidRPr="00E860C3">
              <w:rPr>
                <w:rFonts w:ascii="Times New Roman" w:eastAsia="Times New Roman" w:hAnsi="Times New Roman" w:cs="Times New Roman"/>
                <w:b/>
                <w:bCs/>
                <w:i/>
                <w:iCs/>
                <w:color w:val="000000"/>
                <w:sz w:val="18"/>
                <w:szCs w:val="18"/>
                <w:lang w:eastAsia="pl-PL"/>
              </w:rPr>
              <w:t xml:space="preserve">Zidentyfikowana przyczyna problemu </w:t>
            </w:r>
          </w:p>
        </w:tc>
        <w:tc>
          <w:tcPr>
            <w:tcW w:w="861" w:type="pct"/>
            <w:gridSpan w:val="2"/>
            <w:tcBorders>
              <w:top w:val="single" w:sz="4" w:space="0" w:color="auto"/>
              <w:left w:val="nil"/>
              <w:bottom w:val="single" w:sz="4" w:space="0" w:color="auto"/>
              <w:right w:val="single" w:sz="4" w:space="0" w:color="auto"/>
            </w:tcBorders>
            <w:shd w:val="clear" w:color="000000" w:fill="FFFFFF"/>
            <w:vAlign w:val="center"/>
            <w:hideMark/>
          </w:tcPr>
          <w:p w14:paraId="0A4BA889" w14:textId="77777777"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Przedsięwzięcie</w:t>
            </w:r>
          </w:p>
        </w:tc>
        <w:tc>
          <w:tcPr>
            <w:tcW w:w="647" w:type="pct"/>
            <w:tcBorders>
              <w:top w:val="nil"/>
              <w:left w:val="nil"/>
              <w:bottom w:val="single" w:sz="4" w:space="0" w:color="auto"/>
              <w:right w:val="single" w:sz="4" w:space="0" w:color="auto"/>
            </w:tcBorders>
            <w:shd w:val="clear" w:color="000000" w:fill="FFFFFF"/>
            <w:vAlign w:val="center"/>
            <w:hideMark/>
          </w:tcPr>
          <w:p w14:paraId="138D444C" w14:textId="77777777"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Możliwy zakres wsparcia</w:t>
            </w:r>
          </w:p>
        </w:tc>
        <w:tc>
          <w:tcPr>
            <w:tcW w:w="930" w:type="pct"/>
            <w:tcBorders>
              <w:top w:val="nil"/>
              <w:left w:val="nil"/>
              <w:bottom w:val="single" w:sz="4" w:space="0" w:color="auto"/>
              <w:right w:val="single" w:sz="4" w:space="0" w:color="auto"/>
            </w:tcBorders>
            <w:shd w:val="clear" w:color="000000" w:fill="FFFFFF"/>
            <w:vAlign w:val="center"/>
            <w:hideMark/>
          </w:tcPr>
          <w:p w14:paraId="2D81D7C0" w14:textId="01D85F85"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 xml:space="preserve">Zakres wsparcia </w:t>
            </w:r>
            <w:r w:rsidR="00BC6F5F">
              <w:rPr>
                <w:rFonts w:ascii="Times New Roman" w:eastAsia="Times New Roman" w:hAnsi="Times New Roman" w:cs="Times New Roman"/>
                <w:b/>
                <w:bCs/>
                <w:color w:val="000000"/>
                <w:sz w:val="18"/>
                <w:szCs w:val="18"/>
                <w:lang w:eastAsia="pl-PL"/>
              </w:rPr>
              <w:br/>
            </w:r>
            <w:r w:rsidRPr="00E860C3">
              <w:rPr>
                <w:rFonts w:ascii="Times New Roman" w:eastAsia="Times New Roman" w:hAnsi="Times New Roman" w:cs="Times New Roman"/>
                <w:b/>
                <w:bCs/>
                <w:color w:val="000000"/>
                <w:sz w:val="18"/>
                <w:szCs w:val="18"/>
                <w:lang w:eastAsia="pl-PL"/>
              </w:rPr>
              <w:t>z WPR / charakter</w:t>
            </w:r>
          </w:p>
        </w:tc>
        <w:tc>
          <w:tcPr>
            <w:tcW w:w="271" w:type="pct"/>
            <w:tcBorders>
              <w:top w:val="nil"/>
              <w:left w:val="nil"/>
              <w:bottom w:val="single" w:sz="4" w:space="0" w:color="auto"/>
              <w:right w:val="single" w:sz="4" w:space="0" w:color="auto"/>
            </w:tcBorders>
            <w:shd w:val="clear" w:color="000000" w:fill="FFFFFF"/>
            <w:vAlign w:val="center"/>
            <w:hideMark/>
          </w:tcPr>
          <w:p w14:paraId="693EA6CE" w14:textId="00B73B3C"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Poziom dofinansowania</w:t>
            </w:r>
          </w:p>
        </w:tc>
        <w:tc>
          <w:tcPr>
            <w:tcW w:w="445" w:type="pct"/>
            <w:tcBorders>
              <w:top w:val="nil"/>
              <w:left w:val="nil"/>
              <w:bottom w:val="single" w:sz="4" w:space="0" w:color="auto"/>
              <w:right w:val="single" w:sz="4" w:space="0" w:color="auto"/>
            </w:tcBorders>
            <w:shd w:val="clear" w:color="000000" w:fill="FFFFFF"/>
            <w:vAlign w:val="center"/>
            <w:hideMark/>
          </w:tcPr>
          <w:p w14:paraId="239226AC" w14:textId="77777777"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Możliwy Wnioskodawca</w:t>
            </w:r>
          </w:p>
        </w:tc>
        <w:tc>
          <w:tcPr>
            <w:tcW w:w="407" w:type="pct"/>
            <w:tcBorders>
              <w:top w:val="nil"/>
              <w:left w:val="nil"/>
              <w:bottom w:val="single" w:sz="4" w:space="0" w:color="auto"/>
              <w:right w:val="single" w:sz="4" w:space="0" w:color="auto"/>
            </w:tcBorders>
            <w:shd w:val="clear" w:color="000000" w:fill="FFFFFF"/>
            <w:vAlign w:val="center"/>
            <w:hideMark/>
          </w:tcPr>
          <w:p w14:paraId="38E2554C" w14:textId="77777777"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Grupy docelowe</w:t>
            </w:r>
          </w:p>
        </w:tc>
        <w:tc>
          <w:tcPr>
            <w:tcW w:w="334" w:type="pct"/>
            <w:tcBorders>
              <w:top w:val="nil"/>
              <w:left w:val="nil"/>
              <w:bottom w:val="single" w:sz="4" w:space="0" w:color="auto"/>
              <w:right w:val="single" w:sz="4" w:space="0" w:color="auto"/>
            </w:tcBorders>
            <w:shd w:val="clear" w:color="000000" w:fill="FFFFFF"/>
            <w:vAlign w:val="center"/>
            <w:hideMark/>
          </w:tcPr>
          <w:p w14:paraId="5DEF2304" w14:textId="77777777"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Sposób realizacji</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3A1F4B90" w14:textId="77777777"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Budżet w ramach WPR [euro]</w:t>
            </w:r>
          </w:p>
        </w:tc>
      </w:tr>
      <w:tr w:rsidR="00CE2EDC" w:rsidRPr="00CB33D8" w14:paraId="0905223F" w14:textId="77777777" w:rsidTr="00CE2EDC">
        <w:trPr>
          <w:gridAfter w:val="2"/>
          <w:wAfter w:w="19" w:type="pct"/>
          <w:trHeight w:val="1575"/>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419AC837" w14:textId="1CDB1514"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 xml:space="preserve">Braki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w infrastrukturze publicznej</w:t>
            </w:r>
          </w:p>
        </w:tc>
        <w:tc>
          <w:tcPr>
            <w:tcW w:w="177" w:type="pct"/>
            <w:tcBorders>
              <w:top w:val="nil"/>
              <w:left w:val="nil"/>
              <w:bottom w:val="single" w:sz="4" w:space="0" w:color="auto"/>
              <w:right w:val="single" w:sz="4" w:space="0" w:color="auto"/>
            </w:tcBorders>
            <w:shd w:val="clear" w:color="000000" w:fill="FFFFFF"/>
            <w:vAlign w:val="center"/>
            <w:hideMark/>
          </w:tcPr>
          <w:p w14:paraId="69FFC117"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w:t>
            </w:r>
          </w:p>
        </w:tc>
        <w:tc>
          <w:tcPr>
            <w:tcW w:w="684" w:type="pct"/>
            <w:tcBorders>
              <w:top w:val="nil"/>
              <w:left w:val="nil"/>
              <w:bottom w:val="single" w:sz="4" w:space="0" w:color="auto"/>
              <w:right w:val="single" w:sz="4" w:space="0" w:color="auto"/>
            </w:tcBorders>
            <w:shd w:val="clear" w:color="000000" w:fill="FFFFFF"/>
            <w:vAlign w:val="center"/>
            <w:hideMark/>
          </w:tcPr>
          <w:p w14:paraId="139F8AC4" w14:textId="6A372A59"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Ogólnodostępna infrastruktura publiczna rekreacyjna i sportowa dostosowana do potrzeb osób z niepełnosprawnościami</w:t>
            </w:r>
          </w:p>
        </w:tc>
        <w:tc>
          <w:tcPr>
            <w:tcW w:w="647" w:type="pct"/>
            <w:tcBorders>
              <w:top w:val="nil"/>
              <w:left w:val="nil"/>
              <w:bottom w:val="single" w:sz="4" w:space="0" w:color="auto"/>
              <w:right w:val="single" w:sz="4" w:space="0" w:color="auto"/>
            </w:tcBorders>
            <w:shd w:val="clear" w:color="000000" w:fill="FFFFFF"/>
            <w:vAlign w:val="center"/>
            <w:hideMark/>
          </w:tcPr>
          <w:p w14:paraId="6A9B3AE5" w14:textId="6865258A"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Doposażenie instytucji kultury, budowa </w:t>
            </w:r>
            <w:r w:rsidR="0015230F" w:rsidRP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 xml:space="preserve">i rozbudowa infrastruktury publicznej </w:t>
            </w:r>
          </w:p>
        </w:tc>
        <w:tc>
          <w:tcPr>
            <w:tcW w:w="930" w:type="pct"/>
            <w:tcBorders>
              <w:top w:val="nil"/>
              <w:left w:val="nil"/>
              <w:bottom w:val="single" w:sz="4" w:space="0" w:color="auto"/>
              <w:right w:val="single" w:sz="4" w:space="0" w:color="auto"/>
            </w:tcBorders>
            <w:shd w:val="clear" w:color="000000" w:fill="FFFFFF"/>
            <w:vAlign w:val="center"/>
            <w:hideMark/>
          </w:tcPr>
          <w:p w14:paraId="602F5E26" w14:textId="616079D0"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6.</w:t>
            </w:r>
            <w:r w:rsidR="00811783">
              <w:rPr>
                <w:rFonts w:ascii="Times New Roman" w:eastAsia="Times New Roman" w:hAnsi="Times New Roman" w:cs="Times New Roman"/>
                <w:color w:val="000000"/>
                <w:sz w:val="18"/>
                <w:szCs w:val="18"/>
                <w:lang w:eastAsia="pl-PL"/>
              </w:rPr>
              <w:t xml:space="preserve"> P</w:t>
            </w:r>
            <w:r w:rsidRPr="00E860C3">
              <w:rPr>
                <w:rFonts w:ascii="Times New Roman" w:eastAsia="Times New Roman" w:hAnsi="Times New Roman" w:cs="Times New Roman"/>
                <w:color w:val="000000"/>
                <w:sz w:val="18"/>
                <w:szCs w:val="18"/>
                <w:lang w:eastAsia="pl-PL"/>
              </w:rPr>
              <w:t>oprawa dostępu do małej infrastruktury publicznej; inwestycyjny</w:t>
            </w:r>
          </w:p>
        </w:tc>
        <w:tc>
          <w:tcPr>
            <w:tcW w:w="271" w:type="pct"/>
            <w:tcBorders>
              <w:top w:val="nil"/>
              <w:left w:val="nil"/>
              <w:bottom w:val="single" w:sz="4" w:space="0" w:color="auto"/>
              <w:right w:val="single" w:sz="4" w:space="0" w:color="auto"/>
            </w:tcBorders>
            <w:shd w:val="clear" w:color="000000" w:fill="FFFFFF"/>
            <w:vAlign w:val="center"/>
            <w:hideMark/>
          </w:tcPr>
          <w:p w14:paraId="143BB46B"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do 75%</w:t>
            </w:r>
          </w:p>
        </w:tc>
        <w:tc>
          <w:tcPr>
            <w:tcW w:w="445" w:type="pct"/>
            <w:tcBorders>
              <w:top w:val="nil"/>
              <w:left w:val="nil"/>
              <w:bottom w:val="single" w:sz="4" w:space="0" w:color="auto"/>
              <w:right w:val="single" w:sz="4" w:space="0" w:color="auto"/>
            </w:tcBorders>
            <w:shd w:val="clear" w:color="000000" w:fill="FFFFFF"/>
            <w:vAlign w:val="center"/>
            <w:hideMark/>
          </w:tcPr>
          <w:p w14:paraId="518533D4"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JSFP</w:t>
            </w:r>
          </w:p>
        </w:tc>
        <w:tc>
          <w:tcPr>
            <w:tcW w:w="407" w:type="pct"/>
            <w:tcBorders>
              <w:top w:val="nil"/>
              <w:left w:val="nil"/>
              <w:bottom w:val="single" w:sz="4" w:space="0" w:color="auto"/>
              <w:right w:val="single" w:sz="4" w:space="0" w:color="auto"/>
            </w:tcBorders>
            <w:shd w:val="clear" w:color="000000" w:fill="FFFFFF"/>
            <w:vAlign w:val="center"/>
            <w:hideMark/>
          </w:tcPr>
          <w:p w14:paraId="7E222660" w14:textId="0D4FA7B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Mieszkańcy, osoby </w:t>
            </w:r>
            <w:r w:rsidR="00E36C64" w:rsidRP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 xml:space="preserve">z niepełnosprawnościami </w:t>
            </w:r>
            <w:r w:rsidR="0081178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ich opiekunowie</w:t>
            </w:r>
          </w:p>
        </w:tc>
        <w:tc>
          <w:tcPr>
            <w:tcW w:w="334" w:type="pct"/>
            <w:tcBorders>
              <w:top w:val="nil"/>
              <w:left w:val="nil"/>
              <w:bottom w:val="single" w:sz="4" w:space="0" w:color="auto"/>
              <w:right w:val="single" w:sz="4" w:space="0" w:color="auto"/>
            </w:tcBorders>
            <w:shd w:val="clear" w:color="000000" w:fill="FFFFFF"/>
            <w:vAlign w:val="center"/>
            <w:hideMark/>
          </w:tcPr>
          <w:p w14:paraId="7F273352"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Projekty wnioskodawców innych niż LGD</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1DE8DA23" w14:textId="77777777"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€ 1 200 000 </w:t>
            </w:r>
          </w:p>
        </w:tc>
      </w:tr>
      <w:tr w:rsidR="00CE2EDC" w:rsidRPr="00CB33D8" w14:paraId="34563908" w14:textId="77777777" w:rsidTr="00CE2EDC">
        <w:trPr>
          <w:gridAfter w:val="2"/>
          <w:wAfter w:w="19" w:type="pct"/>
          <w:trHeight w:val="908"/>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24FF80D6" w14:textId="1BC453F8"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 xml:space="preserve">Niewystarczająca oferta rozwoju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 xml:space="preserve">i zagospodarowania czasu wolnego </w:t>
            </w:r>
          </w:p>
        </w:tc>
        <w:tc>
          <w:tcPr>
            <w:tcW w:w="177" w:type="pct"/>
            <w:tcBorders>
              <w:top w:val="nil"/>
              <w:left w:val="nil"/>
              <w:bottom w:val="single" w:sz="4" w:space="0" w:color="auto"/>
              <w:right w:val="single" w:sz="4" w:space="0" w:color="auto"/>
            </w:tcBorders>
            <w:shd w:val="clear" w:color="000000" w:fill="FFFFFF"/>
            <w:vAlign w:val="center"/>
            <w:hideMark/>
          </w:tcPr>
          <w:p w14:paraId="78FE6330"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1.2</w:t>
            </w:r>
          </w:p>
        </w:tc>
        <w:tc>
          <w:tcPr>
            <w:tcW w:w="684" w:type="pct"/>
            <w:tcBorders>
              <w:top w:val="nil"/>
              <w:left w:val="nil"/>
              <w:bottom w:val="single" w:sz="4" w:space="0" w:color="auto"/>
              <w:right w:val="single" w:sz="4" w:space="0" w:color="auto"/>
            </w:tcBorders>
            <w:shd w:val="clear" w:color="000000" w:fill="FFFFFF"/>
            <w:vAlign w:val="center"/>
            <w:hideMark/>
          </w:tcPr>
          <w:p w14:paraId="52301349" w14:textId="4893C7CF"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Rozwój pasji </w:t>
            </w:r>
            <w:r w:rsidR="0015230F" w:rsidRP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talentów</w:t>
            </w:r>
          </w:p>
        </w:tc>
        <w:tc>
          <w:tcPr>
            <w:tcW w:w="647" w:type="pct"/>
            <w:tcBorders>
              <w:top w:val="nil"/>
              <w:left w:val="nil"/>
              <w:bottom w:val="single" w:sz="4" w:space="0" w:color="auto"/>
              <w:right w:val="single" w:sz="4" w:space="0" w:color="auto"/>
            </w:tcBorders>
            <w:shd w:val="clear" w:color="000000" w:fill="FFFFFF"/>
            <w:vAlign w:val="center"/>
            <w:hideMark/>
          </w:tcPr>
          <w:p w14:paraId="1960B243" w14:textId="4D2E06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2DA3668B" w14:textId="79BADE44"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8.</w:t>
            </w:r>
            <w:r w:rsidR="00811783">
              <w:rPr>
                <w:rFonts w:ascii="Times New Roman" w:eastAsia="Times New Roman" w:hAnsi="Times New Roman" w:cs="Times New Roman"/>
                <w:color w:val="000000"/>
                <w:sz w:val="18"/>
                <w:szCs w:val="18"/>
                <w:lang w:eastAsia="pl-PL"/>
              </w:rPr>
              <w:t xml:space="preserve"> W</w:t>
            </w:r>
            <w:r w:rsidRPr="00E860C3">
              <w:rPr>
                <w:rFonts w:ascii="Times New Roman" w:eastAsia="Times New Roman" w:hAnsi="Times New Roman" w:cs="Times New Roman"/>
                <w:color w:val="000000"/>
                <w:sz w:val="18"/>
                <w:szCs w:val="18"/>
                <w:lang w:eastAsia="pl-PL"/>
              </w:rPr>
              <w:t xml:space="preserve">łączenie społeczne seniorów, ludzi młodych i osób </w:t>
            </w:r>
            <w:r w:rsidR="00E36C64" w:rsidRP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w niekorzystnej sytuacji; nieinwestycyjny</w:t>
            </w:r>
          </w:p>
        </w:tc>
        <w:tc>
          <w:tcPr>
            <w:tcW w:w="271" w:type="pct"/>
            <w:tcBorders>
              <w:top w:val="nil"/>
              <w:left w:val="nil"/>
              <w:bottom w:val="single" w:sz="4" w:space="0" w:color="auto"/>
              <w:right w:val="single" w:sz="4" w:space="0" w:color="auto"/>
            </w:tcBorders>
            <w:shd w:val="clear" w:color="000000" w:fill="FFFFFF"/>
            <w:vAlign w:val="center"/>
            <w:hideMark/>
          </w:tcPr>
          <w:p w14:paraId="70A1B0CB"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060854D6"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w:t>
            </w:r>
          </w:p>
        </w:tc>
        <w:tc>
          <w:tcPr>
            <w:tcW w:w="407" w:type="pct"/>
            <w:tcBorders>
              <w:top w:val="nil"/>
              <w:left w:val="nil"/>
              <w:bottom w:val="single" w:sz="4" w:space="0" w:color="auto"/>
              <w:right w:val="single" w:sz="4" w:space="0" w:color="auto"/>
            </w:tcBorders>
            <w:shd w:val="clear" w:color="000000" w:fill="FFFFFF"/>
            <w:vAlign w:val="center"/>
            <w:hideMark/>
          </w:tcPr>
          <w:p w14:paraId="08AB373D" w14:textId="330380F4"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do 25</w:t>
            </w:r>
            <w:r w:rsidR="00811783">
              <w:rPr>
                <w:rFonts w:ascii="Times New Roman" w:eastAsia="Times New Roman" w:hAnsi="Times New Roman" w:cs="Times New Roman"/>
                <w:color w:val="000000"/>
                <w:sz w:val="18"/>
                <w:szCs w:val="18"/>
                <w:lang w:eastAsia="pl-PL"/>
              </w:rPr>
              <w:t>.</w:t>
            </w:r>
            <w:r w:rsidRPr="00E860C3">
              <w:rPr>
                <w:rFonts w:ascii="Times New Roman" w:eastAsia="Times New Roman" w:hAnsi="Times New Roman" w:cs="Times New Roman"/>
                <w:color w:val="000000"/>
                <w:sz w:val="18"/>
                <w:szCs w:val="18"/>
                <w:lang w:eastAsia="pl-PL"/>
              </w:rPr>
              <w:t xml:space="preserve"> roku życia</w:t>
            </w:r>
          </w:p>
        </w:tc>
        <w:tc>
          <w:tcPr>
            <w:tcW w:w="334" w:type="pct"/>
            <w:tcBorders>
              <w:top w:val="nil"/>
              <w:left w:val="nil"/>
              <w:bottom w:val="single" w:sz="4" w:space="0" w:color="auto"/>
              <w:right w:val="single" w:sz="4" w:space="0" w:color="auto"/>
            </w:tcBorders>
            <w:shd w:val="clear" w:color="000000" w:fill="FFFFFF"/>
            <w:vAlign w:val="center"/>
            <w:hideMark/>
          </w:tcPr>
          <w:p w14:paraId="2B72DA0E"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70241C15" w14:textId="563082A4"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r>
      <w:tr w:rsidR="00CE2EDC" w:rsidRPr="00CB33D8" w14:paraId="6B6CA51A" w14:textId="77777777" w:rsidTr="00CE2EDC">
        <w:trPr>
          <w:gridAfter w:val="2"/>
          <w:wAfter w:w="19" w:type="pct"/>
          <w:trHeight w:val="836"/>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6AD6B4DB" w14:textId="55D6114E"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 xml:space="preserve">Niewystarczająca oferta rozwoju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 xml:space="preserve">i zagospodarowania czasu wolnego </w:t>
            </w:r>
          </w:p>
        </w:tc>
        <w:tc>
          <w:tcPr>
            <w:tcW w:w="177" w:type="pct"/>
            <w:tcBorders>
              <w:top w:val="nil"/>
              <w:left w:val="nil"/>
              <w:bottom w:val="single" w:sz="4" w:space="0" w:color="auto"/>
              <w:right w:val="single" w:sz="4" w:space="0" w:color="auto"/>
            </w:tcBorders>
            <w:shd w:val="clear" w:color="000000" w:fill="FFFFFF"/>
            <w:vAlign w:val="center"/>
            <w:hideMark/>
          </w:tcPr>
          <w:p w14:paraId="49E5244D"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1.3</w:t>
            </w:r>
          </w:p>
        </w:tc>
        <w:tc>
          <w:tcPr>
            <w:tcW w:w="684" w:type="pct"/>
            <w:tcBorders>
              <w:top w:val="nil"/>
              <w:left w:val="nil"/>
              <w:bottom w:val="single" w:sz="4" w:space="0" w:color="auto"/>
              <w:right w:val="single" w:sz="4" w:space="0" w:color="auto"/>
            </w:tcBorders>
            <w:shd w:val="clear" w:color="000000" w:fill="FFFFFF"/>
            <w:vAlign w:val="center"/>
            <w:hideMark/>
          </w:tcPr>
          <w:p w14:paraId="76AE89CB" w14:textId="1F7F018D"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Integracja oraz wykorzystanie cyfryzacji w życiu codziennym </w:t>
            </w:r>
            <w:r w:rsid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rozwoju</w:t>
            </w:r>
          </w:p>
        </w:tc>
        <w:tc>
          <w:tcPr>
            <w:tcW w:w="647" w:type="pct"/>
            <w:tcBorders>
              <w:top w:val="nil"/>
              <w:left w:val="nil"/>
              <w:bottom w:val="single" w:sz="4" w:space="0" w:color="auto"/>
              <w:right w:val="single" w:sz="4" w:space="0" w:color="auto"/>
            </w:tcBorders>
            <w:shd w:val="clear" w:color="000000" w:fill="FFFFFF"/>
            <w:vAlign w:val="center"/>
            <w:hideMark/>
          </w:tcPr>
          <w:p w14:paraId="20E91933" w14:textId="10EDCB25"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29787519" w14:textId="0D970869"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8.</w:t>
            </w:r>
            <w:r w:rsidR="00811783">
              <w:rPr>
                <w:rFonts w:ascii="Times New Roman" w:eastAsia="Times New Roman" w:hAnsi="Times New Roman" w:cs="Times New Roman"/>
                <w:color w:val="000000"/>
                <w:sz w:val="18"/>
                <w:szCs w:val="18"/>
                <w:lang w:eastAsia="pl-PL"/>
              </w:rPr>
              <w:t xml:space="preserve"> W</w:t>
            </w:r>
            <w:r w:rsidRPr="00E860C3">
              <w:rPr>
                <w:rFonts w:ascii="Times New Roman" w:eastAsia="Times New Roman" w:hAnsi="Times New Roman" w:cs="Times New Roman"/>
                <w:color w:val="000000"/>
                <w:sz w:val="18"/>
                <w:szCs w:val="18"/>
                <w:lang w:eastAsia="pl-PL"/>
              </w:rPr>
              <w:t xml:space="preserve">łączenie społeczne seniorów, ludzi młodych i osób </w:t>
            </w:r>
            <w:r w:rsidR="00E36C64" w:rsidRP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w niekorzystnej sytuacji; nieinwestycyjny</w:t>
            </w:r>
          </w:p>
        </w:tc>
        <w:tc>
          <w:tcPr>
            <w:tcW w:w="271" w:type="pct"/>
            <w:tcBorders>
              <w:top w:val="nil"/>
              <w:left w:val="nil"/>
              <w:bottom w:val="single" w:sz="4" w:space="0" w:color="auto"/>
              <w:right w:val="single" w:sz="4" w:space="0" w:color="auto"/>
            </w:tcBorders>
            <w:shd w:val="clear" w:color="000000" w:fill="FFFFFF"/>
            <w:vAlign w:val="center"/>
            <w:hideMark/>
          </w:tcPr>
          <w:p w14:paraId="0D310312"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2C4F8BDA"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w:t>
            </w:r>
          </w:p>
        </w:tc>
        <w:tc>
          <w:tcPr>
            <w:tcW w:w="407" w:type="pct"/>
            <w:tcBorders>
              <w:top w:val="nil"/>
              <w:left w:val="nil"/>
              <w:bottom w:val="single" w:sz="4" w:space="0" w:color="auto"/>
              <w:right w:val="single" w:sz="4" w:space="0" w:color="auto"/>
            </w:tcBorders>
            <w:shd w:val="clear" w:color="000000" w:fill="FFFFFF"/>
            <w:vAlign w:val="center"/>
            <w:hideMark/>
          </w:tcPr>
          <w:p w14:paraId="02B4FA86" w14:textId="762A5FEF"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powyżej 60</w:t>
            </w:r>
            <w:r w:rsidR="00811783">
              <w:rPr>
                <w:rFonts w:ascii="Times New Roman" w:eastAsia="Times New Roman" w:hAnsi="Times New Roman" w:cs="Times New Roman"/>
                <w:color w:val="000000"/>
                <w:sz w:val="18"/>
                <w:szCs w:val="18"/>
                <w:lang w:eastAsia="pl-PL"/>
              </w:rPr>
              <w:t>.</w:t>
            </w:r>
            <w:r w:rsidRPr="00E860C3">
              <w:rPr>
                <w:rFonts w:ascii="Times New Roman" w:eastAsia="Times New Roman" w:hAnsi="Times New Roman" w:cs="Times New Roman"/>
                <w:color w:val="000000"/>
                <w:sz w:val="18"/>
                <w:szCs w:val="18"/>
                <w:lang w:eastAsia="pl-PL"/>
              </w:rPr>
              <w:t xml:space="preserve"> </w:t>
            </w:r>
            <w:r w:rsidR="00811783">
              <w:rPr>
                <w:rFonts w:ascii="Times New Roman" w:eastAsia="Times New Roman" w:hAnsi="Times New Roman" w:cs="Times New Roman"/>
                <w:color w:val="000000"/>
                <w:sz w:val="18"/>
                <w:szCs w:val="18"/>
                <w:lang w:eastAsia="pl-PL"/>
              </w:rPr>
              <w:t>r</w:t>
            </w:r>
            <w:r w:rsidRPr="00E860C3">
              <w:rPr>
                <w:rFonts w:ascii="Times New Roman" w:eastAsia="Times New Roman" w:hAnsi="Times New Roman" w:cs="Times New Roman"/>
                <w:color w:val="000000"/>
                <w:sz w:val="18"/>
                <w:szCs w:val="18"/>
                <w:lang w:eastAsia="pl-PL"/>
              </w:rPr>
              <w:t>oku życia</w:t>
            </w:r>
          </w:p>
        </w:tc>
        <w:tc>
          <w:tcPr>
            <w:tcW w:w="334" w:type="pct"/>
            <w:tcBorders>
              <w:top w:val="nil"/>
              <w:left w:val="nil"/>
              <w:bottom w:val="single" w:sz="4" w:space="0" w:color="auto"/>
              <w:right w:val="single" w:sz="4" w:space="0" w:color="auto"/>
            </w:tcBorders>
            <w:shd w:val="clear" w:color="000000" w:fill="FFFFFF"/>
            <w:vAlign w:val="center"/>
            <w:hideMark/>
          </w:tcPr>
          <w:p w14:paraId="73FB8F5D"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14B7D4D5" w14:textId="1E10BAC0"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r>
      <w:tr w:rsidR="00CE2EDC" w:rsidRPr="00CB33D8" w14:paraId="2132FFD2" w14:textId="77777777" w:rsidTr="00CE2EDC">
        <w:trPr>
          <w:gridAfter w:val="2"/>
          <w:wAfter w:w="19" w:type="pct"/>
          <w:trHeight w:val="1125"/>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4206B95A" w14:textId="1062D0BB"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 xml:space="preserve">Niewystarczająca oferta rozwoju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 xml:space="preserve">i zagospodarowania czasu wolnego </w:t>
            </w:r>
          </w:p>
        </w:tc>
        <w:tc>
          <w:tcPr>
            <w:tcW w:w="177" w:type="pct"/>
            <w:tcBorders>
              <w:top w:val="nil"/>
              <w:left w:val="nil"/>
              <w:bottom w:val="single" w:sz="4" w:space="0" w:color="auto"/>
              <w:right w:val="single" w:sz="4" w:space="0" w:color="auto"/>
            </w:tcBorders>
            <w:shd w:val="clear" w:color="000000" w:fill="FFFFFF"/>
            <w:vAlign w:val="center"/>
            <w:hideMark/>
          </w:tcPr>
          <w:p w14:paraId="1701828C"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1.4</w:t>
            </w:r>
          </w:p>
        </w:tc>
        <w:tc>
          <w:tcPr>
            <w:tcW w:w="684" w:type="pct"/>
            <w:tcBorders>
              <w:top w:val="nil"/>
              <w:left w:val="nil"/>
              <w:bottom w:val="single" w:sz="4" w:space="0" w:color="auto"/>
              <w:right w:val="single" w:sz="4" w:space="0" w:color="auto"/>
            </w:tcBorders>
            <w:shd w:val="clear" w:color="000000" w:fill="FFFFFF"/>
            <w:vAlign w:val="center"/>
            <w:hideMark/>
          </w:tcPr>
          <w:p w14:paraId="2FF9E7F6" w14:textId="578FF416"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Kształtowanie zdrowego </w:t>
            </w:r>
            <w:r w:rsidR="0015230F" w:rsidRP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 xml:space="preserve">i aktywnego trybu życia mieszkańców </w:t>
            </w:r>
          </w:p>
        </w:tc>
        <w:tc>
          <w:tcPr>
            <w:tcW w:w="647" w:type="pct"/>
            <w:tcBorders>
              <w:top w:val="nil"/>
              <w:left w:val="nil"/>
              <w:bottom w:val="single" w:sz="4" w:space="0" w:color="auto"/>
              <w:right w:val="single" w:sz="4" w:space="0" w:color="auto"/>
            </w:tcBorders>
            <w:shd w:val="clear" w:color="000000" w:fill="FFFFFF"/>
            <w:vAlign w:val="center"/>
            <w:hideMark/>
          </w:tcPr>
          <w:p w14:paraId="21449D90"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605D64F1" w14:textId="52AF5214" w:rsidR="00CB33D8" w:rsidRPr="00E860C3" w:rsidRDefault="0015230F"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4</w:t>
            </w:r>
            <w:r w:rsidR="00CB33D8" w:rsidRPr="00E860C3">
              <w:rPr>
                <w:rFonts w:ascii="Times New Roman" w:eastAsia="Times New Roman" w:hAnsi="Times New Roman" w:cs="Times New Roman"/>
                <w:color w:val="000000"/>
                <w:sz w:val="18"/>
                <w:szCs w:val="18"/>
                <w:lang w:eastAsia="pl-PL"/>
              </w:rPr>
              <w:t>.</w:t>
            </w:r>
            <w:r w:rsidR="00811783">
              <w:rPr>
                <w:rFonts w:ascii="Times New Roman" w:eastAsia="Times New Roman" w:hAnsi="Times New Roman" w:cs="Times New Roman"/>
                <w:color w:val="000000"/>
                <w:sz w:val="18"/>
                <w:szCs w:val="18"/>
                <w:lang w:eastAsia="pl-PL"/>
              </w:rPr>
              <w:t xml:space="preserve"> P</w:t>
            </w:r>
            <w:r w:rsidR="00CB33D8" w:rsidRPr="00E860C3">
              <w:rPr>
                <w:rFonts w:ascii="Times New Roman" w:eastAsia="Times New Roman" w:hAnsi="Times New Roman" w:cs="Times New Roman"/>
                <w:color w:val="000000"/>
                <w:sz w:val="18"/>
                <w:szCs w:val="18"/>
                <w:lang w:eastAsia="pl-PL"/>
              </w:rPr>
              <w:t xml:space="preserve">oprawa dostępu do usług dla lokalnych społeczności, </w:t>
            </w:r>
            <w:r w:rsidR="00CB33D8" w:rsidRPr="00E860C3">
              <w:rPr>
                <w:rFonts w:ascii="Times New Roman" w:eastAsia="Times New Roman" w:hAnsi="Times New Roman" w:cs="Times New Roman"/>
                <w:color w:val="000000"/>
                <w:sz w:val="18"/>
                <w:szCs w:val="18"/>
                <w:lang w:eastAsia="pl-PL"/>
              </w:rPr>
              <w:br/>
              <w:t>z wyłączeniem inwestycji infrastrukturalnych; nieinwestycyjny</w:t>
            </w:r>
          </w:p>
        </w:tc>
        <w:tc>
          <w:tcPr>
            <w:tcW w:w="271" w:type="pct"/>
            <w:tcBorders>
              <w:top w:val="nil"/>
              <w:left w:val="nil"/>
              <w:bottom w:val="single" w:sz="4" w:space="0" w:color="auto"/>
              <w:right w:val="single" w:sz="4" w:space="0" w:color="auto"/>
            </w:tcBorders>
            <w:shd w:val="clear" w:color="000000" w:fill="FFFFFF"/>
            <w:vAlign w:val="center"/>
            <w:hideMark/>
          </w:tcPr>
          <w:p w14:paraId="79F66443"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7C71620F"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w:t>
            </w:r>
          </w:p>
        </w:tc>
        <w:tc>
          <w:tcPr>
            <w:tcW w:w="407" w:type="pct"/>
            <w:tcBorders>
              <w:top w:val="nil"/>
              <w:left w:val="nil"/>
              <w:bottom w:val="single" w:sz="4" w:space="0" w:color="auto"/>
              <w:right w:val="single" w:sz="4" w:space="0" w:color="auto"/>
            </w:tcBorders>
            <w:shd w:val="clear" w:color="000000" w:fill="FFFFFF"/>
            <w:vAlign w:val="center"/>
            <w:hideMark/>
          </w:tcPr>
          <w:p w14:paraId="24CBE63E"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334" w:type="pct"/>
            <w:tcBorders>
              <w:top w:val="nil"/>
              <w:left w:val="nil"/>
              <w:bottom w:val="single" w:sz="4" w:space="0" w:color="auto"/>
              <w:right w:val="single" w:sz="4" w:space="0" w:color="auto"/>
            </w:tcBorders>
            <w:shd w:val="clear" w:color="000000" w:fill="FFFFFF"/>
            <w:vAlign w:val="center"/>
            <w:hideMark/>
          </w:tcPr>
          <w:p w14:paraId="3D4C97B0"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3E64197F" w14:textId="02D9242E"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€ 200 000 </w:t>
            </w:r>
          </w:p>
        </w:tc>
      </w:tr>
      <w:tr w:rsidR="00CE2EDC" w:rsidRPr="00CB33D8" w14:paraId="2294DE57" w14:textId="77777777" w:rsidTr="00CE2EDC">
        <w:trPr>
          <w:gridAfter w:val="2"/>
          <w:wAfter w:w="19" w:type="pct"/>
          <w:trHeight w:val="1410"/>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3C8CD73B" w14:textId="77777777"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Niska aktywność organizacji pozarządowych</w:t>
            </w:r>
          </w:p>
        </w:tc>
        <w:tc>
          <w:tcPr>
            <w:tcW w:w="177" w:type="pct"/>
            <w:tcBorders>
              <w:top w:val="nil"/>
              <w:left w:val="nil"/>
              <w:bottom w:val="single" w:sz="4" w:space="0" w:color="auto"/>
              <w:right w:val="single" w:sz="4" w:space="0" w:color="auto"/>
            </w:tcBorders>
            <w:shd w:val="clear" w:color="000000" w:fill="FFFFFF"/>
            <w:vAlign w:val="center"/>
            <w:hideMark/>
          </w:tcPr>
          <w:p w14:paraId="0229D844"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1.5</w:t>
            </w:r>
          </w:p>
        </w:tc>
        <w:tc>
          <w:tcPr>
            <w:tcW w:w="684" w:type="pct"/>
            <w:tcBorders>
              <w:top w:val="nil"/>
              <w:left w:val="nil"/>
              <w:bottom w:val="single" w:sz="4" w:space="0" w:color="auto"/>
              <w:right w:val="single" w:sz="4" w:space="0" w:color="auto"/>
            </w:tcBorders>
            <w:shd w:val="clear" w:color="000000" w:fill="FFFFFF"/>
            <w:vAlign w:val="center"/>
            <w:hideMark/>
          </w:tcPr>
          <w:p w14:paraId="1A5A5669"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Wzmocnienie potencjału organizacji pozarządowych</w:t>
            </w:r>
          </w:p>
        </w:tc>
        <w:tc>
          <w:tcPr>
            <w:tcW w:w="647" w:type="pct"/>
            <w:tcBorders>
              <w:top w:val="nil"/>
              <w:left w:val="nil"/>
              <w:bottom w:val="single" w:sz="4" w:space="0" w:color="auto"/>
              <w:right w:val="single" w:sz="4" w:space="0" w:color="auto"/>
            </w:tcBorders>
            <w:shd w:val="clear" w:color="000000" w:fill="FFFFFF"/>
            <w:vAlign w:val="center"/>
            <w:hideMark/>
          </w:tcPr>
          <w:p w14:paraId="16B1CC59" w14:textId="2AECA5A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3DF9206A" w14:textId="0871956F" w:rsidR="00CB33D8" w:rsidRPr="00E860C3" w:rsidRDefault="0015230F"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7. Kształtowanie świadomości obywatelskiej (…),</w:t>
            </w:r>
            <w:r w:rsidRPr="00E860C3">
              <w:rPr>
                <w:rFonts w:ascii="Times New Roman" w:eastAsia="Times New Roman" w:hAnsi="Times New Roman" w:cs="Times New Roman"/>
                <w:color w:val="000000"/>
                <w:sz w:val="18"/>
                <w:szCs w:val="18"/>
                <w:lang w:eastAsia="pl-PL"/>
              </w:rPr>
              <w:br/>
              <w:t xml:space="preserve"> a także wzmacnianie programów edukacji liderów życia publicznego i społecznego;</w:t>
            </w:r>
            <w:r w:rsidR="00CE2EDC">
              <w:rPr>
                <w:rFonts w:ascii="Times New Roman" w:eastAsia="Times New Roman" w:hAnsi="Times New Roman" w:cs="Times New Roman"/>
                <w:color w:val="000000"/>
                <w:sz w:val="18"/>
                <w:szCs w:val="18"/>
                <w:lang w:eastAsia="pl-PL"/>
              </w:rPr>
              <w:t xml:space="preserve"> </w:t>
            </w:r>
            <w:r w:rsidRPr="00E860C3">
              <w:rPr>
                <w:rFonts w:ascii="Times New Roman" w:eastAsia="Times New Roman" w:hAnsi="Times New Roman" w:cs="Times New Roman"/>
                <w:color w:val="000000"/>
                <w:sz w:val="18"/>
                <w:szCs w:val="18"/>
                <w:lang w:eastAsia="pl-PL"/>
              </w:rPr>
              <w:t>nieinwestycyjny</w:t>
            </w:r>
          </w:p>
        </w:tc>
        <w:tc>
          <w:tcPr>
            <w:tcW w:w="271" w:type="pct"/>
            <w:tcBorders>
              <w:top w:val="nil"/>
              <w:left w:val="nil"/>
              <w:bottom w:val="single" w:sz="4" w:space="0" w:color="auto"/>
              <w:right w:val="single" w:sz="4" w:space="0" w:color="auto"/>
            </w:tcBorders>
            <w:shd w:val="clear" w:color="000000" w:fill="FFFFFF"/>
            <w:vAlign w:val="center"/>
            <w:hideMark/>
          </w:tcPr>
          <w:p w14:paraId="195D512F"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2C004746"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w:t>
            </w:r>
          </w:p>
        </w:tc>
        <w:tc>
          <w:tcPr>
            <w:tcW w:w="407" w:type="pct"/>
            <w:tcBorders>
              <w:top w:val="nil"/>
              <w:left w:val="nil"/>
              <w:bottom w:val="single" w:sz="4" w:space="0" w:color="auto"/>
              <w:right w:val="single" w:sz="4" w:space="0" w:color="auto"/>
            </w:tcBorders>
            <w:shd w:val="clear" w:color="000000" w:fill="FFFFFF"/>
            <w:vAlign w:val="center"/>
            <w:hideMark/>
          </w:tcPr>
          <w:p w14:paraId="21BB220C"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organizacje pozarządowe</w:t>
            </w:r>
          </w:p>
        </w:tc>
        <w:tc>
          <w:tcPr>
            <w:tcW w:w="334" w:type="pct"/>
            <w:tcBorders>
              <w:top w:val="nil"/>
              <w:left w:val="nil"/>
              <w:bottom w:val="single" w:sz="4" w:space="0" w:color="auto"/>
              <w:right w:val="single" w:sz="4" w:space="0" w:color="auto"/>
            </w:tcBorders>
            <w:shd w:val="clear" w:color="000000" w:fill="FFFFFF"/>
            <w:vAlign w:val="center"/>
            <w:hideMark/>
          </w:tcPr>
          <w:p w14:paraId="2315E321"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19B72861" w14:textId="5F4DB6AD"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€ 200 000 </w:t>
            </w:r>
          </w:p>
        </w:tc>
      </w:tr>
      <w:tr w:rsidR="00CE2EDC" w:rsidRPr="00CB33D8" w14:paraId="14A6E328" w14:textId="77777777" w:rsidTr="00CE2EDC">
        <w:trPr>
          <w:gridAfter w:val="2"/>
          <w:wAfter w:w="19" w:type="pct"/>
          <w:trHeight w:val="1268"/>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442285EC" w14:textId="77777777"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lastRenderedPageBreak/>
              <w:t xml:space="preserve">Mała liczba innowacyjnych wydarzeń </w:t>
            </w:r>
          </w:p>
        </w:tc>
        <w:tc>
          <w:tcPr>
            <w:tcW w:w="177" w:type="pct"/>
            <w:tcBorders>
              <w:top w:val="nil"/>
              <w:left w:val="nil"/>
              <w:bottom w:val="single" w:sz="4" w:space="0" w:color="auto"/>
              <w:right w:val="single" w:sz="4" w:space="0" w:color="auto"/>
            </w:tcBorders>
            <w:shd w:val="clear" w:color="000000" w:fill="FFFFFF"/>
            <w:vAlign w:val="center"/>
            <w:hideMark/>
          </w:tcPr>
          <w:p w14:paraId="7B789229"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1.6</w:t>
            </w:r>
          </w:p>
        </w:tc>
        <w:tc>
          <w:tcPr>
            <w:tcW w:w="684" w:type="pct"/>
            <w:tcBorders>
              <w:top w:val="nil"/>
              <w:left w:val="nil"/>
              <w:bottom w:val="single" w:sz="4" w:space="0" w:color="auto"/>
              <w:right w:val="single" w:sz="4" w:space="0" w:color="auto"/>
            </w:tcBorders>
            <w:shd w:val="clear" w:color="000000" w:fill="FFFFFF"/>
            <w:vAlign w:val="center"/>
            <w:hideMark/>
          </w:tcPr>
          <w:p w14:paraId="5B8C3085" w14:textId="539BD015"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Wsparcie innowacyjnych inicjatyw oddolnych mieszkańców</w:t>
            </w:r>
          </w:p>
        </w:tc>
        <w:tc>
          <w:tcPr>
            <w:tcW w:w="647" w:type="pct"/>
            <w:tcBorders>
              <w:top w:val="nil"/>
              <w:left w:val="nil"/>
              <w:bottom w:val="single" w:sz="4" w:space="0" w:color="auto"/>
              <w:right w:val="single" w:sz="4" w:space="0" w:color="auto"/>
            </w:tcBorders>
            <w:shd w:val="clear" w:color="000000" w:fill="FFFFFF"/>
            <w:vAlign w:val="center"/>
            <w:hideMark/>
          </w:tcPr>
          <w:p w14:paraId="2C2E4173" w14:textId="1B8A9C5C"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0591982C" w14:textId="21667D0F" w:rsidR="00CB33D8" w:rsidRPr="00E860C3" w:rsidRDefault="0015230F"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7. Kształtowanie świadomości obywatelskiej (…),</w:t>
            </w:r>
            <w:r w:rsidR="00CE2EDC">
              <w:rPr>
                <w:rFonts w:ascii="Times New Roman" w:eastAsia="Times New Roman" w:hAnsi="Times New Roman" w:cs="Times New Roman"/>
                <w:color w:val="000000"/>
                <w:sz w:val="18"/>
                <w:szCs w:val="18"/>
                <w:lang w:eastAsia="pl-PL"/>
              </w:rPr>
              <w:t xml:space="preserve"> </w:t>
            </w:r>
            <w:r w:rsidRPr="00E860C3">
              <w:rPr>
                <w:rFonts w:ascii="Times New Roman" w:eastAsia="Times New Roman" w:hAnsi="Times New Roman" w:cs="Times New Roman"/>
                <w:color w:val="000000"/>
                <w:sz w:val="18"/>
                <w:szCs w:val="18"/>
                <w:lang w:eastAsia="pl-PL"/>
              </w:rPr>
              <w:t xml:space="preserve"> a także wzmacnianie programów edukacji liderów życia publicznego i społecznego;</w:t>
            </w:r>
            <w:r w:rsidR="00CE2EDC">
              <w:rPr>
                <w:rFonts w:ascii="Times New Roman" w:eastAsia="Times New Roman" w:hAnsi="Times New Roman" w:cs="Times New Roman"/>
                <w:color w:val="000000"/>
                <w:sz w:val="18"/>
                <w:szCs w:val="18"/>
                <w:lang w:eastAsia="pl-PL"/>
              </w:rPr>
              <w:t xml:space="preserve"> </w:t>
            </w:r>
            <w:r w:rsidRPr="00E860C3">
              <w:rPr>
                <w:rFonts w:ascii="Times New Roman" w:eastAsia="Times New Roman" w:hAnsi="Times New Roman" w:cs="Times New Roman"/>
                <w:color w:val="000000"/>
                <w:sz w:val="18"/>
                <w:szCs w:val="18"/>
                <w:lang w:eastAsia="pl-PL"/>
              </w:rPr>
              <w:t xml:space="preserve">nieinwestycyjny </w:t>
            </w:r>
          </w:p>
        </w:tc>
        <w:tc>
          <w:tcPr>
            <w:tcW w:w="271" w:type="pct"/>
            <w:tcBorders>
              <w:top w:val="nil"/>
              <w:left w:val="nil"/>
              <w:bottom w:val="single" w:sz="4" w:space="0" w:color="auto"/>
              <w:right w:val="single" w:sz="4" w:space="0" w:color="auto"/>
            </w:tcBorders>
            <w:shd w:val="clear" w:color="000000" w:fill="FFFFFF"/>
            <w:vAlign w:val="center"/>
            <w:hideMark/>
          </w:tcPr>
          <w:p w14:paraId="3D8776B9"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10E26D87"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w:t>
            </w:r>
          </w:p>
        </w:tc>
        <w:tc>
          <w:tcPr>
            <w:tcW w:w="407" w:type="pct"/>
            <w:tcBorders>
              <w:top w:val="nil"/>
              <w:left w:val="nil"/>
              <w:bottom w:val="single" w:sz="4" w:space="0" w:color="auto"/>
              <w:right w:val="single" w:sz="4" w:space="0" w:color="auto"/>
            </w:tcBorders>
            <w:shd w:val="clear" w:color="000000" w:fill="FFFFFF"/>
            <w:vAlign w:val="center"/>
            <w:hideMark/>
          </w:tcPr>
          <w:p w14:paraId="5990911C"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organizacje pozarządowe</w:t>
            </w:r>
          </w:p>
        </w:tc>
        <w:tc>
          <w:tcPr>
            <w:tcW w:w="334" w:type="pct"/>
            <w:tcBorders>
              <w:top w:val="nil"/>
              <w:left w:val="nil"/>
              <w:bottom w:val="single" w:sz="4" w:space="0" w:color="auto"/>
              <w:right w:val="single" w:sz="4" w:space="0" w:color="auto"/>
            </w:tcBorders>
            <w:shd w:val="clear" w:color="000000" w:fill="FFFFFF"/>
            <w:vAlign w:val="center"/>
            <w:hideMark/>
          </w:tcPr>
          <w:p w14:paraId="1A1BBA70"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34CC174E" w14:textId="4365ED02"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r>
      <w:tr w:rsidR="00CE2EDC" w:rsidRPr="00CB33D8" w14:paraId="3BC543F2" w14:textId="77777777" w:rsidTr="00CE2EDC">
        <w:trPr>
          <w:gridAfter w:val="2"/>
          <w:wAfter w:w="19" w:type="pct"/>
          <w:trHeight w:val="1129"/>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61652482" w14:textId="03F0A4ED"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 xml:space="preserve">Niewystarczające wsparcie dla osób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 xml:space="preserve">z niepełnosprawnościami, ich opiekunów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 xml:space="preserve">i organizacji działających w tym obszarze </w:t>
            </w:r>
          </w:p>
        </w:tc>
        <w:tc>
          <w:tcPr>
            <w:tcW w:w="177" w:type="pct"/>
            <w:tcBorders>
              <w:top w:val="nil"/>
              <w:left w:val="nil"/>
              <w:bottom w:val="single" w:sz="4" w:space="0" w:color="auto"/>
              <w:right w:val="single" w:sz="4" w:space="0" w:color="auto"/>
            </w:tcBorders>
            <w:shd w:val="clear" w:color="000000" w:fill="FFFFFF"/>
            <w:vAlign w:val="center"/>
            <w:hideMark/>
          </w:tcPr>
          <w:p w14:paraId="00368B2A"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1.7</w:t>
            </w:r>
          </w:p>
        </w:tc>
        <w:tc>
          <w:tcPr>
            <w:tcW w:w="684" w:type="pct"/>
            <w:tcBorders>
              <w:top w:val="nil"/>
              <w:left w:val="nil"/>
              <w:bottom w:val="single" w:sz="4" w:space="0" w:color="auto"/>
              <w:right w:val="single" w:sz="4" w:space="0" w:color="auto"/>
            </w:tcBorders>
            <w:shd w:val="clear" w:color="000000" w:fill="FFFFFF"/>
            <w:vAlign w:val="center"/>
            <w:hideMark/>
          </w:tcPr>
          <w:p w14:paraId="47856801" w14:textId="2F9D2A06"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Integracja i rozwój osób w niekorzystnej sytuacji </w:t>
            </w:r>
            <w:r w:rsidR="0015230F" w:rsidRPr="00E860C3">
              <w:rPr>
                <w:rFonts w:ascii="Times New Roman" w:eastAsia="Times New Roman" w:hAnsi="Times New Roman" w:cs="Times New Roman"/>
                <w:color w:val="000000"/>
                <w:sz w:val="18"/>
                <w:szCs w:val="18"/>
                <w:lang w:eastAsia="pl-PL"/>
              </w:rPr>
              <w:t xml:space="preserve">– </w:t>
            </w:r>
            <w:r w:rsidRPr="00E860C3">
              <w:rPr>
                <w:rFonts w:ascii="Times New Roman" w:eastAsia="Times New Roman" w:hAnsi="Times New Roman" w:cs="Times New Roman"/>
                <w:color w:val="000000"/>
                <w:sz w:val="18"/>
                <w:szCs w:val="18"/>
                <w:lang w:eastAsia="pl-PL"/>
              </w:rPr>
              <w:t xml:space="preserve">osoby z niepełnosprawnościami </w:t>
            </w:r>
            <w:r w:rsidR="00BC6F5F">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ich opiekunowie</w:t>
            </w:r>
          </w:p>
        </w:tc>
        <w:tc>
          <w:tcPr>
            <w:tcW w:w="647" w:type="pct"/>
            <w:tcBorders>
              <w:top w:val="nil"/>
              <w:left w:val="nil"/>
              <w:bottom w:val="single" w:sz="4" w:space="0" w:color="auto"/>
              <w:right w:val="single" w:sz="4" w:space="0" w:color="auto"/>
            </w:tcBorders>
            <w:shd w:val="clear" w:color="000000" w:fill="FFFFFF"/>
            <w:vAlign w:val="center"/>
            <w:hideMark/>
          </w:tcPr>
          <w:p w14:paraId="63F3CC79" w14:textId="3B61EF4A"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1AF82B94" w14:textId="3725ABD2"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8.</w:t>
            </w:r>
            <w:r w:rsidR="00811783">
              <w:rPr>
                <w:rFonts w:ascii="Times New Roman" w:eastAsia="Times New Roman" w:hAnsi="Times New Roman" w:cs="Times New Roman"/>
                <w:color w:val="000000"/>
                <w:sz w:val="18"/>
                <w:szCs w:val="18"/>
                <w:lang w:eastAsia="pl-PL"/>
              </w:rPr>
              <w:t xml:space="preserve"> W</w:t>
            </w:r>
            <w:r w:rsidRPr="00E860C3">
              <w:rPr>
                <w:rFonts w:ascii="Times New Roman" w:eastAsia="Times New Roman" w:hAnsi="Times New Roman" w:cs="Times New Roman"/>
                <w:color w:val="000000"/>
                <w:sz w:val="18"/>
                <w:szCs w:val="18"/>
                <w:lang w:eastAsia="pl-PL"/>
              </w:rPr>
              <w:t xml:space="preserve">łączenie społeczne seniorów, ludzi młodych i osób </w:t>
            </w:r>
            <w:r w:rsidR="00E36C64" w:rsidRP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w niekorzystnej sytuacji; nieinwestycyjny</w:t>
            </w:r>
          </w:p>
        </w:tc>
        <w:tc>
          <w:tcPr>
            <w:tcW w:w="271" w:type="pct"/>
            <w:tcBorders>
              <w:top w:val="nil"/>
              <w:left w:val="nil"/>
              <w:bottom w:val="single" w:sz="4" w:space="0" w:color="auto"/>
              <w:right w:val="single" w:sz="4" w:space="0" w:color="auto"/>
            </w:tcBorders>
            <w:shd w:val="clear" w:color="000000" w:fill="FFFFFF"/>
            <w:vAlign w:val="center"/>
            <w:hideMark/>
          </w:tcPr>
          <w:p w14:paraId="3DAC9CA4"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22020B2F"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 i inne osoby prawne</w:t>
            </w:r>
          </w:p>
        </w:tc>
        <w:tc>
          <w:tcPr>
            <w:tcW w:w="407" w:type="pct"/>
            <w:tcBorders>
              <w:top w:val="nil"/>
              <w:left w:val="nil"/>
              <w:bottom w:val="single" w:sz="4" w:space="0" w:color="auto"/>
              <w:right w:val="single" w:sz="4" w:space="0" w:color="auto"/>
            </w:tcBorders>
            <w:shd w:val="clear" w:color="000000" w:fill="FFFFFF"/>
            <w:vAlign w:val="center"/>
            <w:hideMark/>
          </w:tcPr>
          <w:p w14:paraId="4373C81D" w14:textId="543C8A6B" w:rsidR="00CB33D8" w:rsidRPr="00CE2EDC" w:rsidRDefault="00CB33D8" w:rsidP="00CB33D8">
            <w:pPr>
              <w:spacing w:after="0" w:line="240" w:lineRule="auto"/>
              <w:jc w:val="center"/>
              <w:rPr>
                <w:rFonts w:ascii="Times New Roman" w:eastAsia="Times New Roman" w:hAnsi="Times New Roman" w:cs="Times New Roman"/>
                <w:color w:val="000000"/>
                <w:sz w:val="16"/>
                <w:szCs w:val="16"/>
                <w:lang w:eastAsia="pl-PL"/>
              </w:rPr>
            </w:pPr>
            <w:r w:rsidRPr="00CE2EDC">
              <w:rPr>
                <w:rFonts w:ascii="Times New Roman" w:eastAsia="Times New Roman" w:hAnsi="Times New Roman" w:cs="Times New Roman"/>
                <w:color w:val="000000"/>
                <w:sz w:val="16"/>
                <w:szCs w:val="16"/>
                <w:lang w:eastAsia="pl-PL"/>
              </w:rPr>
              <w:t xml:space="preserve">Mieszkańcy </w:t>
            </w:r>
            <w:r w:rsidR="00E36C64" w:rsidRPr="00CE2EDC">
              <w:rPr>
                <w:rFonts w:ascii="Times New Roman" w:eastAsia="Times New Roman" w:hAnsi="Times New Roman" w:cs="Times New Roman"/>
                <w:color w:val="000000"/>
                <w:sz w:val="16"/>
                <w:szCs w:val="16"/>
                <w:lang w:eastAsia="pl-PL"/>
              </w:rPr>
              <w:br/>
            </w:r>
            <w:r w:rsidRPr="00CE2EDC">
              <w:rPr>
                <w:rFonts w:ascii="Times New Roman" w:eastAsia="Times New Roman" w:hAnsi="Times New Roman" w:cs="Times New Roman"/>
                <w:color w:val="000000"/>
                <w:sz w:val="16"/>
                <w:szCs w:val="16"/>
                <w:lang w:eastAsia="pl-PL"/>
              </w:rPr>
              <w:t xml:space="preserve">w niekorzystnej sytuacji </w:t>
            </w:r>
            <w:r w:rsidR="00E36C64" w:rsidRPr="00CE2EDC">
              <w:rPr>
                <w:rFonts w:ascii="Times New Roman" w:eastAsia="Times New Roman" w:hAnsi="Times New Roman" w:cs="Times New Roman"/>
                <w:color w:val="000000"/>
                <w:sz w:val="16"/>
                <w:szCs w:val="16"/>
                <w:lang w:eastAsia="pl-PL"/>
              </w:rPr>
              <w:t>–</w:t>
            </w:r>
            <w:r w:rsidRPr="00CE2EDC">
              <w:rPr>
                <w:rFonts w:ascii="Times New Roman" w:eastAsia="Times New Roman" w:hAnsi="Times New Roman" w:cs="Times New Roman"/>
                <w:color w:val="000000"/>
                <w:sz w:val="16"/>
                <w:szCs w:val="16"/>
                <w:lang w:eastAsia="pl-PL"/>
              </w:rPr>
              <w:t xml:space="preserve"> osoby </w:t>
            </w:r>
            <w:r w:rsidR="00E36C64" w:rsidRPr="00CE2EDC">
              <w:rPr>
                <w:rFonts w:ascii="Times New Roman" w:eastAsia="Times New Roman" w:hAnsi="Times New Roman" w:cs="Times New Roman"/>
                <w:color w:val="000000"/>
                <w:sz w:val="16"/>
                <w:szCs w:val="16"/>
                <w:lang w:eastAsia="pl-PL"/>
              </w:rPr>
              <w:br/>
            </w:r>
            <w:r w:rsidRPr="00CE2EDC">
              <w:rPr>
                <w:rFonts w:ascii="Times New Roman" w:eastAsia="Times New Roman" w:hAnsi="Times New Roman" w:cs="Times New Roman"/>
                <w:color w:val="000000"/>
                <w:sz w:val="16"/>
                <w:szCs w:val="16"/>
                <w:lang w:eastAsia="pl-PL"/>
              </w:rPr>
              <w:t xml:space="preserve">z niepełnosprawnościami </w:t>
            </w:r>
            <w:r w:rsidR="00811783" w:rsidRPr="00CE2EDC">
              <w:rPr>
                <w:rFonts w:ascii="Times New Roman" w:eastAsia="Times New Roman" w:hAnsi="Times New Roman" w:cs="Times New Roman"/>
                <w:color w:val="000000"/>
                <w:sz w:val="16"/>
                <w:szCs w:val="16"/>
                <w:lang w:eastAsia="pl-PL"/>
              </w:rPr>
              <w:br/>
            </w:r>
            <w:r w:rsidRPr="00CE2EDC">
              <w:rPr>
                <w:rFonts w:ascii="Times New Roman" w:eastAsia="Times New Roman" w:hAnsi="Times New Roman" w:cs="Times New Roman"/>
                <w:color w:val="000000"/>
                <w:sz w:val="16"/>
                <w:szCs w:val="16"/>
                <w:lang w:eastAsia="pl-PL"/>
              </w:rPr>
              <w:t>i ich opiekunowie</w:t>
            </w:r>
          </w:p>
        </w:tc>
        <w:tc>
          <w:tcPr>
            <w:tcW w:w="334" w:type="pct"/>
            <w:tcBorders>
              <w:top w:val="nil"/>
              <w:left w:val="nil"/>
              <w:bottom w:val="single" w:sz="4" w:space="0" w:color="auto"/>
              <w:right w:val="single" w:sz="4" w:space="0" w:color="auto"/>
            </w:tcBorders>
            <w:shd w:val="clear" w:color="000000" w:fill="FFFFFF"/>
            <w:vAlign w:val="center"/>
            <w:hideMark/>
          </w:tcPr>
          <w:p w14:paraId="4BD0E9A9"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własny LGD</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28A0CC2B" w14:textId="38422E42"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r>
      <w:tr w:rsidR="00CE2EDC" w:rsidRPr="00CB33D8" w14:paraId="701AD92C" w14:textId="77777777" w:rsidTr="00CE2EDC">
        <w:trPr>
          <w:gridAfter w:val="2"/>
          <w:wAfter w:w="19" w:type="pct"/>
          <w:trHeight w:val="1125"/>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19CC68D8" w14:textId="41F3CC9F"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 xml:space="preserve">Niewystarczająca oferta rozwoju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 xml:space="preserve">i zagospodarowania czasu wolnego </w:t>
            </w:r>
          </w:p>
        </w:tc>
        <w:tc>
          <w:tcPr>
            <w:tcW w:w="177" w:type="pct"/>
            <w:tcBorders>
              <w:top w:val="nil"/>
              <w:left w:val="nil"/>
              <w:bottom w:val="single" w:sz="4" w:space="0" w:color="auto"/>
              <w:right w:val="single" w:sz="4" w:space="0" w:color="auto"/>
            </w:tcBorders>
            <w:shd w:val="clear" w:color="000000" w:fill="FFFFFF"/>
            <w:vAlign w:val="center"/>
            <w:hideMark/>
          </w:tcPr>
          <w:p w14:paraId="51DED659"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1.8</w:t>
            </w:r>
          </w:p>
        </w:tc>
        <w:tc>
          <w:tcPr>
            <w:tcW w:w="684" w:type="pct"/>
            <w:tcBorders>
              <w:top w:val="nil"/>
              <w:left w:val="nil"/>
              <w:bottom w:val="single" w:sz="4" w:space="0" w:color="auto"/>
              <w:right w:val="single" w:sz="4" w:space="0" w:color="auto"/>
            </w:tcBorders>
            <w:shd w:val="clear" w:color="000000" w:fill="FFFFFF"/>
            <w:vAlign w:val="center"/>
            <w:hideMark/>
          </w:tcPr>
          <w:p w14:paraId="6CD1F0CB" w14:textId="3A2EE5C6" w:rsidR="00CB33D8" w:rsidRPr="00CE2EDC" w:rsidRDefault="00CB33D8" w:rsidP="00CB33D8">
            <w:pPr>
              <w:spacing w:after="0" w:line="240" w:lineRule="auto"/>
              <w:jc w:val="center"/>
              <w:rPr>
                <w:rFonts w:ascii="Times New Roman" w:eastAsia="Times New Roman" w:hAnsi="Times New Roman" w:cs="Times New Roman"/>
                <w:color w:val="000000"/>
                <w:sz w:val="16"/>
                <w:szCs w:val="16"/>
                <w:lang w:eastAsia="pl-PL"/>
              </w:rPr>
            </w:pPr>
            <w:r w:rsidRPr="00CE2EDC">
              <w:rPr>
                <w:rFonts w:ascii="Times New Roman" w:eastAsia="Times New Roman" w:hAnsi="Times New Roman" w:cs="Times New Roman"/>
                <w:color w:val="000000"/>
                <w:sz w:val="16"/>
                <w:szCs w:val="16"/>
                <w:lang w:eastAsia="pl-PL"/>
              </w:rPr>
              <w:t>Zbudowanie oferty rozwoju, spędzania czasu wolnego i rekreacji dla mieszkańców LGD - podejmowanie działalności gospodarczej</w:t>
            </w:r>
          </w:p>
        </w:tc>
        <w:tc>
          <w:tcPr>
            <w:tcW w:w="647" w:type="pct"/>
            <w:tcBorders>
              <w:top w:val="nil"/>
              <w:left w:val="nil"/>
              <w:bottom w:val="single" w:sz="4" w:space="0" w:color="auto"/>
              <w:right w:val="single" w:sz="4" w:space="0" w:color="auto"/>
            </w:tcBorders>
            <w:shd w:val="clear" w:color="000000" w:fill="FFFFFF"/>
            <w:vAlign w:val="center"/>
            <w:hideMark/>
          </w:tcPr>
          <w:p w14:paraId="4D0F7B21" w14:textId="17498E84"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Budowa, rozbudowa </w:t>
            </w:r>
            <w:r w:rsidR="00BC6F5F">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wyposażenie</w:t>
            </w:r>
          </w:p>
        </w:tc>
        <w:tc>
          <w:tcPr>
            <w:tcW w:w="930" w:type="pct"/>
            <w:tcBorders>
              <w:top w:val="nil"/>
              <w:left w:val="nil"/>
              <w:bottom w:val="single" w:sz="4" w:space="0" w:color="auto"/>
              <w:right w:val="single" w:sz="4" w:space="0" w:color="auto"/>
            </w:tcBorders>
            <w:shd w:val="clear" w:color="000000" w:fill="FFFFFF"/>
            <w:vAlign w:val="center"/>
            <w:hideMark/>
          </w:tcPr>
          <w:p w14:paraId="65F383AB" w14:textId="3B3D6B22"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w:t>
            </w:r>
            <w:r w:rsidR="00811783">
              <w:rPr>
                <w:rFonts w:ascii="Times New Roman" w:eastAsia="Times New Roman" w:hAnsi="Times New Roman" w:cs="Times New Roman"/>
                <w:color w:val="000000"/>
                <w:sz w:val="18"/>
                <w:szCs w:val="18"/>
                <w:lang w:eastAsia="pl-PL"/>
              </w:rPr>
              <w:t xml:space="preserve"> R</w:t>
            </w:r>
            <w:r w:rsidRPr="00E860C3">
              <w:rPr>
                <w:rFonts w:ascii="Times New Roman" w:eastAsia="Times New Roman" w:hAnsi="Times New Roman" w:cs="Times New Roman"/>
                <w:color w:val="000000"/>
                <w:sz w:val="18"/>
                <w:szCs w:val="18"/>
                <w:lang w:eastAsia="pl-PL"/>
              </w:rPr>
              <w:t xml:space="preserve">ozwój przedsiębiorczości, w tym rozwój biogospodarki lub zielonej gospodarki </w:t>
            </w:r>
            <w:r w:rsidR="00E36C64" w:rsidRPr="00E860C3">
              <w:rPr>
                <w:rFonts w:ascii="Times New Roman" w:eastAsia="Times New Roman" w:hAnsi="Times New Roman" w:cs="Times New Roman"/>
                <w:color w:val="000000"/>
                <w:sz w:val="18"/>
                <w:szCs w:val="18"/>
                <w:lang w:eastAsia="pl-PL"/>
              </w:rPr>
              <w:t>–</w:t>
            </w:r>
            <w:r w:rsidRPr="00E860C3">
              <w:rPr>
                <w:rFonts w:ascii="Times New Roman" w:eastAsia="Times New Roman" w:hAnsi="Times New Roman" w:cs="Times New Roman"/>
                <w:color w:val="000000"/>
                <w:sz w:val="18"/>
                <w:szCs w:val="18"/>
                <w:lang w:eastAsia="pl-PL"/>
              </w:rPr>
              <w:t xml:space="preserve"> a. podejmowanie pozarolniczej działalności gospodarczej przez osoby fizyczne; inwestycyjny</w:t>
            </w:r>
          </w:p>
        </w:tc>
        <w:tc>
          <w:tcPr>
            <w:tcW w:w="271" w:type="pct"/>
            <w:tcBorders>
              <w:top w:val="nil"/>
              <w:left w:val="nil"/>
              <w:bottom w:val="single" w:sz="4" w:space="0" w:color="auto"/>
              <w:right w:val="single" w:sz="4" w:space="0" w:color="auto"/>
            </w:tcBorders>
            <w:shd w:val="clear" w:color="000000" w:fill="FFFFFF"/>
            <w:vAlign w:val="center"/>
            <w:hideMark/>
          </w:tcPr>
          <w:p w14:paraId="4A0F196D"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do 65%</w:t>
            </w:r>
          </w:p>
        </w:tc>
        <w:tc>
          <w:tcPr>
            <w:tcW w:w="445" w:type="pct"/>
            <w:tcBorders>
              <w:top w:val="nil"/>
              <w:left w:val="nil"/>
              <w:bottom w:val="single" w:sz="4" w:space="0" w:color="auto"/>
              <w:right w:val="single" w:sz="4" w:space="0" w:color="auto"/>
            </w:tcBorders>
            <w:shd w:val="clear" w:color="000000" w:fill="FFFFFF"/>
            <w:vAlign w:val="center"/>
            <w:hideMark/>
          </w:tcPr>
          <w:p w14:paraId="404F506D"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Osoby fizyczne</w:t>
            </w:r>
          </w:p>
        </w:tc>
        <w:tc>
          <w:tcPr>
            <w:tcW w:w="407" w:type="pct"/>
            <w:tcBorders>
              <w:top w:val="nil"/>
              <w:left w:val="nil"/>
              <w:bottom w:val="single" w:sz="4" w:space="0" w:color="auto"/>
              <w:right w:val="single" w:sz="4" w:space="0" w:color="auto"/>
            </w:tcBorders>
            <w:shd w:val="clear" w:color="000000" w:fill="FFFFFF"/>
            <w:vAlign w:val="center"/>
            <w:hideMark/>
          </w:tcPr>
          <w:p w14:paraId="3DCD39AB"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334" w:type="pct"/>
            <w:tcBorders>
              <w:top w:val="nil"/>
              <w:left w:val="nil"/>
              <w:bottom w:val="single" w:sz="4" w:space="0" w:color="auto"/>
              <w:right w:val="single" w:sz="4" w:space="0" w:color="auto"/>
            </w:tcBorders>
            <w:shd w:val="clear" w:color="000000" w:fill="FFFFFF"/>
            <w:vAlign w:val="center"/>
            <w:hideMark/>
          </w:tcPr>
          <w:p w14:paraId="052A2752"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Projekty wnioskodawców innych niż LGD</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3D33323B" w14:textId="2B6BF5FB"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w:t>
            </w:r>
            <w:r w:rsidR="0015230F" w:rsidRPr="00E860C3">
              <w:rPr>
                <w:rFonts w:ascii="Times New Roman" w:eastAsia="Times New Roman" w:hAnsi="Times New Roman" w:cs="Times New Roman"/>
                <w:color w:val="000000"/>
                <w:sz w:val="18"/>
                <w:szCs w:val="18"/>
                <w:lang w:eastAsia="pl-PL"/>
              </w:rPr>
              <w:t xml:space="preserve"> </w:t>
            </w:r>
            <w:r w:rsidRPr="00E860C3">
              <w:rPr>
                <w:rFonts w:ascii="Times New Roman" w:eastAsia="Times New Roman" w:hAnsi="Times New Roman" w:cs="Times New Roman"/>
                <w:color w:val="000000"/>
                <w:sz w:val="18"/>
                <w:szCs w:val="18"/>
                <w:lang w:eastAsia="pl-PL"/>
              </w:rPr>
              <w:t xml:space="preserve">180 000 </w:t>
            </w:r>
          </w:p>
        </w:tc>
      </w:tr>
      <w:tr w:rsidR="00CE2EDC" w:rsidRPr="00CB33D8" w14:paraId="7E160A9B" w14:textId="77777777" w:rsidTr="00CE2EDC">
        <w:trPr>
          <w:gridAfter w:val="2"/>
          <w:wAfter w:w="19" w:type="pct"/>
          <w:trHeight w:val="1125"/>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510A61B9" w14:textId="40FDD644"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 xml:space="preserve">Niewystarczająca oferta rozwoju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 xml:space="preserve">i zagospodarowania czasu wolnego </w:t>
            </w:r>
          </w:p>
        </w:tc>
        <w:tc>
          <w:tcPr>
            <w:tcW w:w="177" w:type="pct"/>
            <w:tcBorders>
              <w:top w:val="nil"/>
              <w:left w:val="nil"/>
              <w:bottom w:val="single" w:sz="4" w:space="0" w:color="auto"/>
              <w:right w:val="single" w:sz="4" w:space="0" w:color="auto"/>
            </w:tcBorders>
            <w:shd w:val="clear" w:color="000000" w:fill="FFFFFF"/>
            <w:vAlign w:val="center"/>
            <w:hideMark/>
          </w:tcPr>
          <w:p w14:paraId="1653D00D"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1.9</w:t>
            </w:r>
          </w:p>
        </w:tc>
        <w:tc>
          <w:tcPr>
            <w:tcW w:w="684" w:type="pct"/>
            <w:tcBorders>
              <w:top w:val="nil"/>
              <w:left w:val="nil"/>
              <w:bottom w:val="single" w:sz="4" w:space="0" w:color="auto"/>
              <w:right w:val="single" w:sz="4" w:space="0" w:color="auto"/>
            </w:tcBorders>
            <w:shd w:val="clear" w:color="000000" w:fill="FFFFFF"/>
            <w:vAlign w:val="center"/>
            <w:hideMark/>
          </w:tcPr>
          <w:p w14:paraId="28612E08" w14:textId="3431A323" w:rsidR="00CB33D8" w:rsidRPr="00CE2EDC" w:rsidRDefault="00CB33D8" w:rsidP="00CB33D8">
            <w:pPr>
              <w:spacing w:after="0" w:line="240" w:lineRule="auto"/>
              <w:jc w:val="center"/>
              <w:rPr>
                <w:rFonts w:ascii="Times New Roman" w:eastAsia="Times New Roman" w:hAnsi="Times New Roman" w:cs="Times New Roman"/>
                <w:color w:val="000000"/>
                <w:sz w:val="16"/>
                <w:szCs w:val="16"/>
                <w:lang w:eastAsia="pl-PL"/>
              </w:rPr>
            </w:pPr>
            <w:r w:rsidRPr="00CE2EDC">
              <w:rPr>
                <w:rFonts w:ascii="Times New Roman" w:eastAsia="Times New Roman" w:hAnsi="Times New Roman" w:cs="Times New Roman"/>
                <w:color w:val="000000"/>
                <w:sz w:val="16"/>
                <w:szCs w:val="16"/>
                <w:lang w:eastAsia="pl-PL"/>
              </w:rPr>
              <w:t>Zbudowanie oferty rozwoju, spędzania czasu wolnego i rekreacji dla mieszkańców LGD - rozwój działalności gospodarczej</w:t>
            </w:r>
          </w:p>
        </w:tc>
        <w:tc>
          <w:tcPr>
            <w:tcW w:w="647" w:type="pct"/>
            <w:tcBorders>
              <w:top w:val="nil"/>
              <w:left w:val="nil"/>
              <w:bottom w:val="single" w:sz="4" w:space="0" w:color="auto"/>
              <w:right w:val="single" w:sz="4" w:space="0" w:color="auto"/>
            </w:tcBorders>
            <w:shd w:val="clear" w:color="000000" w:fill="FFFFFF"/>
            <w:vAlign w:val="center"/>
            <w:hideMark/>
          </w:tcPr>
          <w:p w14:paraId="332FC24C" w14:textId="06E7370B"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Budowa, rozbudowa </w:t>
            </w:r>
            <w:r w:rsidR="00BC6F5F">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wyposażenie</w:t>
            </w:r>
          </w:p>
        </w:tc>
        <w:tc>
          <w:tcPr>
            <w:tcW w:w="930" w:type="pct"/>
            <w:tcBorders>
              <w:top w:val="nil"/>
              <w:left w:val="nil"/>
              <w:bottom w:val="single" w:sz="4" w:space="0" w:color="auto"/>
              <w:right w:val="single" w:sz="4" w:space="0" w:color="auto"/>
            </w:tcBorders>
            <w:shd w:val="clear" w:color="000000" w:fill="FFFFFF"/>
            <w:vAlign w:val="center"/>
            <w:hideMark/>
          </w:tcPr>
          <w:p w14:paraId="4A3DABD6" w14:textId="3E43DB02"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w:t>
            </w:r>
            <w:r w:rsidR="00811783">
              <w:rPr>
                <w:rFonts w:ascii="Times New Roman" w:eastAsia="Times New Roman" w:hAnsi="Times New Roman" w:cs="Times New Roman"/>
                <w:color w:val="000000"/>
                <w:sz w:val="18"/>
                <w:szCs w:val="18"/>
                <w:lang w:eastAsia="pl-PL"/>
              </w:rPr>
              <w:t xml:space="preserve"> R</w:t>
            </w:r>
            <w:r w:rsidRPr="00E860C3">
              <w:rPr>
                <w:rFonts w:ascii="Times New Roman" w:eastAsia="Times New Roman" w:hAnsi="Times New Roman" w:cs="Times New Roman"/>
                <w:color w:val="000000"/>
                <w:sz w:val="18"/>
                <w:szCs w:val="18"/>
                <w:lang w:eastAsia="pl-PL"/>
              </w:rPr>
              <w:t xml:space="preserve">ozwój przedsiębiorczości, w tym rozwój biogospodarki lub zielonej gospodarki </w:t>
            </w:r>
            <w:r w:rsidR="00E36C64" w:rsidRPr="00E860C3">
              <w:rPr>
                <w:rFonts w:ascii="Times New Roman" w:eastAsia="Times New Roman" w:hAnsi="Times New Roman" w:cs="Times New Roman"/>
                <w:color w:val="000000"/>
                <w:sz w:val="18"/>
                <w:szCs w:val="18"/>
                <w:lang w:eastAsia="pl-PL"/>
              </w:rPr>
              <w:t>–</w:t>
            </w:r>
            <w:r w:rsidRPr="00E860C3">
              <w:rPr>
                <w:rFonts w:ascii="Times New Roman" w:eastAsia="Times New Roman" w:hAnsi="Times New Roman" w:cs="Times New Roman"/>
                <w:color w:val="000000"/>
                <w:sz w:val="18"/>
                <w:szCs w:val="18"/>
                <w:lang w:eastAsia="pl-PL"/>
              </w:rPr>
              <w:t xml:space="preserve"> b. rozwijanie pozarolniczej działalności gospodarczej; inwestycyjny</w:t>
            </w:r>
          </w:p>
        </w:tc>
        <w:tc>
          <w:tcPr>
            <w:tcW w:w="271" w:type="pct"/>
            <w:tcBorders>
              <w:top w:val="nil"/>
              <w:left w:val="nil"/>
              <w:bottom w:val="single" w:sz="4" w:space="0" w:color="auto"/>
              <w:right w:val="single" w:sz="4" w:space="0" w:color="auto"/>
            </w:tcBorders>
            <w:shd w:val="clear" w:color="000000" w:fill="FFFFFF"/>
            <w:vAlign w:val="center"/>
            <w:hideMark/>
          </w:tcPr>
          <w:p w14:paraId="3AF5FC7F"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do 65%</w:t>
            </w:r>
          </w:p>
        </w:tc>
        <w:tc>
          <w:tcPr>
            <w:tcW w:w="445" w:type="pct"/>
            <w:tcBorders>
              <w:top w:val="nil"/>
              <w:left w:val="nil"/>
              <w:bottom w:val="single" w:sz="4" w:space="0" w:color="auto"/>
              <w:right w:val="single" w:sz="4" w:space="0" w:color="auto"/>
            </w:tcBorders>
            <w:shd w:val="clear" w:color="000000" w:fill="FFFFFF"/>
            <w:vAlign w:val="center"/>
            <w:hideMark/>
          </w:tcPr>
          <w:p w14:paraId="09E4601E"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Mikroprzedsiębiorstwo albo małe przedsiębiorstwo</w:t>
            </w:r>
          </w:p>
        </w:tc>
        <w:tc>
          <w:tcPr>
            <w:tcW w:w="407" w:type="pct"/>
            <w:tcBorders>
              <w:top w:val="nil"/>
              <w:left w:val="nil"/>
              <w:bottom w:val="single" w:sz="4" w:space="0" w:color="auto"/>
              <w:right w:val="single" w:sz="4" w:space="0" w:color="auto"/>
            </w:tcBorders>
            <w:shd w:val="clear" w:color="000000" w:fill="FFFFFF"/>
            <w:vAlign w:val="center"/>
            <w:hideMark/>
          </w:tcPr>
          <w:p w14:paraId="1948196C"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334" w:type="pct"/>
            <w:tcBorders>
              <w:top w:val="nil"/>
              <w:left w:val="nil"/>
              <w:bottom w:val="single" w:sz="4" w:space="0" w:color="auto"/>
              <w:right w:val="single" w:sz="4" w:space="0" w:color="auto"/>
            </w:tcBorders>
            <w:shd w:val="clear" w:color="000000" w:fill="FFFFFF"/>
            <w:vAlign w:val="center"/>
            <w:hideMark/>
          </w:tcPr>
          <w:p w14:paraId="7E03F263"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Projekty wnioskodawców innych niż LGD</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7876BBF8" w14:textId="67C86297"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€ 180 000 </w:t>
            </w:r>
          </w:p>
        </w:tc>
      </w:tr>
      <w:tr w:rsidR="00CE2EDC" w:rsidRPr="00CB33D8" w14:paraId="11DFF9E0" w14:textId="77777777" w:rsidTr="00CE2EDC">
        <w:trPr>
          <w:gridAfter w:val="2"/>
          <w:wAfter w:w="19" w:type="pct"/>
          <w:trHeight w:val="2179"/>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2EA1E3B5" w14:textId="6511B4C2"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 xml:space="preserve">Niewystarczająca oferta rozwoju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 xml:space="preserve">i zagospodarowania czasu wolnego </w:t>
            </w:r>
          </w:p>
        </w:tc>
        <w:tc>
          <w:tcPr>
            <w:tcW w:w="177" w:type="pct"/>
            <w:tcBorders>
              <w:top w:val="nil"/>
              <w:left w:val="nil"/>
              <w:bottom w:val="single" w:sz="4" w:space="0" w:color="auto"/>
              <w:right w:val="single" w:sz="4" w:space="0" w:color="auto"/>
            </w:tcBorders>
            <w:shd w:val="clear" w:color="000000" w:fill="FFFFFF"/>
            <w:vAlign w:val="center"/>
            <w:hideMark/>
          </w:tcPr>
          <w:p w14:paraId="13A952ED"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1.10</w:t>
            </w:r>
          </w:p>
        </w:tc>
        <w:tc>
          <w:tcPr>
            <w:tcW w:w="684" w:type="pct"/>
            <w:tcBorders>
              <w:top w:val="nil"/>
              <w:left w:val="nil"/>
              <w:bottom w:val="single" w:sz="4" w:space="0" w:color="auto"/>
              <w:right w:val="single" w:sz="4" w:space="0" w:color="auto"/>
            </w:tcBorders>
            <w:shd w:val="clear" w:color="000000" w:fill="FFFFFF"/>
            <w:vAlign w:val="center"/>
            <w:hideMark/>
          </w:tcPr>
          <w:p w14:paraId="61DEFC1A"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Utworzenie lub rozwój gospodarstwa agroturystycznego</w:t>
            </w:r>
          </w:p>
        </w:tc>
        <w:tc>
          <w:tcPr>
            <w:tcW w:w="647" w:type="pct"/>
            <w:tcBorders>
              <w:top w:val="nil"/>
              <w:left w:val="nil"/>
              <w:bottom w:val="single" w:sz="4" w:space="0" w:color="auto"/>
              <w:right w:val="single" w:sz="4" w:space="0" w:color="auto"/>
            </w:tcBorders>
            <w:shd w:val="clear" w:color="000000" w:fill="FFFFFF"/>
            <w:vAlign w:val="center"/>
            <w:hideMark/>
          </w:tcPr>
          <w:p w14:paraId="427A5F84" w14:textId="38094931"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Budowa, rozbudowa </w:t>
            </w:r>
            <w:r w:rsid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wyposażenie</w:t>
            </w:r>
          </w:p>
        </w:tc>
        <w:tc>
          <w:tcPr>
            <w:tcW w:w="930" w:type="pct"/>
            <w:tcBorders>
              <w:top w:val="nil"/>
              <w:left w:val="nil"/>
              <w:bottom w:val="single" w:sz="4" w:space="0" w:color="auto"/>
              <w:right w:val="single" w:sz="4" w:space="0" w:color="auto"/>
            </w:tcBorders>
            <w:shd w:val="clear" w:color="000000" w:fill="FFFFFF"/>
            <w:vAlign w:val="center"/>
            <w:hideMark/>
          </w:tcPr>
          <w:p w14:paraId="6BAF1E45" w14:textId="4C35A588"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2.</w:t>
            </w:r>
            <w:r w:rsidR="00811783">
              <w:rPr>
                <w:rFonts w:ascii="Times New Roman" w:eastAsia="Times New Roman" w:hAnsi="Times New Roman" w:cs="Times New Roman"/>
                <w:color w:val="000000"/>
                <w:sz w:val="18"/>
                <w:szCs w:val="18"/>
                <w:lang w:eastAsia="pl-PL"/>
              </w:rPr>
              <w:t xml:space="preserve"> R</w:t>
            </w:r>
            <w:r w:rsidRPr="00E860C3">
              <w:rPr>
                <w:rFonts w:ascii="Times New Roman" w:eastAsia="Times New Roman" w:hAnsi="Times New Roman" w:cs="Times New Roman"/>
                <w:color w:val="000000"/>
                <w:sz w:val="18"/>
                <w:szCs w:val="18"/>
                <w:lang w:eastAsia="pl-PL"/>
              </w:rPr>
              <w:t>ozwój pozarolniczych funkcji małych gospodarstw rolnych w zakresie tworzenia lub rozwijania: b. Gospodarstwa agroturystyczne; inwestycyjny</w:t>
            </w:r>
          </w:p>
        </w:tc>
        <w:tc>
          <w:tcPr>
            <w:tcW w:w="271" w:type="pct"/>
            <w:tcBorders>
              <w:top w:val="nil"/>
              <w:left w:val="nil"/>
              <w:bottom w:val="single" w:sz="4" w:space="0" w:color="auto"/>
              <w:right w:val="single" w:sz="4" w:space="0" w:color="auto"/>
            </w:tcBorders>
            <w:shd w:val="clear" w:color="000000" w:fill="FFFFFF"/>
            <w:vAlign w:val="center"/>
            <w:hideMark/>
          </w:tcPr>
          <w:p w14:paraId="38293CAC"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do 85%</w:t>
            </w:r>
          </w:p>
        </w:tc>
        <w:tc>
          <w:tcPr>
            <w:tcW w:w="445" w:type="pct"/>
            <w:tcBorders>
              <w:top w:val="nil"/>
              <w:left w:val="nil"/>
              <w:bottom w:val="single" w:sz="4" w:space="0" w:color="auto"/>
              <w:right w:val="single" w:sz="4" w:space="0" w:color="auto"/>
            </w:tcBorders>
            <w:shd w:val="clear" w:color="000000" w:fill="FFFFFF"/>
            <w:vAlign w:val="center"/>
            <w:hideMark/>
          </w:tcPr>
          <w:p w14:paraId="210952DA" w14:textId="411C2906"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CE2EDC">
              <w:rPr>
                <w:rFonts w:ascii="Times New Roman" w:eastAsia="Times New Roman" w:hAnsi="Times New Roman" w:cs="Times New Roman"/>
                <w:color w:val="000000"/>
                <w:sz w:val="16"/>
                <w:szCs w:val="16"/>
                <w:lang w:eastAsia="pl-PL"/>
              </w:rPr>
              <w:t xml:space="preserve">Rolnik lub domownik będący właścicielem lub współwłaścicielem małego gospodarstwa, </w:t>
            </w:r>
            <w:r w:rsidR="0015230F" w:rsidRPr="00CE2EDC">
              <w:rPr>
                <w:rFonts w:ascii="Times New Roman" w:eastAsia="Times New Roman" w:hAnsi="Times New Roman" w:cs="Times New Roman"/>
                <w:color w:val="000000"/>
                <w:sz w:val="16"/>
                <w:szCs w:val="16"/>
                <w:lang w:eastAsia="pl-PL"/>
              </w:rPr>
              <w:br/>
            </w:r>
            <w:r w:rsidRPr="00CE2EDC">
              <w:rPr>
                <w:rFonts w:ascii="Times New Roman" w:eastAsia="Times New Roman" w:hAnsi="Times New Roman" w:cs="Times New Roman"/>
                <w:color w:val="000000"/>
                <w:sz w:val="16"/>
                <w:szCs w:val="16"/>
                <w:lang w:eastAsia="pl-PL"/>
              </w:rPr>
              <w:t>w którym prowadzona jest działalność rolnicza</w:t>
            </w:r>
          </w:p>
        </w:tc>
        <w:tc>
          <w:tcPr>
            <w:tcW w:w="407" w:type="pct"/>
            <w:tcBorders>
              <w:top w:val="nil"/>
              <w:left w:val="nil"/>
              <w:bottom w:val="single" w:sz="4" w:space="0" w:color="auto"/>
              <w:right w:val="single" w:sz="4" w:space="0" w:color="auto"/>
            </w:tcBorders>
            <w:shd w:val="clear" w:color="000000" w:fill="FFFFFF"/>
            <w:vAlign w:val="center"/>
            <w:hideMark/>
          </w:tcPr>
          <w:p w14:paraId="7DBC29CB"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334" w:type="pct"/>
            <w:tcBorders>
              <w:top w:val="nil"/>
              <w:left w:val="nil"/>
              <w:bottom w:val="single" w:sz="4" w:space="0" w:color="auto"/>
              <w:right w:val="single" w:sz="4" w:space="0" w:color="auto"/>
            </w:tcBorders>
            <w:shd w:val="clear" w:color="000000" w:fill="FFFFFF"/>
            <w:vAlign w:val="center"/>
            <w:hideMark/>
          </w:tcPr>
          <w:p w14:paraId="369C3E38"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Projekty wnioskodawców innych niż LGD</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230BAC5C" w14:textId="4AA6EADB"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€ 90 000 </w:t>
            </w:r>
          </w:p>
        </w:tc>
      </w:tr>
      <w:tr w:rsidR="00CE2EDC" w:rsidRPr="00CB33D8" w14:paraId="1FF0DFB8" w14:textId="77777777" w:rsidTr="00CE2EDC">
        <w:trPr>
          <w:gridAfter w:val="2"/>
          <w:wAfter w:w="19" w:type="pct"/>
          <w:trHeight w:val="1977"/>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5881BF8B" w14:textId="7350704F"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 xml:space="preserve">Niewystarczająca oferta rozwoju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 xml:space="preserve">i zagospodarowania czasu wolnego </w:t>
            </w:r>
          </w:p>
        </w:tc>
        <w:tc>
          <w:tcPr>
            <w:tcW w:w="177" w:type="pct"/>
            <w:tcBorders>
              <w:top w:val="nil"/>
              <w:left w:val="nil"/>
              <w:bottom w:val="single" w:sz="4" w:space="0" w:color="auto"/>
              <w:right w:val="single" w:sz="4" w:space="0" w:color="auto"/>
            </w:tcBorders>
            <w:shd w:val="clear" w:color="000000" w:fill="FFFFFF"/>
            <w:vAlign w:val="center"/>
            <w:hideMark/>
          </w:tcPr>
          <w:p w14:paraId="049E280B"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1.11</w:t>
            </w:r>
          </w:p>
        </w:tc>
        <w:tc>
          <w:tcPr>
            <w:tcW w:w="684" w:type="pct"/>
            <w:tcBorders>
              <w:top w:val="nil"/>
              <w:left w:val="nil"/>
              <w:bottom w:val="single" w:sz="4" w:space="0" w:color="auto"/>
              <w:right w:val="single" w:sz="4" w:space="0" w:color="auto"/>
            </w:tcBorders>
            <w:shd w:val="clear" w:color="000000" w:fill="FFFFFF"/>
            <w:vAlign w:val="center"/>
            <w:hideMark/>
          </w:tcPr>
          <w:p w14:paraId="4272DABA"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Utworzenia lub rozwój zagrody edukacyjnej</w:t>
            </w:r>
          </w:p>
        </w:tc>
        <w:tc>
          <w:tcPr>
            <w:tcW w:w="647" w:type="pct"/>
            <w:tcBorders>
              <w:top w:val="nil"/>
              <w:left w:val="nil"/>
              <w:bottom w:val="single" w:sz="4" w:space="0" w:color="auto"/>
              <w:right w:val="single" w:sz="4" w:space="0" w:color="auto"/>
            </w:tcBorders>
            <w:shd w:val="clear" w:color="000000" w:fill="FFFFFF"/>
            <w:vAlign w:val="center"/>
            <w:hideMark/>
          </w:tcPr>
          <w:p w14:paraId="4B3DFC45" w14:textId="69D34232"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Budowa, rozbudowa </w:t>
            </w:r>
            <w:r w:rsidR="00BC6F5F">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wyposażenie</w:t>
            </w:r>
          </w:p>
        </w:tc>
        <w:tc>
          <w:tcPr>
            <w:tcW w:w="930" w:type="pct"/>
            <w:tcBorders>
              <w:top w:val="nil"/>
              <w:left w:val="nil"/>
              <w:bottom w:val="single" w:sz="4" w:space="0" w:color="auto"/>
              <w:right w:val="single" w:sz="4" w:space="0" w:color="auto"/>
            </w:tcBorders>
            <w:shd w:val="clear" w:color="000000" w:fill="FFFFFF"/>
            <w:vAlign w:val="center"/>
            <w:hideMark/>
          </w:tcPr>
          <w:p w14:paraId="2403AFB8" w14:textId="705EA41E"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2.</w:t>
            </w:r>
            <w:r w:rsidR="00811783">
              <w:rPr>
                <w:rFonts w:ascii="Times New Roman" w:eastAsia="Times New Roman" w:hAnsi="Times New Roman" w:cs="Times New Roman"/>
                <w:color w:val="000000"/>
                <w:sz w:val="18"/>
                <w:szCs w:val="18"/>
                <w:lang w:eastAsia="pl-PL"/>
              </w:rPr>
              <w:t xml:space="preserve"> R</w:t>
            </w:r>
            <w:r w:rsidRPr="00E860C3">
              <w:rPr>
                <w:rFonts w:ascii="Times New Roman" w:eastAsia="Times New Roman" w:hAnsi="Times New Roman" w:cs="Times New Roman"/>
                <w:color w:val="000000"/>
                <w:sz w:val="18"/>
                <w:szCs w:val="18"/>
                <w:lang w:eastAsia="pl-PL"/>
              </w:rPr>
              <w:t>ozwój pozarolniczych funkcji małych gospodarstw rolnych w zakresie tworzenia lub rozwijania: b. Zagroda edukacyjna; inwestycyjny</w:t>
            </w:r>
          </w:p>
        </w:tc>
        <w:tc>
          <w:tcPr>
            <w:tcW w:w="271" w:type="pct"/>
            <w:tcBorders>
              <w:top w:val="nil"/>
              <w:left w:val="nil"/>
              <w:bottom w:val="single" w:sz="4" w:space="0" w:color="auto"/>
              <w:right w:val="single" w:sz="4" w:space="0" w:color="auto"/>
            </w:tcBorders>
            <w:shd w:val="clear" w:color="000000" w:fill="FFFFFF"/>
            <w:vAlign w:val="center"/>
            <w:hideMark/>
          </w:tcPr>
          <w:p w14:paraId="3C78F8B7"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do 85%</w:t>
            </w:r>
          </w:p>
        </w:tc>
        <w:tc>
          <w:tcPr>
            <w:tcW w:w="445" w:type="pct"/>
            <w:tcBorders>
              <w:top w:val="nil"/>
              <w:left w:val="nil"/>
              <w:bottom w:val="single" w:sz="4" w:space="0" w:color="auto"/>
              <w:right w:val="single" w:sz="4" w:space="0" w:color="auto"/>
            </w:tcBorders>
            <w:shd w:val="clear" w:color="000000" w:fill="FFFFFF"/>
            <w:vAlign w:val="center"/>
            <w:hideMark/>
          </w:tcPr>
          <w:p w14:paraId="07EA5A47" w14:textId="79CB0409"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CE2EDC">
              <w:rPr>
                <w:rFonts w:ascii="Times New Roman" w:eastAsia="Times New Roman" w:hAnsi="Times New Roman" w:cs="Times New Roman"/>
                <w:color w:val="000000"/>
                <w:sz w:val="16"/>
                <w:szCs w:val="16"/>
                <w:lang w:eastAsia="pl-PL"/>
              </w:rPr>
              <w:t xml:space="preserve">Rolnik lub domownik będący właścicielem lub współwłaścicielem małego gospodarstwa, </w:t>
            </w:r>
            <w:r w:rsidR="0015230F" w:rsidRPr="00CE2EDC">
              <w:rPr>
                <w:rFonts w:ascii="Times New Roman" w:eastAsia="Times New Roman" w:hAnsi="Times New Roman" w:cs="Times New Roman"/>
                <w:color w:val="000000"/>
                <w:sz w:val="16"/>
                <w:szCs w:val="16"/>
                <w:lang w:eastAsia="pl-PL"/>
              </w:rPr>
              <w:br/>
            </w:r>
            <w:r w:rsidRPr="00CE2EDC">
              <w:rPr>
                <w:rFonts w:ascii="Times New Roman" w:eastAsia="Times New Roman" w:hAnsi="Times New Roman" w:cs="Times New Roman"/>
                <w:color w:val="000000"/>
                <w:sz w:val="16"/>
                <w:szCs w:val="16"/>
                <w:lang w:eastAsia="pl-PL"/>
              </w:rPr>
              <w:t>w którym prowadzona jest działalność rolnicza</w:t>
            </w:r>
          </w:p>
        </w:tc>
        <w:tc>
          <w:tcPr>
            <w:tcW w:w="407" w:type="pct"/>
            <w:tcBorders>
              <w:top w:val="nil"/>
              <w:left w:val="nil"/>
              <w:bottom w:val="single" w:sz="4" w:space="0" w:color="auto"/>
              <w:right w:val="single" w:sz="4" w:space="0" w:color="auto"/>
            </w:tcBorders>
            <w:shd w:val="clear" w:color="000000" w:fill="FFFFFF"/>
            <w:vAlign w:val="center"/>
            <w:hideMark/>
          </w:tcPr>
          <w:p w14:paraId="44960872"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334" w:type="pct"/>
            <w:tcBorders>
              <w:top w:val="nil"/>
              <w:left w:val="nil"/>
              <w:bottom w:val="single" w:sz="4" w:space="0" w:color="auto"/>
              <w:right w:val="single" w:sz="4" w:space="0" w:color="auto"/>
            </w:tcBorders>
            <w:shd w:val="clear" w:color="000000" w:fill="FFFFFF"/>
            <w:vAlign w:val="center"/>
            <w:hideMark/>
          </w:tcPr>
          <w:p w14:paraId="4ACECF29"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Projekty wnioskodawców innych niż LGD</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7AEE3840" w14:textId="008CA9BB"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€ 90 000 </w:t>
            </w:r>
          </w:p>
        </w:tc>
      </w:tr>
      <w:tr w:rsidR="00CE2EDC" w:rsidRPr="00CB33D8" w14:paraId="2035EF80" w14:textId="77777777" w:rsidTr="00CE2EDC">
        <w:trPr>
          <w:gridAfter w:val="2"/>
          <w:wAfter w:w="19" w:type="pct"/>
          <w:trHeight w:val="1209"/>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76C3620B" w14:textId="77777777"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lastRenderedPageBreak/>
              <w:t>Niska aktywność organizacji pozarządowych</w:t>
            </w:r>
          </w:p>
        </w:tc>
        <w:tc>
          <w:tcPr>
            <w:tcW w:w="177" w:type="pct"/>
            <w:tcBorders>
              <w:top w:val="nil"/>
              <w:left w:val="nil"/>
              <w:bottom w:val="single" w:sz="4" w:space="0" w:color="auto"/>
              <w:right w:val="single" w:sz="4" w:space="0" w:color="auto"/>
            </w:tcBorders>
            <w:shd w:val="clear" w:color="000000" w:fill="FFFFFF"/>
            <w:vAlign w:val="center"/>
            <w:hideMark/>
          </w:tcPr>
          <w:p w14:paraId="409535C9"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1.12</w:t>
            </w:r>
          </w:p>
        </w:tc>
        <w:tc>
          <w:tcPr>
            <w:tcW w:w="684" w:type="pct"/>
            <w:tcBorders>
              <w:top w:val="nil"/>
              <w:left w:val="nil"/>
              <w:bottom w:val="single" w:sz="4" w:space="0" w:color="auto"/>
              <w:right w:val="single" w:sz="4" w:space="0" w:color="auto"/>
            </w:tcBorders>
            <w:shd w:val="clear" w:color="000000" w:fill="FFFFFF"/>
            <w:vAlign w:val="center"/>
            <w:hideMark/>
          </w:tcPr>
          <w:p w14:paraId="373D282D" w14:textId="299693C2"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Działania marketingowe na rzecz spójności </w:t>
            </w:r>
            <w:r w:rsidR="00E36C64" w:rsidRP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budowania wspólnoty obszaru</w:t>
            </w:r>
          </w:p>
        </w:tc>
        <w:tc>
          <w:tcPr>
            <w:tcW w:w="647" w:type="pct"/>
            <w:tcBorders>
              <w:top w:val="nil"/>
              <w:left w:val="nil"/>
              <w:bottom w:val="single" w:sz="4" w:space="0" w:color="auto"/>
              <w:right w:val="single" w:sz="4" w:space="0" w:color="auto"/>
            </w:tcBorders>
            <w:shd w:val="clear" w:color="000000" w:fill="FFFFFF"/>
            <w:vAlign w:val="center"/>
            <w:hideMark/>
          </w:tcPr>
          <w:p w14:paraId="403B1D1D"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36D8C86A" w14:textId="3BC5D78C" w:rsidR="00CB33D8" w:rsidRPr="00E860C3" w:rsidRDefault="0015230F"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7. Kształtowanie świadomości obywatelskiej (…),</w:t>
            </w:r>
            <w:r w:rsidRPr="00E860C3">
              <w:rPr>
                <w:rFonts w:ascii="Times New Roman" w:eastAsia="Times New Roman" w:hAnsi="Times New Roman" w:cs="Times New Roman"/>
                <w:color w:val="000000"/>
                <w:sz w:val="18"/>
                <w:szCs w:val="18"/>
                <w:lang w:eastAsia="pl-PL"/>
              </w:rPr>
              <w:br/>
              <w:t xml:space="preserve"> a także wzmacnianie programów edukacji liderów życia publicznego i społecznego;</w:t>
            </w:r>
            <w:r w:rsidR="00CE2EDC">
              <w:rPr>
                <w:rFonts w:ascii="Times New Roman" w:eastAsia="Times New Roman" w:hAnsi="Times New Roman" w:cs="Times New Roman"/>
                <w:color w:val="000000"/>
                <w:sz w:val="18"/>
                <w:szCs w:val="18"/>
                <w:lang w:eastAsia="pl-PL"/>
              </w:rPr>
              <w:t xml:space="preserve"> </w:t>
            </w:r>
            <w:r w:rsidRPr="00E860C3">
              <w:rPr>
                <w:rFonts w:ascii="Times New Roman" w:eastAsia="Times New Roman" w:hAnsi="Times New Roman" w:cs="Times New Roman"/>
                <w:color w:val="000000"/>
                <w:sz w:val="18"/>
                <w:szCs w:val="18"/>
                <w:lang w:eastAsia="pl-PL"/>
              </w:rPr>
              <w:t>nieinwestycyjny</w:t>
            </w:r>
          </w:p>
        </w:tc>
        <w:tc>
          <w:tcPr>
            <w:tcW w:w="271" w:type="pct"/>
            <w:tcBorders>
              <w:top w:val="nil"/>
              <w:left w:val="nil"/>
              <w:bottom w:val="single" w:sz="4" w:space="0" w:color="auto"/>
              <w:right w:val="single" w:sz="4" w:space="0" w:color="auto"/>
            </w:tcBorders>
            <w:shd w:val="clear" w:color="000000" w:fill="FFFFFF"/>
            <w:vAlign w:val="center"/>
            <w:hideMark/>
          </w:tcPr>
          <w:p w14:paraId="358D4D0C"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08D1843A"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 i inne osoby prawne</w:t>
            </w:r>
          </w:p>
        </w:tc>
        <w:tc>
          <w:tcPr>
            <w:tcW w:w="407" w:type="pct"/>
            <w:tcBorders>
              <w:top w:val="nil"/>
              <w:left w:val="nil"/>
              <w:bottom w:val="single" w:sz="4" w:space="0" w:color="auto"/>
              <w:right w:val="single" w:sz="4" w:space="0" w:color="auto"/>
            </w:tcBorders>
            <w:shd w:val="clear" w:color="000000" w:fill="FFFFFF"/>
            <w:vAlign w:val="center"/>
            <w:hideMark/>
          </w:tcPr>
          <w:p w14:paraId="68CA67C1"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organizacje pozarządowe</w:t>
            </w:r>
          </w:p>
        </w:tc>
        <w:tc>
          <w:tcPr>
            <w:tcW w:w="334" w:type="pct"/>
            <w:tcBorders>
              <w:top w:val="nil"/>
              <w:left w:val="nil"/>
              <w:bottom w:val="single" w:sz="4" w:space="0" w:color="auto"/>
              <w:right w:val="single" w:sz="4" w:space="0" w:color="auto"/>
            </w:tcBorders>
            <w:shd w:val="clear" w:color="000000" w:fill="FFFFFF"/>
            <w:vAlign w:val="center"/>
            <w:hideMark/>
          </w:tcPr>
          <w:p w14:paraId="37FB4A47"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własny LGD</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3E5D669A" w14:textId="2F581A11"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€ 60 000 </w:t>
            </w:r>
          </w:p>
        </w:tc>
      </w:tr>
      <w:tr w:rsidR="00CE2EDC" w:rsidRPr="00CB33D8" w14:paraId="6E213AAC" w14:textId="77777777" w:rsidTr="00CE2EDC">
        <w:trPr>
          <w:gridAfter w:val="2"/>
          <w:wAfter w:w="19" w:type="pct"/>
          <w:trHeight w:val="1125"/>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5031B4E6" w14:textId="6FF16DDF"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 xml:space="preserve">Niewystarczająca oferta rozwoju </w:t>
            </w:r>
            <w:r w:rsidR="0015230F" w:rsidRPr="00E860C3">
              <w:rPr>
                <w:rFonts w:ascii="Times New Roman" w:eastAsia="Times New Roman" w:hAnsi="Times New Roman" w:cs="Times New Roman"/>
                <w:i/>
                <w:iCs/>
                <w:color w:val="000000"/>
                <w:sz w:val="18"/>
                <w:szCs w:val="18"/>
                <w:lang w:eastAsia="pl-PL"/>
              </w:rPr>
              <w:br/>
            </w:r>
            <w:r w:rsidRPr="00E860C3">
              <w:rPr>
                <w:rFonts w:ascii="Times New Roman" w:eastAsia="Times New Roman" w:hAnsi="Times New Roman" w:cs="Times New Roman"/>
                <w:i/>
                <w:iCs/>
                <w:color w:val="000000"/>
                <w:sz w:val="18"/>
                <w:szCs w:val="18"/>
                <w:lang w:eastAsia="pl-PL"/>
              </w:rPr>
              <w:t xml:space="preserve">i zagospodarowania czasu wolnego </w:t>
            </w:r>
          </w:p>
        </w:tc>
        <w:tc>
          <w:tcPr>
            <w:tcW w:w="177" w:type="pct"/>
            <w:tcBorders>
              <w:top w:val="nil"/>
              <w:left w:val="nil"/>
              <w:bottom w:val="single" w:sz="4" w:space="0" w:color="auto"/>
              <w:right w:val="single" w:sz="4" w:space="0" w:color="auto"/>
            </w:tcBorders>
            <w:shd w:val="clear" w:color="000000" w:fill="FFFFFF"/>
            <w:vAlign w:val="center"/>
            <w:hideMark/>
          </w:tcPr>
          <w:p w14:paraId="1DF5CCA0"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1.13</w:t>
            </w:r>
          </w:p>
        </w:tc>
        <w:tc>
          <w:tcPr>
            <w:tcW w:w="684" w:type="pct"/>
            <w:tcBorders>
              <w:top w:val="nil"/>
              <w:left w:val="nil"/>
              <w:bottom w:val="single" w:sz="4" w:space="0" w:color="auto"/>
              <w:right w:val="single" w:sz="4" w:space="0" w:color="auto"/>
            </w:tcBorders>
            <w:shd w:val="clear" w:color="000000" w:fill="FFFFFF"/>
            <w:vAlign w:val="center"/>
            <w:hideMark/>
          </w:tcPr>
          <w:p w14:paraId="79B7CD45"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Zwiększenie oferty kultury </w:t>
            </w:r>
          </w:p>
        </w:tc>
        <w:tc>
          <w:tcPr>
            <w:tcW w:w="647" w:type="pct"/>
            <w:tcBorders>
              <w:top w:val="nil"/>
              <w:left w:val="nil"/>
              <w:bottom w:val="single" w:sz="4" w:space="0" w:color="auto"/>
              <w:right w:val="single" w:sz="4" w:space="0" w:color="auto"/>
            </w:tcBorders>
            <w:shd w:val="clear" w:color="000000" w:fill="FFFFFF"/>
            <w:vAlign w:val="center"/>
            <w:hideMark/>
          </w:tcPr>
          <w:p w14:paraId="1B4AC448"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1E58CD82" w14:textId="7C66D842"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7.</w:t>
            </w:r>
            <w:r w:rsidR="00811783">
              <w:rPr>
                <w:rFonts w:ascii="Times New Roman" w:eastAsia="Times New Roman" w:hAnsi="Times New Roman" w:cs="Times New Roman"/>
                <w:color w:val="000000"/>
                <w:sz w:val="18"/>
                <w:szCs w:val="18"/>
                <w:lang w:eastAsia="pl-PL"/>
              </w:rPr>
              <w:t xml:space="preserve"> P</w:t>
            </w:r>
            <w:r w:rsidRPr="00E860C3">
              <w:rPr>
                <w:rFonts w:ascii="Times New Roman" w:eastAsia="Times New Roman" w:hAnsi="Times New Roman" w:cs="Times New Roman"/>
                <w:color w:val="000000"/>
                <w:sz w:val="18"/>
                <w:szCs w:val="18"/>
                <w:lang w:eastAsia="pl-PL"/>
              </w:rPr>
              <w:t xml:space="preserve">oprawa dostępu do usług dla lokalnych społeczności, </w:t>
            </w:r>
            <w:r w:rsidR="00BC6F5F">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z wyłączeniem inwestycji infrastrukturalnych; nieinwestycyjny</w:t>
            </w:r>
          </w:p>
        </w:tc>
        <w:tc>
          <w:tcPr>
            <w:tcW w:w="271" w:type="pct"/>
            <w:tcBorders>
              <w:top w:val="nil"/>
              <w:left w:val="nil"/>
              <w:bottom w:val="single" w:sz="4" w:space="0" w:color="auto"/>
              <w:right w:val="single" w:sz="4" w:space="0" w:color="auto"/>
            </w:tcBorders>
            <w:shd w:val="clear" w:color="000000" w:fill="FFFFFF"/>
            <w:vAlign w:val="center"/>
            <w:hideMark/>
          </w:tcPr>
          <w:p w14:paraId="4FD0B56A"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14CC7E66"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w:t>
            </w:r>
          </w:p>
        </w:tc>
        <w:tc>
          <w:tcPr>
            <w:tcW w:w="407" w:type="pct"/>
            <w:tcBorders>
              <w:top w:val="nil"/>
              <w:left w:val="nil"/>
              <w:bottom w:val="single" w:sz="4" w:space="0" w:color="auto"/>
              <w:right w:val="single" w:sz="4" w:space="0" w:color="auto"/>
            </w:tcBorders>
            <w:shd w:val="clear" w:color="000000" w:fill="FFFFFF"/>
            <w:vAlign w:val="center"/>
            <w:hideMark/>
          </w:tcPr>
          <w:p w14:paraId="0419CF33"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334" w:type="pct"/>
            <w:tcBorders>
              <w:top w:val="nil"/>
              <w:left w:val="nil"/>
              <w:bottom w:val="single" w:sz="4" w:space="0" w:color="auto"/>
              <w:right w:val="single" w:sz="4" w:space="0" w:color="auto"/>
            </w:tcBorders>
            <w:shd w:val="clear" w:color="000000" w:fill="FFFFFF"/>
            <w:vAlign w:val="center"/>
            <w:hideMark/>
          </w:tcPr>
          <w:p w14:paraId="6D2E7738"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2AA0992E" w14:textId="61ECBB51"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r>
      <w:tr w:rsidR="00CE2EDC" w:rsidRPr="00CB33D8" w14:paraId="02CF0B33" w14:textId="77777777" w:rsidTr="00CE2EDC">
        <w:trPr>
          <w:gridAfter w:val="2"/>
          <w:wAfter w:w="19" w:type="pct"/>
          <w:trHeight w:val="2311"/>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0BD4C4D6" w14:textId="77777777"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Niska aktywność organizacji pozarządowych</w:t>
            </w:r>
          </w:p>
        </w:tc>
        <w:tc>
          <w:tcPr>
            <w:tcW w:w="177" w:type="pct"/>
            <w:tcBorders>
              <w:top w:val="nil"/>
              <w:left w:val="nil"/>
              <w:bottom w:val="single" w:sz="4" w:space="0" w:color="auto"/>
              <w:right w:val="single" w:sz="4" w:space="0" w:color="auto"/>
            </w:tcBorders>
            <w:shd w:val="clear" w:color="000000" w:fill="FFFFFF"/>
            <w:vAlign w:val="center"/>
            <w:hideMark/>
          </w:tcPr>
          <w:p w14:paraId="7C8FEC07"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1.14</w:t>
            </w:r>
          </w:p>
        </w:tc>
        <w:tc>
          <w:tcPr>
            <w:tcW w:w="684" w:type="pct"/>
            <w:tcBorders>
              <w:top w:val="nil"/>
              <w:left w:val="nil"/>
              <w:bottom w:val="single" w:sz="4" w:space="0" w:color="auto"/>
              <w:right w:val="single" w:sz="4" w:space="0" w:color="auto"/>
            </w:tcBorders>
            <w:shd w:val="clear" w:color="000000" w:fill="FFFFFF"/>
            <w:vAlign w:val="center"/>
            <w:hideMark/>
          </w:tcPr>
          <w:p w14:paraId="385EC1C7"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Utworzenie akademii liderów społecznych</w:t>
            </w:r>
          </w:p>
        </w:tc>
        <w:tc>
          <w:tcPr>
            <w:tcW w:w="647" w:type="pct"/>
            <w:tcBorders>
              <w:top w:val="nil"/>
              <w:left w:val="nil"/>
              <w:bottom w:val="single" w:sz="4" w:space="0" w:color="auto"/>
              <w:right w:val="single" w:sz="4" w:space="0" w:color="auto"/>
            </w:tcBorders>
            <w:shd w:val="clear" w:color="000000" w:fill="FFFFFF"/>
            <w:vAlign w:val="center"/>
            <w:hideMark/>
          </w:tcPr>
          <w:p w14:paraId="263CC53D"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046775C1" w14:textId="4076A2C1" w:rsidR="00CB33D8" w:rsidRPr="00E860C3" w:rsidRDefault="0015230F"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7. Kształtowanie świadomości obywatelskiej (…),</w:t>
            </w:r>
            <w:r w:rsidRPr="00E860C3">
              <w:rPr>
                <w:rFonts w:ascii="Times New Roman" w:eastAsia="Times New Roman" w:hAnsi="Times New Roman" w:cs="Times New Roman"/>
                <w:color w:val="000000"/>
                <w:sz w:val="18"/>
                <w:szCs w:val="18"/>
                <w:lang w:eastAsia="pl-PL"/>
              </w:rPr>
              <w:br/>
              <w:t xml:space="preserve"> a także wzmacnianie programów edukacji liderów życia publicznego i społecznego;</w:t>
            </w:r>
            <w:r w:rsidR="00CE2EDC">
              <w:rPr>
                <w:rFonts w:ascii="Times New Roman" w:eastAsia="Times New Roman" w:hAnsi="Times New Roman" w:cs="Times New Roman"/>
                <w:color w:val="000000"/>
                <w:sz w:val="18"/>
                <w:szCs w:val="18"/>
                <w:lang w:eastAsia="pl-PL"/>
              </w:rPr>
              <w:t xml:space="preserve"> </w:t>
            </w:r>
            <w:r w:rsidRPr="00E860C3">
              <w:rPr>
                <w:rFonts w:ascii="Times New Roman" w:eastAsia="Times New Roman" w:hAnsi="Times New Roman" w:cs="Times New Roman"/>
                <w:color w:val="000000"/>
                <w:sz w:val="18"/>
                <w:szCs w:val="18"/>
                <w:lang w:eastAsia="pl-PL"/>
              </w:rPr>
              <w:t>nieinwestycyjny</w:t>
            </w:r>
          </w:p>
        </w:tc>
        <w:tc>
          <w:tcPr>
            <w:tcW w:w="271" w:type="pct"/>
            <w:tcBorders>
              <w:top w:val="nil"/>
              <w:left w:val="nil"/>
              <w:bottom w:val="single" w:sz="4" w:space="0" w:color="auto"/>
              <w:right w:val="single" w:sz="4" w:space="0" w:color="auto"/>
            </w:tcBorders>
            <w:shd w:val="clear" w:color="000000" w:fill="FFFFFF"/>
            <w:vAlign w:val="center"/>
            <w:hideMark/>
          </w:tcPr>
          <w:p w14:paraId="101D1042"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46056EB8"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 i inne osoby prawne</w:t>
            </w:r>
          </w:p>
        </w:tc>
        <w:tc>
          <w:tcPr>
            <w:tcW w:w="407" w:type="pct"/>
            <w:tcBorders>
              <w:top w:val="nil"/>
              <w:left w:val="nil"/>
              <w:bottom w:val="single" w:sz="4" w:space="0" w:color="auto"/>
              <w:right w:val="single" w:sz="4" w:space="0" w:color="auto"/>
            </w:tcBorders>
            <w:shd w:val="clear" w:color="000000" w:fill="FFFFFF"/>
            <w:vAlign w:val="center"/>
            <w:hideMark/>
          </w:tcPr>
          <w:p w14:paraId="59757244"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organizacje pozarządowe</w:t>
            </w:r>
          </w:p>
        </w:tc>
        <w:tc>
          <w:tcPr>
            <w:tcW w:w="334" w:type="pct"/>
            <w:tcBorders>
              <w:top w:val="nil"/>
              <w:left w:val="nil"/>
              <w:bottom w:val="single" w:sz="4" w:space="0" w:color="auto"/>
              <w:right w:val="single" w:sz="4" w:space="0" w:color="auto"/>
            </w:tcBorders>
            <w:shd w:val="clear" w:color="000000" w:fill="FFFFFF"/>
            <w:vAlign w:val="center"/>
            <w:hideMark/>
          </w:tcPr>
          <w:p w14:paraId="09AD8A5A"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własny LGD</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61A14488" w14:textId="51DB0028"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r>
      <w:tr w:rsidR="00CE2EDC" w:rsidRPr="00CB33D8" w14:paraId="7D6A83F0" w14:textId="77777777" w:rsidTr="00CE2EDC">
        <w:trPr>
          <w:gridAfter w:val="2"/>
          <w:wAfter w:w="19" w:type="pct"/>
          <w:trHeight w:val="1410"/>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5BED4552" w14:textId="77777777"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Słabe wykorzystania cyfryzacji do rozwoju osobistego</w:t>
            </w:r>
          </w:p>
        </w:tc>
        <w:tc>
          <w:tcPr>
            <w:tcW w:w="177" w:type="pct"/>
            <w:tcBorders>
              <w:top w:val="nil"/>
              <w:left w:val="nil"/>
              <w:bottom w:val="single" w:sz="4" w:space="0" w:color="auto"/>
              <w:right w:val="single" w:sz="4" w:space="0" w:color="auto"/>
            </w:tcBorders>
            <w:shd w:val="clear" w:color="000000" w:fill="FFFFFF"/>
            <w:vAlign w:val="center"/>
            <w:hideMark/>
          </w:tcPr>
          <w:p w14:paraId="3889318F"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1.15</w:t>
            </w:r>
          </w:p>
        </w:tc>
        <w:tc>
          <w:tcPr>
            <w:tcW w:w="684" w:type="pct"/>
            <w:tcBorders>
              <w:top w:val="nil"/>
              <w:left w:val="nil"/>
              <w:bottom w:val="single" w:sz="4" w:space="0" w:color="auto"/>
              <w:right w:val="single" w:sz="4" w:space="0" w:color="auto"/>
            </w:tcBorders>
            <w:shd w:val="clear" w:color="000000" w:fill="FFFFFF"/>
            <w:vAlign w:val="center"/>
            <w:hideMark/>
          </w:tcPr>
          <w:p w14:paraId="023F1278" w14:textId="2ECBF6BD"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Wsparcie rozwoju kompetencji mieszkańców </w:t>
            </w:r>
            <w:r w:rsidR="00E36C64" w:rsidRP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 xml:space="preserve">w zakresie pracy, usług </w:t>
            </w:r>
            <w:r w:rsidR="00E36C64" w:rsidRP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nauki zdalnej</w:t>
            </w:r>
          </w:p>
        </w:tc>
        <w:tc>
          <w:tcPr>
            <w:tcW w:w="647" w:type="pct"/>
            <w:tcBorders>
              <w:top w:val="nil"/>
              <w:left w:val="nil"/>
              <w:bottom w:val="single" w:sz="4" w:space="0" w:color="auto"/>
              <w:right w:val="single" w:sz="4" w:space="0" w:color="auto"/>
            </w:tcBorders>
            <w:shd w:val="clear" w:color="000000" w:fill="FFFFFF"/>
            <w:vAlign w:val="center"/>
            <w:hideMark/>
          </w:tcPr>
          <w:p w14:paraId="48B43F10"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45E42EDE" w14:textId="10DC5413" w:rsidR="00CB33D8" w:rsidRPr="00E860C3" w:rsidRDefault="0015230F"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7. Kształtowanie świadomości obywatelskiej (…),</w:t>
            </w:r>
            <w:r w:rsidRPr="00E860C3">
              <w:rPr>
                <w:rFonts w:ascii="Times New Roman" w:eastAsia="Times New Roman" w:hAnsi="Times New Roman" w:cs="Times New Roman"/>
                <w:color w:val="000000"/>
                <w:sz w:val="18"/>
                <w:szCs w:val="18"/>
                <w:lang w:eastAsia="pl-PL"/>
              </w:rPr>
              <w:br/>
              <w:t xml:space="preserve"> a także wzmacnianie programów edukacji liderów życia publicznego i społecznego;</w:t>
            </w:r>
            <w:r w:rsidRPr="00E860C3">
              <w:rPr>
                <w:rFonts w:ascii="Times New Roman" w:eastAsia="Times New Roman" w:hAnsi="Times New Roman" w:cs="Times New Roman"/>
                <w:color w:val="000000"/>
                <w:sz w:val="18"/>
                <w:szCs w:val="18"/>
                <w:lang w:eastAsia="pl-PL"/>
              </w:rPr>
              <w:br/>
              <w:t>nieinwestycyjny</w:t>
            </w:r>
          </w:p>
        </w:tc>
        <w:tc>
          <w:tcPr>
            <w:tcW w:w="271" w:type="pct"/>
            <w:tcBorders>
              <w:top w:val="nil"/>
              <w:left w:val="nil"/>
              <w:bottom w:val="single" w:sz="4" w:space="0" w:color="auto"/>
              <w:right w:val="single" w:sz="4" w:space="0" w:color="auto"/>
            </w:tcBorders>
            <w:shd w:val="clear" w:color="000000" w:fill="FFFFFF"/>
            <w:vAlign w:val="center"/>
            <w:hideMark/>
          </w:tcPr>
          <w:p w14:paraId="5DE6D443"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7B69F177"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 i inne osoby prawne</w:t>
            </w:r>
          </w:p>
        </w:tc>
        <w:tc>
          <w:tcPr>
            <w:tcW w:w="407" w:type="pct"/>
            <w:tcBorders>
              <w:top w:val="nil"/>
              <w:left w:val="nil"/>
              <w:bottom w:val="single" w:sz="4" w:space="0" w:color="auto"/>
              <w:right w:val="single" w:sz="4" w:space="0" w:color="auto"/>
            </w:tcBorders>
            <w:shd w:val="clear" w:color="000000" w:fill="FFFFFF"/>
            <w:vAlign w:val="center"/>
            <w:hideMark/>
          </w:tcPr>
          <w:p w14:paraId="2A616E59"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334" w:type="pct"/>
            <w:tcBorders>
              <w:top w:val="nil"/>
              <w:left w:val="nil"/>
              <w:bottom w:val="single" w:sz="4" w:space="0" w:color="auto"/>
              <w:right w:val="single" w:sz="4" w:space="0" w:color="auto"/>
            </w:tcBorders>
            <w:shd w:val="clear" w:color="000000" w:fill="FFFFFF"/>
            <w:vAlign w:val="center"/>
            <w:hideMark/>
          </w:tcPr>
          <w:p w14:paraId="76D31995"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własny LGD</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1B894D63" w14:textId="59A1EC13"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r>
      <w:tr w:rsidR="00CE2EDC" w:rsidRPr="00CB33D8" w14:paraId="3CA929FB" w14:textId="77777777" w:rsidTr="00CE2EDC">
        <w:trPr>
          <w:gridAfter w:val="2"/>
          <w:wAfter w:w="19" w:type="pct"/>
          <w:trHeight w:val="1552"/>
        </w:trPr>
        <w:tc>
          <w:tcPr>
            <w:tcW w:w="667" w:type="pct"/>
            <w:tcBorders>
              <w:top w:val="nil"/>
              <w:left w:val="single" w:sz="4" w:space="0" w:color="auto"/>
              <w:bottom w:val="single" w:sz="4" w:space="0" w:color="auto"/>
              <w:right w:val="single" w:sz="4" w:space="0" w:color="auto"/>
            </w:tcBorders>
            <w:shd w:val="clear" w:color="000000" w:fill="FFFFFF"/>
            <w:vAlign w:val="center"/>
            <w:hideMark/>
          </w:tcPr>
          <w:p w14:paraId="7A547822" w14:textId="77777777" w:rsidR="00CB33D8" w:rsidRPr="00E860C3" w:rsidRDefault="00CB33D8" w:rsidP="00CB33D8">
            <w:pPr>
              <w:spacing w:after="0" w:line="240" w:lineRule="auto"/>
              <w:jc w:val="center"/>
              <w:rPr>
                <w:rFonts w:ascii="Times New Roman" w:eastAsia="Times New Roman" w:hAnsi="Times New Roman" w:cs="Times New Roman"/>
                <w:i/>
                <w:iCs/>
                <w:color w:val="000000"/>
                <w:sz w:val="18"/>
                <w:szCs w:val="18"/>
                <w:lang w:eastAsia="pl-PL"/>
              </w:rPr>
            </w:pPr>
            <w:r w:rsidRPr="00E860C3">
              <w:rPr>
                <w:rFonts w:ascii="Times New Roman" w:eastAsia="Times New Roman" w:hAnsi="Times New Roman" w:cs="Times New Roman"/>
                <w:i/>
                <w:iCs/>
                <w:color w:val="000000"/>
                <w:sz w:val="18"/>
                <w:szCs w:val="18"/>
                <w:lang w:eastAsia="pl-PL"/>
              </w:rPr>
              <w:t>Niska aktywność organizacji pozarządowych</w:t>
            </w:r>
          </w:p>
        </w:tc>
        <w:tc>
          <w:tcPr>
            <w:tcW w:w="177" w:type="pct"/>
            <w:tcBorders>
              <w:top w:val="nil"/>
              <w:left w:val="nil"/>
              <w:bottom w:val="single" w:sz="4" w:space="0" w:color="auto"/>
              <w:right w:val="single" w:sz="4" w:space="0" w:color="auto"/>
            </w:tcBorders>
            <w:shd w:val="clear" w:color="000000" w:fill="FFFFFF"/>
            <w:vAlign w:val="center"/>
            <w:hideMark/>
          </w:tcPr>
          <w:p w14:paraId="1591AA90"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1.16</w:t>
            </w:r>
          </w:p>
        </w:tc>
        <w:tc>
          <w:tcPr>
            <w:tcW w:w="684" w:type="pct"/>
            <w:tcBorders>
              <w:top w:val="nil"/>
              <w:left w:val="nil"/>
              <w:bottom w:val="single" w:sz="4" w:space="0" w:color="auto"/>
              <w:right w:val="single" w:sz="4" w:space="0" w:color="auto"/>
            </w:tcBorders>
            <w:shd w:val="clear" w:color="000000" w:fill="FFFFFF"/>
            <w:vAlign w:val="center"/>
            <w:hideMark/>
          </w:tcPr>
          <w:p w14:paraId="104913AF"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Kreowanie projektów partnerskich</w:t>
            </w:r>
          </w:p>
        </w:tc>
        <w:tc>
          <w:tcPr>
            <w:tcW w:w="647" w:type="pct"/>
            <w:tcBorders>
              <w:top w:val="nil"/>
              <w:left w:val="nil"/>
              <w:bottom w:val="single" w:sz="4" w:space="0" w:color="auto"/>
              <w:right w:val="single" w:sz="4" w:space="0" w:color="auto"/>
            </w:tcBorders>
            <w:shd w:val="clear" w:color="000000" w:fill="FFFFFF"/>
            <w:vAlign w:val="center"/>
            <w:hideMark/>
          </w:tcPr>
          <w:p w14:paraId="5E84CAFB"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Organizacja wydarzeń edukacyjnych, kulturalnych i integracyjnych</w:t>
            </w:r>
          </w:p>
        </w:tc>
        <w:tc>
          <w:tcPr>
            <w:tcW w:w="930" w:type="pct"/>
            <w:tcBorders>
              <w:top w:val="nil"/>
              <w:left w:val="nil"/>
              <w:bottom w:val="single" w:sz="4" w:space="0" w:color="auto"/>
              <w:right w:val="single" w:sz="4" w:space="0" w:color="auto"/>
            </w:tcBorders>
            <w:shd w:val="clear" w:color="000000" w:fill="FFFFFF"/>
            <w:vAlign w:val="center"/>
            <w:hideMark/>
          </w:tcPr>
          <w:p w14:paraId="276BF80B" w14:textId="48137FD0" w:rsidR="00CB33D8" w:rsidRPr="00E860C3" w:rsidRDefault="0015230F"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7. Kształtowanie świadomości obywatelskiej (…),</w:t>
            </w:r>
            <w:r w:rsidRPr="00E860C3">
              <w:rPr>
                <w:rFonts w:ascii="Times New Roman" w:eastAsia="Times New Roman" w:hAnsi="Times New Roman" w:cs="Times New Roman"/>
                <w:color w:val="000000"/>
                <w:sz w:val="18"/>
                <w:szCs w:val="18"/>
                <w:lang w:eastAsia="pl-PL"/>
              </w:rPr>
              <w:br/>
              <w:t xml:space="preserve"> a także wzmacnianie programów edukacji liderów życia publicznego i społecznego;</w:t>
            </w:r>
            <w:r w:rsidR="00CE2EDC">
              <w:rPr>
                <w:rFonts w:ascii="Times New Roman" w:eastAsia="Times New Roman" w:hAnsi="Times New Roman" w:cs="Times New Roman"/>
                <w:color w:val="000000"/>
                <w:sz w:val="18"/>
                <w:szCs w:val="18"/>
                <w:lang w:eastAsia="pl-PL"/>
              </w:rPr>
              <w:t xml:space="preserve"> </w:t>
            </w:r>
            <w:r w:rsidRPr="00E860C3">
              <w:rPr>
                <w:rFonts w:ascii="Times New Roman" w:eastAsia="Times New Roman" w:hAnsi="Times New Roman" w:cs="Times New Roman"/>
                <w:color w:val="000000"/>
                <w:sz w:val="18"/>
                <w:szCs w:val="18"/>
                <w:lang w:eastAsia="pl-PL"/>
              </w:rPr>
              <w:t>nieinwestycyjny</w:t>
            </w:r>
          </w:p>
        </w:tc>
        <w:tc>
          <w:tcPr>
            <w:tcW w:w="271" w:type="pct"/>
            <w:tcBorders>
              <w:top w:val="nil"/>
              <w:left w:val="nil"/>
              <w:bottom w:val="single" w:sz="4" w:space="0" w:color="auto"/>
              <w:right w:val="single" w:sz="4" w:space="0" w:color="auto"/>
            </w:tcBorders>
            <w:shd w:val="clear" w:color="000000" w:fill="FFFFFF"/>
            <w:vAlign w:val="center"/>
            <w:hideMark/>
          </w:tcPr>
          <w:p w14:paraId="7417974F"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445" w:type="pct"/>
            <w:tcBorders>
              <w:top w:val="nil"/>
              <w:left w:val="nil"/>
              <w:bottom w:val="single" w:sz="4" w:space="0" w:color="auto"/>
              <w:right w:val="single" w:sz="4" w:space="0" w:color="auto"/>
            </w:tcBorders>
            <w:shd w:val="clear" w:color="000000" w:fill="FFFFFF"/>
            <w:vAlign w:val="center"/>
            <w:hideMark/>
          </w:tcPr>
          <w:p w14:paraId="48149F52"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LGD i inne osoby prawne</w:t>
            </w:r>
          </w:p>
        </w:tc>
        <w:tc>
          <w:tcPr>
            <w:tcW w:w="407" w:type="pct"/>
            <w:tcBorders>
              <w:top w:val="nil"/>
              <w:left w:val="nil"/>
              <w:bottom w:val="single" w:sz="4" w:space="0" w:color="auto"/>
              <w:right w:val="single" w:sz="4" w:space="0" w:color="auto"/>
            </w:tcBorders>
            <w:shd w:val="clear" w:color="000000" w:fill="FFFFFF"/>
            <w:vAlign w:val="center"/>
            <w:hideMark/>
          </w:tcPr>
          <w:p w14:paraId="5A30DCBC"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organizacje pozarządowe</w:t>
            </w:r>
          </w:p>
        </w:tc>
        <w:tc>
          <w:tcPr>
            <w:tcW w:w="334" w:type="pct"/>
            <w:tcBorders>
              <w:top w:val="nil"/>
              <w:left w:val="nil"/>
              <w:bottom w:val="single" w:sz="4" w:space="0" w:color="auto"/>
              <w:right w:val="single" w:sz="4" w:space="0" w:color="auto"/>
            </w:tcBorders>
            <w:shd w:val="clear" w:color="000000" w:fill="FFFFFF"/>
            <w:vAlign w:val="center"/>
            <w:hideMark/>
          </w:tcPr>
          <w:p w14:paraId="1F91113C" w14:textId="77777777" w:rsidR="00CB33D8" w:rsidRPr="00E860C3" w:rsidRDefault="00CB33D8" w:rsidP="00CB33D8">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własny LGD</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1B4EE4B8" w14:textId="33EA842C" w:rsidR="00CB33D8" w:rsidRPr="00E860C3" w:rsidRDefault="00CB33D8" w:rsidP="0015230F">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r>
      <w:tr w:rsidR="00F35EB5" w:rsidRPr="00CB33D8" w14:paraId="5CEE4994" w14:textId="77777777" w:rsidTr="00CE2EDC">
        <w:trPr>
          <w:gridAfter w:val="1"/>
          <w:wAfter w:w="6" w:type="pct"/>
          <w:trHeight w:val="360"/>
        </w:trPr>
        <w:tc>
          <w:tcPr>
            <w:tcW w:w="4575"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40BC526F" w14:textId="77777777" w:rsidR="00CB33D8" w:rsidRPr="00E860C3" w:rsidRDefault="00CB33D8" w:rsidP="00CB33D8">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SUMA</w:t>
            </w:r>
          </w:p>
        </w:tc>
        <w:tc>
          <w:tcPr>
            <w:tcW w:w="419" w:type="pct"/>
            <w:gridSpan w:val="2"/>
            <w:tcBorders>
              <w:top w:val="nil"/>
              <w:left w:val="nil"/>
              <w:bottom w:val="single" w:sz="4" w:space="0" w:color="auto"/>
              <w:right w:val="single" w:sz="4" w:space="0" w:color="auto"/>
            </w:tcBorders>
            <w:shd w:val="clear" w:color="000000" w:fill="FFFFFF"/>
            <w:vAlign w:val="center"/>
            <w:hideMark/>
          </w:tcPr>
          <w:p w14:paraId="13B33469" w14:textId="77777777" w:rsidR="00CB33D8" w:rsidRPr="00E860C3" w:rsidRDefault="00CB33D8" w:rsidP="0015230F">
            <w:pPr>
              <w:spacing w:after="0" w:line="240" w:lineRule="auto"/>
              <w:jc w:val="right"/>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 xml:space="preserve"> € 3 000 000 </w:t>
            </w:r>
          </w:p>
        </w:tc>
      </w:tr>
    </w:tbl>
    <w:p w14:paraId="11F77ED2" w14:textId="72065796" w:rsidR="00523270" w:rsidRDefault="006826FB" w:rsidP="003B3C57">
      <w:pPr>
        <w:spacing w:line="360" w:lineRule="auto"/>
        <w:jc w:val="center"/>
      </w:pPr>
      <w:r w:rsidRPr="003E5E7E">
        <w:rPr>
          <w:rFonts w:ascii="Times New Roman" w:hAnsi="Times New Roman" w:cs="Times New Roman"/>
          <w:i/>
          <w:iCs/>
          <w:sz w:val="20"/>
          <w:szCs w:val="20"/>
        </w:rPr>
        <w:t xml:space="preserve">Źródło: </w:t>
      </w:r>
      <w:r>
        <w:rPr>
          <w:rFonts w:ascii="Times New Roman" w:hAnsi="Times New Roman" w:cs="Times New Roman"/>
          <w:i/>
          <w:iCs/>
          <w:sz w:val="20"/>
          <w:szCs w:val="20"/>
        </w:rPr>
        <w:t>Opracowanie</w:t>
      </w:r>
      <w:r w:rsidRPr="003E5E7E">
        <w:rPr>
          <w:rFonts w:ascii="Times New Roman" w:hAnsi="Times New Roman" w:cs="Times New Roman"/>
          <w:i/>
          <w:iCs/>
          <w:sz w:val="20"/>
          <w:szCs w:val="20"/>
        </w:rPr>
        <w:t xml:space="preserve"> własne</w:t>
      </w:r>
      <w:bookmarkEnd w:id="108"/>
    </w:p>
    <w:p w14:paraId="3631766D" w14:textId="77777777" w:rsidR="003B3C57" w:rsidRDefault="003B3C57" w:rsidP="00A17173">
      <w:pPr>
        <w:pStyle w:val="Gwne"/>
        <w:numPr>
          <w:ilvl w:val="0"/>
          <w:numId w:val="0"/>
        </w:numPr>
        <w:ind w:left="1077"/>
        <w:outlineLvl w:val="9"/>
        <w:rPr>
          <w:sz w:val="22"/>
          <w:szCs w:val="22"/>
        </w:rPr>
        <w:sectPr w:rsidR="003B3C57" w:rsidSect="003B3C57">
          <w:pgSz w:w="16838" w:h="11906" w:orient="landscape"/>
          <w:pgMar w:top="851" w:right="851" w:bottom="851" w:left="851" w:header="709" w:footer="709" w:gutter="0"/>
          <w:cols w:space="708"/>
          <w:docGrid w:linePitch="360"/>
        </w:sectPr>
      </w:pPr>
    </w:p>
    <w:p w14:paraId="5CF89B73" w14:textId="77777777" w:rsidR="00A17173" w:rsidRPr="006822F6" w:rsidRDefault="00A17173" w:rsidP="00A17173">
      <w:pPr>
        <w:pStyle w:val="Gwne"/>
        <w:ind w:left="1077" w:hanging="510"/>
        <w:rPr>
          <w:sz w:val="22"/>
          <w:szCs w:val="22"/>
        </w:rPr>
      </w:pPr>
      <w:bookmarkStart w:id="112" w:name="_Toc135896904"/>
      <w:r w:rsidRPr="006822F6">
        <w:rPr>
          <w:sz w:val="22"/>
          <w:szCs w:val="22"/>
        </w:rPr>
        <w:lastRenderedPageBreak/>
        <w:t>SPOSÓB WYBORU I OCENY OPERACJI ORAZ SPOSÓB USTANAWIANIA KRYTERIÓW WYBORU</w:t>
      </w:r>
      <w:bookmarkEnd w:id="112"/>
    </w:p>
    <w:p w14:paraId="320F6492" w14:textId="77777777" w:rsidR="00A859BB" w:rsidRPr="00F7125D" w:rsidRDefault="00A859BB" w:rsidP="00E36C64">
      <w:pPr>
        <w:spacing w:after="0" w:line="276" w:lineRule="auto"/>
        <w:ind w:firstLine="708"/>
        <w:jc w:val="both"/>
        <w:rPr>
          <w:rFonts w:ascii="Times New Roman" w:hAnsi="Times New Roman" w:cs="Times New Roman"/>
        </w:rPr>
      </w:pPr>
      <w:r w:rsidRPr="00F7125D">
        <w:rPr>
          <w:rFonts w:ascii="Times New Roman" w:hAnsi="Times New Roman" w:cs="Times New Roman"/>
        </w:rPr>
        <w:t xml:space="preserve">Kryteria wyboru i oceny operacji </w:t>
      </w:r>
      <w:r>
        <w:rPr>
          <w:rFonts w:ascii="Times New Roman" w:hAnsi="Times New Roman" w:cs="Times New Roman"/>
        </w:rPr>
        <w:t>zostaną ustalone</w:t>
      </w:r>
      <w:r w:rsidRPr="00F7125D">
        <w:rPr>
          <w:rFonts w:ascii="Times New Roman" w:hAnsi="Times New Roman" w:cs="Times New Roman"/>
        </w:rPr>
        <w:t xml:space="preserve"> przede wszystkim w takim zakresie, aby premiować przedsięwzięcia, które będą niwelować problemy wynikające z diagnozy obszaru i konsultacji społecznych oraz by wpływać na osiąganie zamierzonych celów i wskaźników produktu oraz rezultatu. Tworzenie kryteriów</w:t>
      </w:r>
      <w:r>
        <w:rPr>
          <w:rFonts w:ascii="Times New Roman" w:hAnsi="Times New Roman" w:cs="Times New Roman"/>
        </w:rPr>
        <w:t xml:space="preserve"> odbyło się</w:t>
      </w:r>
      <w:r w:rsidRPr="00F7125D">
        <w:rPr>
          <w:rFonts w:ascii="Times New Roman" w:hAnsi="Times New Roman" w:cs="Times New Roman"/>
        </w:rPr>
        <w:t xml:space="preserve"> przy udziale lokalnej społeczności </w:t>
      </w:r>
      <w:r>
        <w:rPr>
          <w:rFonts w:ascii="Times New Roman" w:hAnsi="Times New Roman" w:cs="Times New Roman"/>
        </w:rPr>
        <w:t xml:space="preserve">i </w:t>
      </w:r>
      <w:r w:rsidRPr="00F7125D">
        <w:rPr>
          <w:rFonts w:ascii="Times New Roman" w:hAnsi="Times New Roman" w:cs="Times New Roman"/>
        </w:rPr>
        <w:t>miało na celu ustalenie aspektów, które będą szczególnie premiowane w ramach oceny wniosków oraz będą zaspokajać potrzeby mieszkańców, poznane podczas przeprowadzonych konsultacji społecznych na obszarze. Opracowane kryteria są ściśle powiązane z cel</w:t>
      </w:r>
      <w:r>
        <w:rPr>
          <w:rFonts w:ascii="Times New Roman" w:hAnsi="Times New Roman" w:cs="Times New Roman"/>
        </w:rPr>
        <w:t>em</w:t>
      </w:r>
      <w:r w:rsidRPr="00F7125D">
        <w:rPr>
          <w:rFonts w:ascii="Times New Roman" w:hAnsi="Times New Roman" w:cs="Times New Roman"/>
        </w:rPr>
        <w:t xml:space="preserve"> i grupami docelowymi, do których jest kierowane wsparcie, w zależności od rodzaju beneficjenta – z uwzględnieniem wyników diagnozy i analizy SWOT. Kryteria opracowano w sposób przejrzysty, mierzalny, pozwalający uniknąć sytuacji niepożądanych, polegających na subiektywnej ocenie, a przyznawanie punków odbywać się będzie w formie zero-jedynkowej.</w:t>
      </w:r>
    </w:p>
    <w:p w14:paraId="13920DAF" w14:textId="5ADC9507" w:rsidR="00A859BB" w:rsidRDefault="00A859BB" w:rsidP="00E36C64">
      <w:pPr>
        <w:spacing w:after="0" w:line="276" w:lineRule="auto"/>
        <w:ind w:firstLine="709"/>
        <w:jc w:val="both"/>
        <w:rPr>
          <w:rFonts w:ascii="Times New Roman" w:hAnsi="Times New Roman" w:cs="Times New Roman"/>
        </w:rPr>
      </w:pPr>
      <w:r w:rsidRPr="00F7125D">
        <w:rPr>
          <w:rFonts w:ascii="Times New Roman" w:hAnsi="Times New Roman" w:cs="Times New Roman"/>
        </w:rPr>
        <w:t>Dla niektórych przedsięwzięć w LSR</w:t>
      </w:r>
      <w:r w:rsidR="00B10A37">
        <w:rPr>
          <w:rFonts w:ascii="Times New Roman" w:hAnsi="Times New Roman" w:cs="Times New Roman"/>
        </w:rPr>
        <w:t>,</w:t>
      </w:r>
      <w:r w:rsidRPr="00F7125D">
        <w:rPr>
          <w:rFonts w:ascii="Times New Roman" w:hAnsi="Times New Roman" w:cs="Times New Roman"/>
        </w:rPr>
        <w:t xml:space="preserve"> LGD ustanowiło </w:t>
      </w:r>
      <w:r w:rsidRPr="00F7125D">
        <w:rPr>
          <w:rFonts w:ascii="Times New Roman" w:hAnsi="Times New Roman"/>
        </w:rPr>
        <w:t>kryteria wyboru o charakterze dostępowym (zawężające możliwość uzyskania wsparcia), które pozwolą ukierunkować wsparcie na operacje najpełniej odpowiadające potrzebom obszaru LSR i najlepiej pasujące do zaplanowanych realizacji przedsięwzięć.</w:t>
      </w:r>
      <w:r>
        <w:rPr>
          <w:rFonts w:ascii="Times New Roman" w:hAnsi="Times New Roman"/>
        </w:rPr>
        <w:t xml:space="preserve"> </w:t>
      </w:r>
      <w:r w:rsidRPr="008F5B1E">
        <w:rPr>
          <w:rFonts w:ascii="Times New Roman" w:hAnsi="Times New Roman" w:cs="Times New Roman"/>
          <w:noProof/>
        </w:rPr>
        <w:t>W celu właściwego ukierunkowania pomocy</w:t>
      </w:r>
      <w:r>
        <w:rPr>
          <w:rFonts w:ascii="Times New Roman" w:hAnsi="Times New Roman" w:cs="Times New Roman"/>
          <w:noProof/>
        </w:rPr>
        <w:t>,</w:t>
      </w:r>
      <w:r w:rsidRPr="008F5B1E">
        <w:rPr>
          <w:rFonts w:ascii="Times New Roman" w:hAnsi="Times New Roman" w:cs="Times New Roman"/>
          <w:noProof/>
        </w:rPr>
        <w:t xml:space="preserve"> LGD </w:t>
      </w:r>
      <w:r>
        <w:rPr>
          <w:rFonts w:ascii="Times New Roman" w:hAnsi="Times New Roman" w:cs="Times New Roman"/>
          <w:noProof/>
        </w:rPr>
        <w:t>zastosuje również</w:t>
      </w:r>
      <w:r w:rsidRPr="008F5B1E">
        <w:rPr>
          <w:rFonts w:ascii="Times New Roman" w:hAnsi="Times New Roman" w:cs="Times New Roman"/>
          <w:noProof/>
        </w:rPr>
        <w:t xml:space="preserve"> kryteri</w:t>
      </w:r>
      <w:r>
        <w:rPr>
          <w:rFonts w:ascii="Times New Roman" w:hAnsi="Times New Roman" w:cs="Times New Roman"/>
          <w:noProof/>
        </w:rPr>
        <w:t xml:space="preserve">a </w:t>
      </w:r>
      <w:r w:rsidRPr="008F5B1E">
        <w:rPr>
          <w:rFonts w:ascii="Times New Roman" w:hAnsi="Times New Roman" w:cs="Times New Roman"/>
          <w:noProof/>
        </w:rPr>
        <w:t>wyboru premiując</w:t>
      </w:r>
      <w:r>
        <w:rPr>
          <w:rFonts w:ascii="Times New Roman" w:hAnsi="Times New Roman" w:cs="Times New Roman"/>
          <w:noProof/>
        </w:rPr>
        <w:t xml:space="preserve">e. Niektóre z kryteriów premiujących będą zastosowane do wszystkich przedsięwzięć, inne do wybranych. Jednym z kryteriów wyboru będzie punktowanie operacji innowacyjnych w zakresie inicjatyw oddolnych </w:t>
      </w:r>
      <w:r w:rsidRPr="00CA7DC4">
        <w:rPr>
          <w:rFonts w:ascii="Times New Roman" w:hAnsi="Times New Roman" w:cs="Times New Roman"/>
        </w:rPr>
        <w:t>skupiających się na pilotażach rozwiązań zmieniających sposób funkcjonowania społeczności lokalnej</w:t>
      </w:r>
      <w:r>
        <w:rPr>
          <w:rFonts w:ascii="Times New Roman" w:hAnsi="Times New Roman" w:cs="Times New Roman"/>
        </w:rPr>
        <w:t xml:space="preserve"> oraz punktowanie innowacyjnych rozwiązań w kierunku tworzenia nowych sposobów wykorzystania przestrzeni publicznych, </w:t>
      </w:r>
      <w:r w:rsidR="00E36C64">
        <w:rPr>
          <w:rFonts w:ascii="Times New Roman" w:hAnsi="Times New Roman" w:cs="Times New Roman"/>
        </w:rPr>
        <w:t xml:space="preserve">innowacji poprzez tworzenie infrastruktury przystosowanej dla osób z niepełnosprawnościami i ich opiekunów, </w:t>
      </w:r>
      <w:r>
        <w:rPr>
          <w:rFonts w:ascii="Times New Roman" w:hAnsi="Times New Roman" w:cs="Times New Roman"/>
        </w:rPr>
        <w:t>innowacji w wykorzystaniu nowo</w:t>
      </w:r>
      <w:r w:rsidR="008C15D9">
        <w:rPr>
          <w:rFonts w:ascii="Times New Roman" w:hAnsi="Times New Roman" w:cs="Times New Roman"/>
        </w:rPr>
        <w:t xml:space="preserve"> </w:t>
      </w:r>
      <w:r>
        <w:rPr>
          <w:rFonts w:ascii="Times New Roman" w:hAnsi="Times New Roman" w:cs="Times New Roman"/>
        </w:rPr>
        <w:t>powstałej infrastruktury oraz innowacyjne</w:t>
      </w:r>
      <w:r w:rsidR="008C15D9">
        <w:rPr>
          <w:rFonts w:ascii="Times New Roman" w:hAnsi="Times New Roman" w:cs="Times New Roman"/>
        </w:rPr>
        <w:t>go</w:t>
      </w:r>
      <w:r>
        <w:rPr>
          <w:rFonts w:ascii="Times New Roman" w:hAnsi="Times New Roman" w:cs="Times New Roman"/>
        </w:rPr>
        <w:t xml:space="preserve"> rozwiązania bazujące</w:t>
      </w:r>
      <w:r w:rsidR="008C15D9">
        <w:rPr>
          <w:rFonts w:ascii="Times New Roman" w:hAnsi="Times New Roman" w:cs="Times New Roman"/>
        </w:rPr>
        <w:t>go</w:t>
      </w:r>
      <w:r>
        <w:rPr>
          <w:rFonts w:ascii="Times New Roman" w:hAnsi="Times New Roman" w:cs="Times New Roman"/>
        </w:rPr>
        <w:t xml:space="preserve"> na cyfryzacji</w:t>
      </w:r>
      <w:r w:rsidR="008C15D9">
        <w:rPr>
          <w:rFonts w:ascii="Times New Roman" w:hAnsi="Times New Roman" w:cs="Times New Roman"/>
        </w:rPr>
        <w:t>,</w:t>
      </w:r>
      <w:r>
        <w:rPr>
          <w:rFonts w:ascii="Times New Roman" w:hAnsi="Times New Roman" w:cs="Times New Roman"/>
        </w:rPr>
        <w:t xml:space="preserve"> wprowadzane</w:t>
      </w:r>
      <w:r w:rsidR="008C15D9">
        <w:rPr>
          <w:rFonts w:ascii="Times New Roman" w:hAnsi="Times New Roman" w:cs="Times New Roman"/>
        </w:rPr>
        <w:t>go</w:t>
      </w:r>
      <w:r>
        <w:rPr>
          <w:rFonts w:ascii="Times New Roman" w:hAnsi="Times New Roman" w:cs="Times New Roman"/>
        </w:rPr>
        <w:t xml:space="preserve"> w rozwijanych </w:t>
      </w:r>
      <w:r>
        <w:rPr>
          <w:rFonts w:ascii="Times New Roman" w:hAnsi="Times New Roman" w:cs="Times New Roman"/>
        </w:rPr>
        <w:br/>
        <w:t>i zakładanych przedsiębiorstwach</w:t>
      </w:r>
      <w:r w:rsidR="00E36C64">
        <w:rPr>
          <w:rFonts w:ascii="Times New Roman" w:hAnsi="Times New Roman" w:cs="Times New Roman"/>
        </w:rPr>
        <w:t>.</w:t>
      </w:r>
    </w:p>
    <w:p w14:paraId="6523A17A" w14:textId="77777777" w:rsidR="00A859BB" w:rsidRPr="00BD3FA3" w:rsidRDefault="00A859BB" w:rsidP="00E36C64">
      <w:pPr>
        <w:spacing w:after="0" w:line="276" w:lineRule="auto"/>
        <w:ind w:firstLine="708"/>
        <w:jc w:val="both"/>
        <w:rPr>
          <w:rFonts w:ascii="Times New Roman" w:hAnsi="Times New Roman" w:cs="Times New Roman"/>
        </w:rPr>
      </w:pPr>
      <w:r w:rsidRPr="006664F3">
        <w:rPr>
          <w:rFonts w:ascii="Times New Roman" w:hAnsi="Times New Roman" w:cs="Times New Roman"/>
        </w:rPr>
        <w:t>Na potrzeby oceny innowacyjności określono, iż działania ukierunkowane na innowacje</w:t>
      </w:r>
      <w:r>
        <w:rPr>
          <w:rFonts w:ascii="Times New Roman" w:hAnsi="Times New Roman" w:cs="Times New Roman"/>
        </w:rPr>
        <w:t>,</w:t>
      </w:r>
      <w:r w:rsidRPr="006664F3">
        <w:rPr>
          <w:rFonts w:ascii="Times New Roman" w:hAnsi="Times New Roman" w:cs="Times New Roman"/>
        </w:rPr>
        <w:t xml:space="preserve"> to wprowadzenie na rynek</w:t>
      </w:r>
      <w:r>
        <w:rPr>
          <w:rFonts w:ascii="Times New Roman" w:hAnsi="Times New Roman" w:cs="Times New Roman"/>
        </w:rPr>
        <w:t xml:space="preserve"> (w tym przypadku obszar LGD)</w:t>
      </w:r>
      <w:r w:rsidRPr="006664F3">
        <w:rPr>
          <w:rFonts w:ascii="Times New Roman" w:hAnsi="Times New Roman" w:cs="Times New Roman"/>
        </w:rPr>
        <w:t xml:space="preserve"> nowego lub udoskonalonego produktu, usługi lub procesu organizacji lub nowego sposobu wykorzystania lub zmobilizowania istniejących lokalnych zasobów przyrodniczych, historycznych, kulturowych czy społecznych. Dla przedsięwzięć związanych z rozwojem przedsiębiorczości, z racji charakteru operacji</w:t>
      </w:r>
      <w:r>
        <w:rPr>
          <w:rFonts w:ascii="Times New Roman" w:hAnsi="Times New Roman" w:cs="Times New Roman"/>
        </w:rPr>
        <w:t>,</w:t>
      </w:r>
      <w:r w:rsidRPr="006664F3">
        <w:rPr>
          <w:rFonts w:ascii="Times New Roman" w:hAnsi="Times New Roman" w:cs="Times New Roman"/>
        </w:rPr>
        <w:t xml:space="preserve"> definicję tę uściślono i przyjęto, iż innowacja to wprowadzenie na rynek przez dane przedsiębiorstwo nowego towaru lub usługi, lub znaczące ulepszenie oferowanych uprzednio towarów lub usług w odniesieniu do ich charakterystyk lub przeznaczenia. Ulepszenie może dotyczyć charakterystyk technicznych, komponentów, materiałów, wbudowanego oprogramowania, bardziej przyjaznej obsługi przez użytkownika oraz innych cech funkcjonalnych</w:t>
      </w:r>
      <w:r w:rsidRPr="00BD3FA3">
        <w:rPr>
          <w:rFonts w:ascii="Times New Roman" w:hAnsi="Times New Roman" w:cs="Times New Roman"/>
        </w:rPr>
        <w:t>. Preferowane</w:t>
      </w:r>
      <w:r w:rsidRPr="0002215E">
        <w:rPr>
          <w:rFonts w:ascii="Times New Roman" w:hAnsi="Times New Roman" w:cs="Times New Roman"/>
        </w:rPr>
        <w:t xml:space="preserve"> </w:t>
      </w:r>
      <w:r>
        <w:rPr>
          <w:rFonts w:ascii="Times New Roman" w:hAnsi="Times New Roman" w:cs="Times New Roman"/>
        </w:rPr>
        <w:t xml:space="preserve">będzie </w:t>
      </w:r>
      <w:r w:rsidRPr="0002215E">
        <w:rPr>
          <w:rFonts w:ascii="Times New Roman" w:hAnsi="Times New Roman" w:cs="Times New Roman"/>
        </w:rPr>
        <w:t>wdrażanie innowacji poprzez implementowanie zupełnie nowych na obszarze objętym LSR produktów, usług, procesów, technologii, metod organizacji lub nowych sposobów wykorzystania dostępnych zasobów.</w:t>
      </w:r>
    </w:p>
    <w:p w14:paraId="22F6BA49" w14:textId="70A7B584" w:rsidR="00A859BB" w:rsidRPr="0039287B" w:rsidRDefault="00A859BB" w:rsidP="00E36C64">
      <w:pPr>
        <w:spacing w:after="0" w:line="276" w:lineRule="auto"/>
        <w:ind w:firstLine="708"/>
        <w:jc w:val="both"/>
        <w:rPr>
          <w:rFonts w:ascii="Times New Roman" w:hAnsi="Times New Roman" w:cs="Times New Roman"/>
          <w:noProof/>
        </w:rPr>
      </w:pPr>
      <w:r w:rsidRPr="0039287B">
        <w:rPr>
          <w:rFonts w:ascii="Times New Roman" w:hAnsi="Times New Roman" w:cs="Times New Roman"/>
          <w:noProof/>
        </w:rPr>
        <w:t xml:space="preserve">W celu sprawnego wdrożenia Strategii, LGD opracowała </w:t>
      </w:r>
      <w:r>
        <w:rPr>
          <w:rFonts w:ascii="Times New Roman" w:hAnsi="Times New Roman" w:cs="Times New Roman"/>
          <w:noProof/>
        </w:rPr>
        <w:t>i stosowała w perspektywie 2014</w:t>
      </w:r>
      <w:r w:rsidR="00356078">
        <w:rPr>
          <w:rFonts w:ascii="Times New Roman" w:hAnsi="Times New Roman" w:cs="Times New Roman"/>
          <w:noProof/>
        </w:rPr>
        <w:t>–</w:t>
      </w:r>
      <w:r>
        <w:rPr>
          <w:rFonts w:ascii="Times New Roman" w:hAnsi="Times New Roman" w:cs="Times New Roman"/>
          <w:noProof/>
        </w:rPr>
        <w:t xml:space="preserve">2020 </w:t>
      </w:r>
      <w:r w:rsidRPr="0039287B">
        <w:rPr>
          <w:rFonts w:ascii="Times New Roman" w:hAnsi="Times New Roman" w:cs="Times New Roman"/>
          <w:noProof/>
        </w:rPr>
        <w:t xml:space="preserve">zestaw procedur oceny i wyboru operacji, odnoszących się do wszelkich operacji realizowanych w ramach LSR. </w:t>
      </w:r>
      <w:r>
        <w:rPr>
          <w:rFonts w:ascii="Times New Roman" w:hAnsi="Times New Roman" w:cs="Times New Roman"/>
          <w:noProof/>
        </w:rPr>
        <w:t xml:space="preserve">Będą one stosowane również </w:t>
      </w:r>
      <w:r w:rsidR="00356078">
        <w:rPr>
          <w:rFonts w:ascii="Times New Roman" w:hAnsi="Times New Roman" w:cs="Times New Roman"/>
          <w:noProof/>
        </w:rPr>
        <w:t xml:space="preserve">we </w:t>
      </w:r>
      <w:r>
        <w:rPr>
          <w:rFonts w:ascii="Times New Roman" w:hAnsi="Times New Roman" w:cs="Times New Roman"/>
          <w:noProof/>
        </w:rPr>
        <w:t xml:space="preserve">wdrażaniu tej LSR, po dostosowaniu do obowiazujacych przepisów. </w:t>
      </w:r>
      <w:r w:rsidRPr="0039287B">
        <w:rPr>
          <w:rFonts w:ascii="Times New Roman" w:hAnsi="Times New Roman" w:cs="Times New Roman"/>
          <w:noProof/>
        </w:rPr>
        <w:t>Przez cały okres wdrażania Strategii</w:t>
      </w:r>
      <w:r w:rsidR="00356078">
        <w:rPr>
          <w:rFonts w:ascii="Times New Roman" w:hAnsi="Times New Roman" w:cs="Times New Roman"/>
          <w:noProof/>
        </w:rPr>
        <w:t>,</w:t>
      </w:r>
      <w:r w:rsidRPr="0039287B">
        <w:rPr>
          <w:rFonts w:ascii="Times New Roman" w:hAnsi="Times New Roman" w:cs="Times New Roman"/>
          <w:noProof/>
        </w:rPr>
        <w:t xml:space="preserve"> będą one udostępniane do wiadomości publicznej w Biurze, na stronie internetowej LGD oraz omawiane w trakcie spotkań informacyjnych i szkoleń dla potencjalnych wnioskodawców. Kryteria wyboru grantobiorców i procedura ich ustalania/zmiany</w:t>
      </w:r>
      <w:r w:rsidR="00356078">
        <w:rPr>
          <w:rFonts w:ascii="Times New Roman" w:hAnsi="Times New Roman" w:cs="Times New Roman"/>
          <w:noProof/>
        </w:rPr>
        <w:t>,</w:t>
      </w:r>
      <w:r w:rsidRPr="0039287B">
        <w:rPr>
          <w:rFonts w:ascii="Times New Roman" w:hAnsi="Times New Roman" w:cs="Times New Roman"/>
          <w:noProof/>
        </w:rPr>
        <w:t xml:space="preserve"> stanowi wspólny dokument z procedurą wyboru i oceny grantobiorców.</w:t>
      </w:r>
    </w:p>
    <w:p w14:paraId="6E554ABF" w14:textId="6CEB8555" w:rsidR="00A859BB" w:rsidRPr="0039287B" w:rsidRDefault="00A859BB" w:rsidP="00E36C64">
      <w:pPr>
        <w:spacing w:after="0" w:line="276" w:lineRule="auto"/>
        <w:ind w:firstLine="708"/>
        <w:jc w:val="both"/>
        <w:rPr>
          <w:rFonts w:ascii="Times New Roman" w:hAnsi="Times New Roman" w:cs="Times New Roman"/>
          <w:noProof/>
        </w:rPr>
      </w:pPr>
      <w:r w:rsidRPr="0039287B">
        <w:rPr>
          <w:rFonts w:ascii="Times New Roman" w:hAnsi="Times New Roman" w:cs="Times New Roman"/>
          <w:noProof/>
        </w:rPr>
        <w:t xml:space="preserve">LGD </w:t>
      </w:r>
      <w:r>
        <w:rPr>
          <w:rFonts w:ascii="Times New Roman" w:hAnsi="Times New Roman" w:cs="Times New Roman"/>
          <w:noProof/>
        </w:rPr>
        <w:t xml:space="preserve">posiada </w:t>
      </w:r>
      <w:r w:rsidRPr="0039287B">
        <w:rPr>
          <w:rFonts w:ascii="Times New Roman" w:hAnsi="Times New Roman" w:cs="Times New Roman"/>
          <w:noProof/>
        </w:rPr>
        <w:t>procedury z uwzględnieniem obowiązujących przepisów prawnych i wytycznych dotyczących instrumentu RLKS oraz do</w:t>
      </w:r>
      <w:r>
        <w:rPr>
          <w:rFonts w:ascii="Times New Roman" w:hAnsi="Times New Roman" w:cs="Times New Roman"/>
          <w:noProof/>
        </w:rPr>
        <w:t>kł</w:t>
      </w:r>
      <w:r w:rsidR="00356078">
        <w:rPr>
          <w:rFonts w:ascii="Times New Roman" w:hAnsi="Times New Roman" w:cs="Times New Roman"/>
          <w:noProof/>
        </w:rPr>
        <w:t>a</w:t>
      </w:r>
      <w:r>
        <w:rPr>
          <w:rFonts w:ascii="Times New Roman" w:hAnsi="Times New Roman" w:cs="Times New Roman"/>
          <w:noProof/>
        </w:rPr>
        <w:t>da</w:t>
      </w:r>
      <w:r w:rsidRPr="0039287B">
        <w:rPr>
          <w:rFonts w:ascii="Times New Roman" w:hAnsi="Times New Roman" w:cs="Times New Roman"/>
          <w:noProof/>
        </w:rPr>
        <w:t xml:space="preserve"> wszelkich starań, aby procedury oceny i wyboru operacji były niedyskryminujące, przejrzyste i niebudzące wątpliwości ze strony wnioskodawców, grantobiorców oraz wszelkich instytucji zaangażowanych w proces wdrażania Strategii. Jednocześnie należy podkreślić, że LGD zależy na wybraniu projektów, które w jak największej mierze pozwolą na osiągnięcie przyjętych w Strategii założeń i wskaźników, a ograniczone środki finansowe, będące podstawą ustalenia budżetu Strategii, nie pozwalają na sfinansowanie wszystkich pomysłów i inicjatyw zgłaszanych przez mieszkańców obszaru.</w:t>
      </w:r>
    </w:p>
    <w:p w14:paraId="760AC8E0" w14:textId="0ACCDE76" w:rsidR="00A859BB" w:rsidRDefault="00A859BB" w:rsidP="00E36C64">
      <w:pPr>
        <w:spacing w:after="0" w:line="276" w:lineRule="auto"/>
        <w:jc w:val="both"/>
        <w:rPr>
          <w:rFonts w:ascii="Times New Roman" w:hAnsi="Times New Roman" w:cs="Times New Roman"/>
          <w:noProof/>
        </w:rPr>
      </w:pPr>
      <w:r w:rsidRPr="005B7B73">
        <w:rPr>
          <w:rFonts w:ascii="Times New Roman" w:hAnsi="Times New Roman" w:cs="Times New Roman"/>
          <w:noProof/>
        </w:rPr>
        <w:tab/>
        <w:t xml:space="preserve">Dokumenty regulujące </w:t>
      </w:r>
      <w:r>
        <w:rPr>
          <w:rFonts w:ascii="Times New Roman" w:hAnsi="Times New Roman" w:cs="Times New Roman"/>
          <w:noProof/>
        </w:rPr>
        <w:t>szczegółowe rozwiązania to: procedura/y wyboru i oceny operacji, regulamin organu decyzyjnego, procedura ustalania kryteriów wyboru, procedura wyboru i oceny grantobiorców wraz z kryteriami wyboru grantobiorców i procedurą ustalania i zmiany kryteriów wyboru grantobiorców.</w:t>
      </w:r>
    </w:p>
    <w:p w14:paraId="16C9299F" w14:textId="77777777" w:rsidR="00A859BB" w:rsidRPr="008F5B1E" w:rsidRDefault="00A859BB" w:rsidP="00A859BB">
      <w:pPr>
        <w:spacing w:after="0" w:line="276" w:lineRule="auto"/>
        <w:ind w:firstLine="708"/>
        <w:rPr>
          <w:rFonts w:ascii="Times New Roman" w:hAnsi="Times New Roman" w:cs="Times New Roman"/>
        </w:rPr>
      </w:pPr>
      <w:r w:rsidRPr="008F5B1E">
        <w:rPr>
          <w:rFonts w:ascii="Times New Roman" w:hAnsi="Times New Roman" w:cs="Times New Roman"/>
        </w:rPr>
        <w:lastRenderedPageBreak/>
        <w:t>Dla komponentu Wdrażanie LSR przewiduje się, w szczególności, następujące warunki kwalifikowalności:</w:t>
      </w:r>
    </w:p>
    <w:p w14:paraId="3E4E7022" w14:textId="77777777" w:rsidR="00A859BB" w:rsidRPr="008F5B1E" w:rsidRDefault="00A859BB" w:rsidP="00A859BB">
      <w:pPr>
        <w:pStyle w:val="Akapitzlist"/>
        <w:numPr>
          <w:ilvl w:val="0"/>
          <w:numId w:val="26"/>
        </w:numPr>
        <w:spacing w:after="240" w:line="276" w:lineRule="auto"/>
        <w:jc w:val="both"/>
        <w:rPr>
          <w:rFonts w:ascii="Times New Roman" w:hAnsi="Times New Roman"/>
        </w:rPr>
      </w:pPr>
      <w:r w:rsidRPr="008F5B1E">
        <w:rPr>
          <w:rFonts w:ascii="Times New Roman" w:hAnsi="Times New Roman"/>
        </w:rPr>
        <w:t>powiązanie wnioskodawcy z obszarem objętym LSR</w:t>
      </w:r>
      <w:r>
        <w:rPr>
          <w:rFonts w:ascii="Times New Roman" w:hAnsi="Times New Roman"/>
        </w:rPr>
        <w:t>;</w:t>
      </w:r>
    </w:p>
    <w:p w14:paraId="6230AB1B" w14:textId="77777777" w:rsidR="00A859BB" w:rsidRPr="008F5B1E" w:rsidRDefault="00A859BB" w:rsidP="00A859BB">
      <w:pPr>
        <w:pStyle w:val="Akapitzlist"/>
        <w:numPr>
          <w:ilvl w:val="0"/>
          <w:numId w:val="26"/>
        </w:numPr>
        <w:spacing w:after="240" w:line="276" w:lineRule="auto"/>
        <w:jc w:val="both"/>
        <w:rPr>
          <w:rFonts w:ascii="Times New Roman" w:hAnsi="Times New Roman"/>
        </w:rPr>
      </w:pPr>
      <w:r w:rsidRPr="008F5B1E">
        <w:rPr>
          <w:rFonts w:ascii="Times New Roman" w:hAnsi="Times New Roman"/>
        </w:rPr>
        <w:t>przyczynianie się do realizacji LSR</w:t>
      </w:r>
      <w:r>
        <w:rPr>
          <w:rFonts w:ascii="Times New Roman" w:hAnsi="Times New Roman"/>
        </w:rPr>
        <w:t>:</w:t>
      </w:r>
    </w:p>
    <w:p w14:paraId="00211416" w14:textId="77777777" w:rsidR="00A859BB" w:rsidRPr="008F5B1E" w:rsidRDefault="00A859BB" w:rsidP="00A859BB">
      <w:pPr>
        <w:pStyle w:val="Akapitzlist"/>
        <w:numPr>
          <w:ilvl w:val="0"/>
          <w:numId w:val="28"/>
        </w:numPr>
        <w:spacing w:after="240"/>
        <w:jc w:val="both"/>
        <w:rPr>
          <w:rFonts w:ascii="Times New Roman" w:hAnsi="Times New Roman"/>
        </w:rPr>
      </w:pPr>
      <w:r w:rsidRPr="008F5B1E">
        <w:rPr>
          <w:rFonts w:ascii="Times New Roman" w:hAnsi="Times New Roman"/>
        </w:rPr>
        <w:t>weryfikowane poprzez osiągnięcie zakładanych wskaźników</w:t>
      </w:r>
      <w:r>
        <w:rPr>
          <w:rFonts w:ascii="Times New Roman" w:hAnsi="Times New Roman"/>
        </w:rPr>
        <w:t>,</w:t>
      </w:r>
    </w:p>
    <w:p w14:paraId="100C4B57" w14:textId="77777777" w:rsidR="00A859BB" w:rsidRPr="008F5B1E" w:rsidRDefault="00A859BB" w:rsidP="00A859BB">
      <w:pPr>
        <w:pStyle w:val="Akapitzlist"/>
        <w:numPr>
          <w:ilvl w:val="0"/>
          <w:numId w:val="28"/>
        </w:numPr>
        <w:spacing w:after="240"/>
        <w:jc w:val="both"/>
        <w:rPr>
          <w:rFonts w:ascii="Times New Roman" w:hAnsi="Times New Roman"/>
        </w:rPr>
      </w:pPr>
      <w:r w:rsidRPr="008F5B1E">
        <w:rPr>
          <w:rFonts w:ascii="Times New Roman" w:hAnsi="Times New Roman"/>
        </w:rPr>
        <w:t>rozumiane jako bezpośredni wpływ na realizację konkretnego przedsięwzięcia</w:t>
      </w:r>
      <w:r>
        <w:rPr>
          <w:rFonts w:ascii="Times New Roman" w:hAnsi="Times New Roman"/>
        </w:rPr>
        <w:t>;</w:t>
      </w:r>
      <w:r w:rsidRPr="008F5B1E">
        <w:rPr>
          <w:rFonts w:ascii="Times New Roman" w:hAnsi="Times New Roman"/>
        </w:rPr>
        <w:t xml:space="preserve"> </w:t>
      </w:r>
    </w:p>
    <w:p w14:paraId="42B2F6B0" w14:textId="77777777" w:rsidR="00A859BB" w:rsidRPr="008F5B1E" w:rsidRDefault="00A859BB" w:rsidP="00A859BB">
      <w:pPr>
        <w:pStyle w:val="Akapitzlist"/>
        <w:numPr>
          <w:ilvl w:val="0"/>
          <w:numId w:val="26"/>
        </w:numPr>
        <w:spacing w:after="240" w:line="276" w:lineRule="auto"/>
        <w:jc w:val="both"/>
        <w:rPr>
          <w:rFonts w:ascii="Times New Roman" w:hAnsi="Times New Roman"/>
        </w:rPr>
      </w:pPr>
      <w:r w:rsidRPr="008F5B1E">
        <w:rPr>
          <w:rFonts w:ascii="Times New Roman" w:hAnsi="Times New Roman"/>
        </w:rPr>
        <w:t>legalność – zgodność projektu operacji z przepisami prawa</w:t>
      </w:r>
      <w:r>
        <w:rPr>
          <w:rFonts w:ascii="Times New Roman" w:hAnsi="Times New Roman"/>
        </w:rPr>
        <w:t>;</w:t>
      </w:r>
    </w:p>
    <w:p w14:paraId="66AE9AFA" w14:textId="77777777" w:rsidR="00A859BB" w:rsidRPr="008F5B1E" w:rsidRDefault="00A859BB" w:rsidP="00A859BB">
      <w:pPr>
        <w:pStyle w:val="Akapitzlist"/>
        <w:numPr>
          <w:ilvl w:val="0"/>
          <w:numId w:val="26"/>
        </w:numPr>
        <w:spacing w:after="240" w:line="276" w:lineRule="auto"/>
        <w:jc w:val="both"/>
        <w:rPr>
          <w:rFonts w:ascii="Times New Roman" w:hAnsi="Times New Roman"/>
        </w:rPr>
      </w:pPr>
      <w:r w:rsidRPr="008F5B1E">
        <w:rPr>
          <w:rFonts w:ascii="Times New Roman" w:hAnsi="Times New Roman"/>
        </w:rPr>
        <w:t xml:space="preserve">w przypadku działalności gospodarczej </w:t>
      </w:r>
      <w:r>
        <w:rPr>
          <w:rFonts w:ascii="Times New Roman" w:hAnsi="Times New Roman"/>
        </w:rPr>
        <w:t>–</w:t>
      </w:r>
      <w:r w:rsidRPr="008F5B1E">
        <w:rPr>
          <w:rFonts w:ascii="Times New Roman" w:hAnsi="Times New Roman"/>
        </w:rPr>
        <w:t xml:space="preserve"> uzasadnienie ekonomiczne (uproszczony biznesplan)</w:t>
      </w:r>
      <w:r>
        <w:rPr>
          <w:rFonts w:ascii="Times New Roman" w:hAnsi="Times New Roman"/>
        </w:rPr>
        <w:t>;</w:t>
      </w:r>
    </w:p>
    <w:p w14:paraId="537C6174" w14:textId="77777777" w:rsidR="00A859BB" w:rsidRPr="008F5B1E" w:rsidRDefault="00A859BB" w:rsidP="00A859BB">
      <w:pPr>
        <w:pStyle w:val="Akapitzlist"/>
        <w:numPr>
          <w:ilvl w:val="0"/>
          <w:numId w:val="26"/>
        </w:numPr>
        <w:spacing w:after="240" w:line="276" w:lineRule="auto"/>
        <w:jc w:val="both"/>
        <w:rPr>
          <w:rFonts w:ascii="Times New Roman" w:hAnsi="Times New Roman"/>
        </w:rPr>
      </w:pPr>
      <w:r w:rsidRPr="008F5B1E">
        <w:rPr>
          <w:rFonts w:ascii="Times New Roman" w:hAnsi="Times New Roman"/>
        </w:rPr>
        <w:t>w przypadku operacji dotyczących obiektów zabytkowych – zapewnienie, iż obiekt jest zabytkiem (np. wpisany do Rejestru zabytków lub ewidencji zabytków)</w:t>
      </w:r>
      <w:r>
        <w:rPr>
          <w:rFonts w:ascii="Times New Roman" w:hAnsi="Times New Roman"/>
        </w:rPr>
        <w:t>;</w:t>
      </w:r>
    </w:p>
    <w:p w14:paraId="65B389E9" w14:textId="77777777" w:rsidR="00A859BB" w:rsidRPr="008F5B1E" w:rsidRDefault="00A859BB" w:rsidP="00A859BB">
      <w:pPr>
        <w:pStyle w:val="Akapitzlist"/>
        <w:numPr>
          <w:ilvl w:val="0"/>
          <w:numId w:val="26"/>
        </w:numPr>
        <w:spacing w:after="240" w:line="276" w:lineRule="auto"/>
        <w:jc w:val="both"/>
        <w:rPr>
          <w:rFonts w:ascii="Times New Roman" w:hAnsi="Times New Roman"/>
        </w:rPr>
      </w:pPr>
      <w:r w:rsidRPr="008F5B1E">
        <w:rPr>
          <w:rFonts w:ascii="Times New Roman" w:hAnsi="Times New Roman"/>
        </w:rPr>
        <w:t>w przypadku operacji w partnerstwie oraz projektów partnerskich:</w:t>
      </w:r>
    </w:p>
    <w:p w14:paraId="33BEA9A1" w14:textId="77777777" w:rsidR="00A859BB" w:rsidRPr="008F5B1E" w:rsidRDefault="00A859BB" w:rsidP="00A859BB">
      <w:pPr>
        <w:pStyle w:val="Akapitzlist"/>
        <w:numPr>
          <w:ilvl w:val="0"/>
          <w:numId w:val="29"/>
        </w:numPr>
        <w:spacing w:after="240"/>
        <w:jc w:val="both"/>
        <w:rPr>
          <w:rFonts w:ascii="Times New Roman" w:hAnsi="Times New Roman"/>
        </w:rPr>
      </w:pPr>
      <w:r w:rsidRPr="008F5B1E">
        <w:rPr>
          <w:rFonts w:ascii="Times New Roman" w:hAnsi="Times New Roman"/>
        </w:rPr>
        <w:t>udział co najmniej 2 podmiotów,</w:t>
      </w:r>
    </w:p>
    <w:p w14:paraId="347E543D" w14:textId="77777777" w:rsidR="00A859BB" w:rsidRPr="008F5B1E" w:rsidRDefault="00A859BB" w:rsidP="00A859BB">
      <w:pPr>
        <w:pStyle w:val="Akapitzlist"/>
        <w:numPr>
          <w:ilvl w:val="0"/>
          <w:numId w:val="29"/>
        </w:numPr>
        <w:spacing w:after="240"/>
        <w:jc w:val="both"/>
        <w:rPr>
          <w:rFonts w:ascii="Times New Roman" w:hAnsi="Times New Roman"/>
        </w:rPr>
      </w:pPr>
      <w:r w:rsidRPr="008F5B1E">
        <w:rPr>
          <w:rFonts w:ascii="Times New Roman" w:hAnsi="Times New Roman"/>
        </w:rPr>
        <w:t>realizacja wspólnego przedsięwzięcia,</w:t>
      </w:r>
    </w:p>
    <w:p w14:paraId="6D727E53" w14:textId="77777777" w:rsidR="00A859BB" w:rsidRPr="008F5B1E" w:rsidRDefault="00A859BB" w:rsidP="00A859BB">
      <w:pPr>
        <w:pStyle w:val="Akapitzlist"/>
        <w:numPr>
          <w:ilvl w:val="0"/>
          <w:numId w:val="29"/>
        </w:numPr>
        <w:spacing w:after="240"/>
        <w:jc w:val="both"/>
        <w:rPr>
          <w:rFonts w:ascii="Times New Roman" w:hAnsi="Times New Roman"/>
        </w:rPr>
      </w:pPr>
      <w:r w:rsidRPr="008F5B1E">
        <w:rPr>
          <w:rFonts w:ascii="Times New Roman" w:hAnsi="Times New Roman"/>
        </w:rPr>
        <w:t>dokument potwierdzający wolę współpracy co najmniej 2 podmiotów</w:t>
      </w:r>
      <w:r>
        <w:rPr>
          <w:rFonts w:ascii="Times New Roman" w:hAnsi="Times New Roman"/>
        </w:rPr>
        <w:t>;</w:t>
      </w:r>
    </w:p>
    <w:p w14:paraId="5C653202" w14:textId="77777777" w:rsidR="00A859BB" w:rsidRDefault="00A859BB" w:rsidP="00A859BB">
      <w:pPr>
        <w:pStyle w:val="Akapitzlist"/>
        <w:numPr>
          <w:ilvl w:val="0"/>
          <w:numId w:val="27"/>
        </w:numPr>
        <w:spacing w:after="120" w:line="276" w:lineRule="auto"/>
        <w:jc w:val="both"/>
        <w:rPr>
          <w:rFonts w:ascii="Times New Roman" w:hAnsi="Times New Roman"/>
        </w:rPr>
      </w:pPr>
      <w:r w:rsidRPr="00862CDC">
        <w:rPr>
          <w:rFonts w:ascii="Times New Roman" w:hAnsi="Times New Roman"/>
        </w:rPr>
        <w:t xml:space="preserve">w przypadku operacji </w:t>
      </w:r>
      <w:r w:rsidRPr="00AF52D8">
        <w:rPr>
          <w:rFonts w:ascii="Times New Roman" w:hAnsi="Times New Roman"/>
        </w:rPr>
        <w:t xml:space="preserve">realizowanych w ramach </w:t>
      </w:r>
      <w:r>
        <w:rPr>
          <w:rFonts w:ascii="Times New Roman" w:hAnsi="Times New Roman"/>
        </w:rPr>
        <w:t xml:space="preserve">poprawy dostępu do </w:t>
      </w:r>
      <w:r w:rsidRPr="00862CDC">
        <w:rPr>
          <w:rFonts w:ascii="Times New Roman" w:hAnsi="Times New Roman"/>
        </w:rPr>
        <w:t>małej infrastruktury publicznej kwalifikowalne są operacje niekomercyjne, których koszty całkowite nie przekraczają 1</w:t>
      </w:r>
      <w:r>
        <w:rPr>
          <w:rFonts w:ascii="Times New Roman" w:hAnsi="Times New Roman"/>
        </w:rPr>
        <w:t> m</w:t>
      </w:r>
      <w:r w:rsidRPr="00862CDC">
        <w:rPr>
          <w:rFonts w:ascii="Times New Roman" w:hAnsi="Times New Roman"/>
        </w:rPr>
        <w:t>ln euro.</w:t>
      </w:r>
    </w:p>
    <w:p w14:paraId="313C5A4F" w14:textId="77777777" w:rsidR="00A859BB" w:rsidRDefault="00A859BB" w:rsidP="007C71D8">
      <w:pPr>
        <w:spacing w:after="0" w:line="276" w:lineRule="auto"/>
        <w:ind w:firstLine="709"/>
        <w:jc w:val="both"/>
        <w:rPr>
          <w:rFonts w:ascii="Times New Roman" w:hAnsi="Times New Roman" w:cs="Times New Roman"/>
        </w:rPr>
      </w:pPr>
      <w:r w:rsidRPr="00105841">
        <w:rPr>
          <w:rFonts w:ascii="Times New Roman" w:hAnsi="Times New Roman" w:cs="Times New Roman"/>
        </w:rPr>
        <w:t>Wybór projektów do dofinansowania będzie odbywał się każdorazowo z zastosowaniem zasad horyzontalnych.</w:t>
      </w:r>
      <w:r>
        <w:rPr>
          <w:rFonts w:ascii="Times New Roman" w:hAnsi="Times New Roman" w:cs="Times New Roman"/>
        </w:rPr>
        <w:t xml:space="preserve"> </w:t>
      </w:r>
    </w:p>
    <w:p w14:paraId="73614B88" w14:textId="77777777" w:rsidR="00A859BB" w:rsidRPr="00A626A3" w:rsidRDefault="00A859BB" w:rsidP="007C71D8">
      <w:pPr>
        <w:spacing w:after="0" w:line="276" w:lineRule="auto"/>
        <w:ind w:firstLine="709"/>
        <w:jc w:val="both"/>
        <w:rPr>
          <w:rFonts w:ascii="Times New Roman" w:hAnsi="Times New Roman" w:cs="Times New Roman"/>
          <w:bCs/>
        </w:rPr>
      </w:pPr>
      <w:r w:rsidRPr="008F5B1E">
        <w:rPr>
          <w:rFonts w:ascii="Times New Roman" w:hAnsi="Times New Roman" w:cs="Times New Roman"/>
        </w:rPr>
        <w:t xml:space="preserve">Wsparcie na </w:t>
      </w:r>
      <w:r>
        <w:rPr>
          <w:rFonts w:ascii="Times New Roman" w:hAnsi="Times New Roman" w:cs="Times New Roman"/>
        </w:rPr>
        <w:t>podejmowanie</w:t>
      </w:r>
      <w:r w:rsidRPr="008F5B1E">
        <w:rPr>
          <w:rFonts w:ascii="Times New Roman" w:hAnsi="Times New Roman" w:cs="Times New Roman"/>
        </w:rPr>
        <w:t xml:space="preserve"> pozarolniczej działalności gospodarczej</w:t>
      </w:r>
      <w:r>
        <w:rPr>
          <w:rFonts w:ascii="Times New Roman" w:hAnsi="Times New Roman" w:cs="Times New Roman"/>
        </w:rPr>
        <w:t xml:space="preserve"> </w:t>
      </w:r>
      <w:r w:rsidRPr="008F5B1E">
        <w:rPr>
          <w:rFonts w:ascii="Times New Roman" w:hAnsi="Times New Roman" w:cs="Times New Roman"/>
        </w:rPr>
        <w:t xml:space="preserve">przysługuje tylko raz w okresie realizacji </w:t>
      </w:r>
      <w:r>
        <w:rPr>
          <w:rFonts w:ascii="Times New Roman" w:hAnsi="Times New Roman" w:cs="Times New Roman"/>
        </w:rPr>
        <w:t>Planu Strategicznego</w:t>
      </w:r>
      <w:r w:rsidRPr="008F5B1E">
        <w:rPr>
          <w:rFonts w:ascii="Times New Roman" w:hAnsi="Times New Roman" w:cs="Times New Roman"/>
        </w:rPr>
        <w:t>.</w:t>
      </w:r>
      <w:r>
        <w:rPr>
          <w:rFonts w:ascii="Times New Roman" w:hAnsi="Times New Roman" w:cs="Times New Roman"/>
        </w:rPr>
        <w:t xml:space="preserve"> </w:t>
      </w:r>
      <w:r w:rsidRPr="008F5B1E">
        <w:rPr>
          <w:rFonts w:ascii="Times New Roman" w:hAnsi="Times New Roman" w:cs="Times New Roman"/>
        </w:rPr>
        <w:t xml:space="preserve">W przypadku uzyskania wsparcia na </w:t>
      </w:r>
      <w:r>
        <w:rPr>
          <w:rFonts w:ascii="Times New Roman" w:hAnsi="Times New Roman" w:cs="Times New Roman"/>
        </w:rPr>
        <w:t>podejmowanie</w:t>
      </w:r>
      <w:r w:rsidRPr="008F5B1E">
        <w:rPr>
          <w:rFonts w:ascii="Times New Roman" w:hAnsi="Times New Roman" w:cs="Times New Roman"/>
        </w:rPr>
        <w:t xml:space="preserve"> pozarolniczej działalności gospodarczej, wnioskodawca może ubiegać się o wsparcie na </w:t>
      </w:r>
      <w:r>
        <w:rPr>
          <w:rFonts w:ascii="Times New Roman" w:hAnsi="Times New Roman" w:cs="Times New Roman"/>
        </w:rPr>
        <w:t>rozwijanie</w:t>
      </w:r>
      <w:r w:rsidRPr="008F5B1E">
        <w:rPr>
          <w:rFonts w:ascii="Times New Roman" w:hAnsi="Times New Roman" w:cs="Times New Roman"/>
        </w:rPr>
        <w:t xml:space="preserve"> tych działalności nie wcześniej niż po upływie 2 lat od wypłaty płatności ostatecznej w ramach operacji realizowanej w ramach </w:t>
      </w:r>
      <w:r>
        <w:rPr>
          <w:rFonts w:ascii="Times New Roman" w:hAnsi="Times New Roman" w:cs="Times New Roman"/>
        </w:rPr>
        <w:t>podejmowania/</w:t>
      </w:r>
      <w:r w:rsidRPr="008F5B1E">
        <w:rPr>
          <w:rFonts w:ascii="Times New Roman" w:hAnsi="Times New Roman" w:cs="Times New Roman"/>
        </w:rPr>
        <w:t>tworzenia tych działalności.</w:t>
      </w:r>
      <w:r>
        <w:rPr>
          <w:rFonts w:ascii="Times New Roman" w:hAnsi="Times New Roman" w:cs="Times New Roman"/>
        </w:rPr>
        <w:t xml:space="preserve"> </w:t>
      </w:r>
      <w:r w:rsidRPr="00A626A3">
        <w:rPr>
          <w:rFonts w:ascii="Times New Roman" w:hAnsi="Times New Roman" w:cs="Times New Roman"/>
          <w:bCs/>
        </w:rPr>
        <w:t>Beneficjent realizujący operacje w zakresie inwestycji w infrastrukturę lub inwestycji produkcyjnych zobowiązuje się do zapewnienia trwałości inwestycji</w:t>
      </w:r>
      <w:r>
        <w:rPr>
          <w:rFonts w:ascii="Times New Roman" w:hAnsi="Times New Roman" w:cs="Times New Roman"/>
          <w:bCs/>
        </w:rPr>
        <w:t>.</w:t>
      </w:r>
    </w:p>
    <w:p w14:paraId="769BA181" w14:textId="77777777" w:rsidR="00A859BB" w:rsidRPr="008F5B1E" w:rsidRDefault="00A859BB" w:rsidP="007C71D8">
      <w:pPr>
        <w:spacing w:after="0" w:line="276" w:lineRule="auto"/>
        <w:ind w:firstLine="708"/>
        <w:jc w:val="both"/>
        <w:rPr>
          <w:rFonts w:ascii="Times New Roman" w:hAnsi="Times New Roman" w:cs="Times New Roman"/>
          <w:noProof/>
        </w:rPr>
      </w:pPr>
      <w:r w:rsidRPr="008F5B1E">
        <w:rPr>
          <w:rFonts w:ascii="Times New Roman" w:hAnsi="Times New Roman" w:cs="Times New Roman"/>
          <w:noProof/>
        </w:rPr>
        <w:t>Operacja własna może być realizowana</w:t>
      </w:r>
      <w:r>
        <w:rPr>
          <w:rFonts w:ascii="Times New Roman" w:hAnsi="Times New Roman" w:cs="Times New Roman"/>
          <w:noProof/>
        </w:rPr>
        <w:t>,</w:t>
      </w:r>
      <w:r w:rsidRPr="008F5B1E">
        <w:rPr>
          <w:rFonts w:ascii="Times New Roman" w:hAnsi="Times New Roman" w:cs="Times New Roman"/>
          <w:noProof/>
        </w:rPr>
        <w:t xml:space="preserve"> gdy realizuje cele publiczne oraz niekomercyjne oraz jest niezbędna do osiągnięcia danego celu/przedsięwzięcia LSR. Koszty operacji własnych nie </w:t>
      </w:r>
      <w:r>
        <w:rPr>
          <w:rFonts w:ascii="Times New Roman" w:hAnsi="Times New Roman" w:cs="Times New Roman"/>
          <w:noProof/>
        </w:rPr>
        <w:t>mogą stanowić więcej niż 20</w:t>
      </w:r>
      <w:r w:rsidRPr="008F5B1E">
        <w:rPr>
          <w:rFonts w:ascii="Times New Roman" w:hAnsi="Times New Roman" w:cs="Times New Roman"/>
          <w:noProof/>
        </w:rPr>
        <w:t>% budżetu komponentu Wdrażanie LSR. Wnioski o przyznanie pomocy na operacje własne zawierają opis znaczenia realizacji operacji dla LSR oraz uzasadnienie realizacji operacji przez LGD (m.in. wyjaśnienie</w:t>
      </w:r>
      <w:r>
        <w:rPr>
          <w:rFonts w:ascii="Times New Roman" w:hAnsi="Times New Roman" w:cs="Times New Roman"/>
          <w:noProof/>
        </w:rPr>
        <w:t>,</w:t>
      </w:r>
      <w:r w:rsidRPr="008F5B1E">
        <w:rPr>
          <w:rFonts w:ascii="Times New Roman" w:hAnsi="Times New Roman" w:cs="Times New Roman"/>
          <w:noProof/>
        </w:rPr>
        <w:t xml:space="preserve"> dlaczego operacja ta nie może być zrealizowana przez inne podmioty).</w:t>
      </w:r>
    </w:p>
    <w:p w14:paraId="4B8FD0DE" w14:textId="77777777" w:rsidR="00A859BB" w:rsidRPr="008F5B1E" w:rsidRDefault="00A859BB" w:rsidP="007C71D8">
      <w:pPr>
        <w:spacing w:after="0" w:line="276" w:lineRule="auto"/>
        <w:ind w:firstLine="708"/>
        <w:jc w:val="both"/>
        <w:rPr>
          <w:rFonts w:ascii="Times New Roman" w:hAnsi="Times New Roman" w:cs="Times New Roman"/>
        </w:rPr>
      </w:pPr>
      <w:r>
        <w:rPr>
          <w:rFonts w:ascii="Times New Roman" w:hAnsi="Times New Roman" w:cs="Times New Roman"/>
        </w:rPr>
        <w:t>Wsparcie</w:t>
      </w:r>
      <w:r w:rsidRPr="008F5B1E">
        <w:rPr>
          <w:rFonts w:ascii="Times New Roman" w:hAnsi="Times New Roman" w:cs="Times New Roman"/>
        </w:rPr>
        <w:t xml:space="preserve"> udzielane jest w formie dotacji w postaci ryczałtu w zakresie:</w:t>
      </w:r>
    </w:p>
    <w:p w14:paraId="674CA9FD" w14:textId="77777777" w:rsidR="00A859BB" w:rsidRPr="008F5B1E" w:rsidRDefault="00A859BB" w:rsidP="00A859BB">
      <w:pPr>
        <w:pStyle w:val="Akapitzlist"/>
        <w:numPr>
          <w:ilvl w:val="0"/>
          <w:numId w:val="30"/>
        </w:numPr>
        <w:spacing w:after="200" w:line="276" w:lineRule="auto"/>
        <w:jc w:val="both"/>
        <w:rPr>
          <w:rFonts w:ascii="Times New Roman" w:hAnsi="Times New Roman"/>
        </w:rPr>
      </w:pPr>
      <w:r w:rsidRPr="008F5B1E">
        <w:rPr>
          <w:rFonts w:ascii="Times New Roman" w:hAnsi="Times New Roman"/>
        </w:rPr>
        <w:t>podejmowania pozarolniczej działalności gospodarczej przez osoby fizyczne</w:t>
      </w:r>
      <w:r>
        <w:rPr>
          <w:rFonts w:ascii="Times New Roman" w:hAnsi="Times New Roman"/>
        </w:rPr>
        <w:t xml:space="preserve"> –</w:t>
      </w:r>
      <w:r w:rsidRPr="008F5B1E">
        <w:rPr>
          <w:rFonts w:ascii="Times New Roman" w:hAnsi="Times New Roman"/>
        </w:rPr>
        <w:t xml:space="preserve"> do wysokości 150 tys. zł</w:t>
      </w:r>
      <w:r>
        <w:rPr>
          <w:rFonts w:ascii="Times New Roman" w:hAnsi="Times New Roman"/>
        </w:rPr>
        <w:t>;</w:t>
      </w:r>
    </w:p>
    <w:p w14:paraId="03224AD8" w14:textId="77777777" w:rsidR="00A859BB" w:rsidRPr="008F5B1E" w:rsidRDefault="00A859BB" w:rsidP="00A859BB">
      <w:pPr>
        <w:pStyle w:val="Akapitzlist"/>
        <w:numPr>
          <w:ilvl w:val="0"/>
          <w:numId w:val="30"/>
        </w:numPr>
        <w:spacing w:after="200" w:line="276" w:lineRule="auto"/>
        <w:jc w:val="both"/>
        <w:rPr>
          <w:rFonts w:ascii="Times New Roman" w:hAnsi="Times New Roman"/>
        </w:rPr>
      </w:pPr>
      <w:r w:rsidRPr="008F5B1E">
        <w:rPr>
          <w:rFonts w:ascii="Times New Roman" w:hAnsi="Times New Roman"/>
        </w:rPr>
        <w:t>projektów grantowych do wysokości 500 tys. zł</w:t>
      </w:r>
      <w:r>
        <w:rPr>
          <w:rFonts w:ascii="Times New Roman" w:hAnsi="Times New Roman"/>
        </w:rPr>
        <w:t>,</w:t>
      </w:r>
      <w:r w:rsidRPr="008F5B1E">
        <w:rPr>
          <w:rFonts w:ascii="Times New Roman" w:hAnsi="Times New Roman"/>
        </w:rPr>
        <w:t xml:space="preserve"> przy czym wysokość pojedynczego grantu:</w:t>
      </w:r>
    </w:p>
    <w:p w14:paraId="559E0494" w14:textId="77777777" w:rsidR="00A859BB" w:rsidRPr="008F5B1E" w:rsidRDefault="00A859BB" w:rsidP="00A859BB">
      <w:pPr>
        <w:pStyle w:val="Akapitzlist"/>
        <w:numPr>
          <w:ilvl w:val="0"/>
          <w:numId w:val="26"/>
        </w:numPr>
        <w:spacing w:after="200" w:line="276" w:lineRule="auto"/>
        <w:jc w:val="both"/>
        <w:rPr>
          <w:rFonts w:ascii="Times New Roman" w:hAnsi="Times New Roman"/>
        </w:rPr>
      </w:pPr>
      <w:r w:rsidRPr="008F5B1E">
        <w:rPr>
          <w:rFonts w:ascii="Times New Roman" w:hAnsi="Times New Roman"/>
        </w:rPr>
        <w:t>na sfinansowanie przygotowania jednej koncepcji inteligentnej wsi, indykatywna kwota jednostkowa wynosi 4 tys. zł,</w:t>
      </w:r>
    </w:p>
    <w:p w14:paraId="2A227FE1" w14:textId="77777777" w:rsidR="00A859BB" w:rsidRPr="008F5B1E" w:rsidRDefault="00A859BB" w:rsidP="00A859BB">
      <w:pPr>
        <w:pStyle w:val="Akapitzlist"/>
        <w:numPr>
          <w:ilvl w:val="0"/>
          <w:numId w:val="26"/>
        </w:numPr>
        <w:spacing w:after="200" w:line="276" w:lineRule="auto"/>
        <w:jc w:val="both"/>
        <w:rPr>
          <w:rFonts w:ascii="Times New Roman" w:hAnsi="Times New Roman"/>
        </w:rPr>
      </w:pPr>
      <w:r w:rsidRPr="008F5B1E">
        <w:rPr>
          <w:rFonts w:ascii="Times New Roman" w:hAnsi="Times New Roman"/>
        </w:rPr>
        <w:t>na przygotowanie projektu partnerskiego wynosi:</w:t>
      </w:r>
    </w:p>
    <w:p w14:paraId="0890AA9E" w14:textId="4E2673BD" w:rsidR="00A859BB" w:rsidRPr="008F5B1E" w:rsidRDefault="00A859BB" w:rsidP="00A859BB">
      <w:pPr>
        <w:pStyle w:val="Akapitzlist"/>
        <w:spacing w:line="276" w:lineRule="auto"/>
        <w:ind w:left="1440"/>
        <w:jc w:val="both"/>
        <w:rPr>
          <w:rFonts w:ascii="Times New Roman" w:hAnsi="Times New Roman"/>
          <w:bCs/>
        </w:rPr>
      </w:pPr>
      <w:r w:rsidRPr="008F5B1E">
        <w:rPr>
          <w:rFonts w:ascii="Times New Roman" w:hAnsi="Times New Roman"/>
          <w:bCs/>
        </w:rPr>
        <w:t xml:space="preserve">- do 50 tys. </w:t>
      </w:r>
      <w:r w:rsidR="00356078">
        <w:rPr>
          <w:rFonts w:ascii="Times New Roman" w:hAnsi="Times New Roman"/>
          <w:bCs/>
        </w:rPr>
        <w:t xml:space="preserve">zł </w:t>
      </w:r>
      <w:r w:rsidRPr="008F5B1E">
        <w:rPr>
          <w:rFonts w:ascii="Times New Roman" w:hAnsi="Times New Roman"/>
          <w:bCs/>
        </w:rPr>
        <w:t>w przypadku projektu partnerskiego z podmiotem z obszaru innej LSR z Polski,</w:t>
      </w:r>
    </w:p>
    <w:p w14:paraId="30EE14A4" w14:textId="77777777" w:rsidR="00A859BB" w:rsidRPr="008F5B1E" w:rsidRDefault="00A859BB" w:rsidP="00A859BB">
      <w:pPr>
        <w:pStyle w:val="Akapitzlist"/>
        <w:spacing w:after="200" w:line="276" w:lineRule="auto"/>
        <w:ind w:left="1440"/>
        <w:jc w:val="both"/>
        <w:rPr>
          <w:rFonts w:ascii="Times New Roman" w:hAnsi="Times New Roman"/>
        </w:rPr>
      </w:pPr>
      <w:r>
        <w:rPr>
          <w:rFonts w:ascii="Times New Roman" w:hAnsi="Times New Roman"/>
        </w:rPr>
        <w:t xml:space="preserve">- </w:t>
      </w:r>
      <w:r w:rsidRPr="008F5B1E">
        <w:rPr>
          <w:rFonts w:ascii="Times New Roman" w:hAnsi="Times New Roman"/>
        </w:rPr>
        <w:t>do 150 tys. zł w przypadku międzynarodowego projektu partnerskiego (</w:t>
      </w:r>
      <w:r>
        <w:rPr>
          <w:rFonts w:ascii="Times New Roman" w:hAnsi="Times New Roman"/>
        </w:rPr>
        <w:t>z podmiotem z</w:t>
      </w:r>
      <w:r w:rsidRPr="008F5B1E">
        <w:rPr>
          <w:rFonts w:ascii="Times New Roman" w:hAnsi="Times New Roman"/>
        </w:rPr>
        <w:t xml:space="preserve"> obszaru innej LSR z innego kraju),</w:t>
      </w:r>
    </w:p>
    <w:p w14:paraId="389A959F" w14:textId="77777777" w:rsidR="00A859BB" w:rsidRDefault="00A859BB" w:rsidP="007C71D8">
      <w:pPr>
        <w:pStyle w:val="Akapitzlist"/>
        <w:numPr>
          <w:ilvl w:val="0"/>
          <w:numId w:val="26"/>
        </w:numPr>
        <w:spacing w:after="0" w:line="276" w:lineRule="auto"/>
        <w:jc w:val="both"/>
        <w:rPr>
          <w:rFonts w:ascii="Times New Roman" w:hAnsi="Times New Roman"/>
        </w:rPr>
      </w:pPr>
      <w:r w:rsidRPr="008F5B1E">
        <w:rPr>
          <w:rFonts w:ascii="Times New Roman" w:hAnsi="Times New Roman"/>
        </w:rPr>
        <w:t xml:space="preserve">w pozostałych zakresach zadań objętych grantami </w:t>
      </w:r>
      <w:r>
        <w:rPr>
          <w:rFonts w:ascii="Times New Roman" w:hAnsi="Times New Roman"/>
        </w:rPr>
        <w:t>–</w:t>
      </w:r>
      <w:r w:rsidRPr="008F5B1E">
        <w:rPr>
          <w:rFonts w:ascii="Times New Roman" w:hAnsi="Times New Roman"/>
        </w:rPr>
        <w:t xml:space="preserve"> ustalana będzie na bazie projektu budżetu (art. 83 ust. 1 lit. c oraz ust. 2 lit. b); maksymalna kwota zostanie określon</w:t>
      </w:r>
      <w:r>
        <w:rPr>
          <w:rFonts w:ascii="Times New Roman" w:hAnsi="Times New Roman"/>
        </w:rPr>
        <w:t>a w oparciu o dane historyczne.</w:t>
      </w:r>
    </w:p>
    <w:p w14:paraId="1D6AB786" w14:textId="77777777" w:rsidR="00A859BB" w:rsidRPr="008F5B1E" w:rsidRDefault="00A859BB" w:rsidP="007C71D8">
      <w:pPr>
        <w:spacing w:after="0" w:line="276" w:lineRule="auto"/>
        <w:ind w:firstLine="708"/>
        <w:jc w:val="both"/>
        <w:rPr>
          <w:rFonts w:ascii="Times New Roman" w:hAnsi="Times New Roman" w:cs="Times New Roman"/>
          <w:bCs/>
        </w:rPr>
      </w:pPr>
      <w:r>
        <w:rPr>
          <w:rFonts w:ascii="Times New Roman" w:hAnsi="Times New Roman"/>
        </w:rPr>
        <w:t xml:space="preserve">W pozostałych przypadkach </w:t>
      </w:r>
      <w:r w:rsidRPr="00B055F2">
        <w:rPr>
          <w:rFonts w:ascii="Times New Roman" w:hAnsi="Times New Roman"/>
          <w:iCs/>
        </w:rPr>
        <w:t>wdrażania LSR</w:t>
      </w:r>
      <w:r>
        <w:rPr>
          <w:rFonts w:ascii="Times New Roman" w:hAnsi="Times New Roman"/>
          <w:iCs/>
        </w:rPr>
        <w:t xml:space="preserve"> </w:t>
      </w:r>
      <w:r>
        <w:rPr>
          <w:rFonts w:ascii="Times New Roman" w:hAnsi="Times New Roman"/>
        </w:rPr>
        <w:t xml:space="preserve">(w tym na operacje własne) wsparcie będzie miało formę dotacji w postaci refundacji kosztów kwalifikowalnych do wysokości 500 tys. zł. </w:t>
      </w:r>
      <w:r w:rsidRPr="008F5B1E">
        <w:rPr>
          <w:rFonts w:ascii="Times New Roman" w:hAnsi="Times New Roman" w:cs="Times New Roman"/>
          <w:bCs/>
        </w:rPr>
        <w:t>W przypadku Wdrażania LSR intensywność wsparcia będzie wynosiła:</w:t>
      </w:r>
    </w:p>
    <w:p w14:paraId="220F6374" w14:textId="77777777" w:rsidR="00A859BB" w:rsidRPr="00B055F2" w:rsidRDefault="00A859BB" w:rsidP="00A859BB">
      <w:pPr>
        <w:pStyle w:val="Akapitzlist"/>
        <w:numPr>
          <w:ilvl w:val="0"/>
          <w:numId w:val="31"/>
        </w:numPr>
        <w:spacing w:after="240" w:line="276" w:lineRule="auto"/>
        <w:jc w:val="both"/>
        <w:rPr>
          <w:rFonts w:ascii="Times New Roman" w:hAnsi="Times New Roman" w:cs="Times New Roman"/>
          <w:bCs/>
        </w:rPr>
      </w:pPr>
      <w:r w:rsidRPr="00B055F2">
        <w:rPr>
          <w:rFonts w:ascii="Times New Roman" w:hAnsi="Times New Roman" w:cs="Times New Roman"/>
          <w:bCs/>
        </w:rPr>
        <w:t>do 65% kosztów kwalifikowalnych, z wyłączeniem operacji realizowanych w ramach rozwoju pozarolniczych funkcji małych gospodarstw rolnych,</w:t>
      </w:r>
    </w:p>
    <w:p w14:paraId="43670F77" w14:textId="77777777" w:rsidR="00A859BB" w:rsidRPr="00B055F2" w:rsidRDefault="00A859BB" w:rsidP="00A859BB">
      <w:pPr>
        <w:pStyle w:val="Akapitzlist"/>
        <w:numPr>
          <w:ilvl w:val="0"/>
          <w:numId w:val="31"/>
        </w:numPr>
        <w:spacing w:after="240" w:line="276" w:lineRule="auto"/>
        <w:jc w:val="both"/>
        <w:rPr>
          <w:rFonts w:ascii="Times New Roman" w:hAnsi="Times New Roman" w:cs="Times New Roman"/>
          <w:bCs/>
        </w:rPr>
      </w:pPr>
      <w:r w:rsidRPr="00B055F2">
        <w:rPr>
          <w:rFonts w:ascii="Times New Roman" w:hAnsi="Times New Roman" w:cs="Times New Roman"/>
          <w:bCs/>
        </w:rPr>
        <w:t>do 85% kosztów kwalifikowalnych w przypadku operacji realizowanych w ramach rozwoju pozarolniczych funkcji małych gospodarstw rolnych,</w:t>
      </w:r>
    </w:p>
    <w:p w14:paraId="63C91627" w14:textId="77777777" w:rsidR="00A859BB" w:rsidRPr="00B055F2" w:rsidRDefault="00A859BB" w:rsidP="007C71D8">
      <w:pPr>
        <w:pStyle w:val="Akapitzlist"/>
        <w:numPr>
          <w:ilvl w:val="0"/>
          <w:numId w:val="31"/>
        </w:numPr>
        <w:spacing w:after="0" w:line="276" w:lineRule="auto"/>
        <w:jc w:val="both"/>
        <w:rPr>
          <w:rFonts w:ascii="Times New Roman" w:hAnsi="Times New Roman" w:cs="Times New Roman"/>
          <w:bCs/>
        </w:rPr>
      </w:pPr>
      <w:r w:rsidRPr="00B055F2">
        <w:rPr>
          <w:rFonts w:ascii="Times New Roman" w:hAnsi="Times New Roman" w:cs="Times New Roman"/>
          <w:bCs/>
        </w:rPr>
        <w:t>do 100% kosztów kwalifikowalnych na operacje obejmujące inwestycje nieprodukcyjne w przypadku podmiotów innych niż jednostki sektora finansów publicznych,</w:t>
      </w:r>
    </w:p>
    <w:p w14:paraId="3463D2C6" w14:textId="77777777" w:rsidR="00A859BB" w:rsidRPr="00B055F2" w:rsidRDefault="00A859BB" w:rsidP="007C71D8">
      <w:pPr>
        <w:pStyle w:val="Akapitzlist"/>
        <w:numPr>
          <w:ilvl w:val="0"/>
          <w:numId w:val="31"/>
        </w:numPr>
        <w:spacing w:after="0" w:line="276" w:lineRule="auto"/>
        <w:jc w:val="both"/>
        <w:rPr>
          <w:rFonts w:ascii="Times New Roman" w:hAnsi="Times New Roman" w:cs="Times New Roman"/>
          <w:bCs/>
        </w:rPr>
      </w:pPr>
      <w:r w:rsidRPr="00B055F2">
        <w:rPr>
          <w:rFonts w:ascii="Times New Roman" w:hAnsi="Times New Roman" w:cs="Times New Roman"/>
          <w:bCs/>
        </w:rPr>
        <w:lastRenderedPageBreak/>
        <w:t>do 75% kosztów kwalifikowalnych na operacje obejmujące inwestycje nieprodukcyjne w przypadku jednostek sektora finansów publicznych, z czego pomoc finansowa z EFRROW wynosi maksymalnie 55% kosztów kwalifikowalnych, a pozostałe 20% kosztów kwalifikowalnych ze środków budżetu państwa.</w:t>
      </w:r>
    </w:p>
    <w:p w14:paraId="7499D263" w14:textId="33BD842D" w:rsidR="007C71D8" w:rsidRDefault="00A859BB" w:rsidP="00A859BB">
      <w:pPr>
        <w:spacing w:line="276" w:lineRule="auto"/>
        <w:ind w:firstLine="708"/>
        <w:jc w:val="both"/>
        <w:rPr>
          <w:rFonts w:ascii="Times New Roman" w:hAnsi="Times New Roman" w:cs="Times New Roman"/>
        </w:rPr>
      </w:pPr>
      <w:r>
        <w:rPr>
          <w:rFonts w:ascii="Times New Roman" w:hAnsi="Times New Roman" w:cs="Times New Roman"/>
        </w:rPr>
        <w:t xml:space="preserve">Operacje sektora finansów publicznych będą mogły być finansowane ze środków Planu Strategicznego w ramach niniejszej LSR do limitu 40% tych środków. </w:t>
      </w:r>
      <w:r w:rsidR="007C71D8">
        <w:rPr>
          <w:rFonts w:ascii="Times New Roman" w:hAnsi="Times New Roman" w:cs="Times New Roman"/>
        </w:rPr>
        <w:br w:type="page"/>
      </w:r>
    </w:p>
    <w:p w14:paraId="6E59CE14" w14:textId="77777777" w:rsidR="00A17173" w:rsidRDefault="00A17173" w:rsidP="00A17173">
      <w:pPr>
        <w:pStyle w:val="Gwne"/>
        <w:ind w:left="1077" w:hanging="510"/>
        <w:rPr>
          <w:sz w:val="22"/>
          <w:szCs w:val="22"/>
        </w:rPr>
      </w:pPr>
      <w:bookmarkStart w:id="113" w:name="_Toc135896905"/>
      <w:r w:rsidRPr="006822F6">
        <w:rPr>
          <w:sz w:val="22"/>
          <w:szCs w:val="22"/>
        </w:rPr>
        <w:lastRenderedPageBreak/>
        <w:t>PLAN DZIAŁANIA</w:t>
      </w:r>
      <w:bookmarkEnd w:id="113"/>
    </w:p>
    <w:p w14:paraId="2D9945B0" w14:textId="77777777" w:rsidR="00A859BB" w:rsidRPr="00A859BB" w:rsidRDefault="00A859BB" w:rsidP="00A859BB">
      <w:pPr>
        <w:pStyle w:val="Gwne"/>
        <w:numPr>
          <w:ilvl w:val="0"/>
          <w:numId w:val="0"/>
        </w:numPr>
        <w:spacing w:after="120" w:line="276" w:lineRule="auto"/>
        <w:ind w:firstLine="709"/>
        <w:outlineLvl w:val="9"/>
        <w:rPr>
          <w:b w:val="0"/>
          <w:bCs w:val="0"/>
          <w:sz w:val="22"/>
          <w:szCs w:val="22"/>
        </w:rPr>
      </w:pPr>
      <w:r w:rsidRPr="00A859BB">
        <w:rPr>
          <w:b w:val="0"/>
          <w:bCs w:val="0"/>
          <w:sz w:val="22"/>
          <w:szCs w:val="22"/>
        </w:rPr>
        <w:t xml:space="preserve">W ramach realizacji LSR zaplanowano ogłoszenie wniosków na realizację przedsięwzięć zawartych w matrycy – rozdział VI. Pierwsze nabory zostaną przeprowadzone w I kwartale 2024 roku, kolejne w latach </w:t>
      </w:r>
      <w:r w:rsidRPr="00A859BB">
        <w:rPr>
          <w:b w:val="0"/>
          <w:bCs w:val="0"/>
          <w:sz w:val="22"/>
          <w:szCs w:val="22"/>
        </w:rPr>
        <w:br/>
        <w:t>2025–2026.</w:t>
      </w:r>
    </w:p>
    <w:p w14:paraId="38B5E229" w14:textId="2266FBCD" w:rsidR="00A859BB" w:rsidRPr="00A859BB" w:rsidRDefault="00A859BB" w:rsidP="00A859BB">
      <w:pPr>
        <w:pStyle w:val="Gwne"/>
        <w:numPr>
          <w:ilvl w:val="0"/>
          <w:numId w:val="0"/>
        </w:numPr>
        <w:spacing w:after="120" w:line="276" w:lineRule="auto"/>
        <w:ind w:firstLine="709"/>
        <w:outlineLvl w:val="9"/>
        <w:rPr>
          <w:b w:val="0"/>
          <w:bCs w:val="0"/>
          <w:sz w:val="22"/>
          <w:szCs w:val="22"/>
        </w:rPr>
      </w:pPr>
      <w:r w:rsidRPr="00A859BB">
        <w:rPr>
          <w:b w:val="0"/>
          <w:bCs w:val="0"/>
          <w:sz w:val="22"/>
          <w:szCs w:val="22"/>
        </w:rPr>
        <w:t>Tworząc Plan działania zadbano, aby realizowane przedsięwzięcia umożliwiły osiągnięcie celu LSR. Wszystkie działania zaplanowano tak, aby w pierwszej kolejności zrealizowane zostały te, które oddziaływać będą na pozostałe. W pierwszej kolejności zrealizowane zostaną działania zwiększające atrakcyjność obszaru oraz promocyjne i edukacyjne, dalej te związane z wykorzystaniem zasobów oraz rozwojem przemysłu czasu wolnego. Przedsięwzięcia związane z zakładaniem i rozwojem działalności gospodarczych podzielono tak, aby możliwie jak najlepiej wykorzystać środki oraz stworzyć możliwość skorzystania z dofinansowania jak największej liczbie beneficjentów.</w:t>
      </w:r>
    </w:p>
    <w:p w14:paraId="34B201F5" w14:textId="6ED7B79A" w:rsidR="00A859BB" w:rsidRPr="00A859BB" w:rsidRDefault="00A859BB" w:rsidP="00A859BB">
      <w:pPr>
        <w:pStyle w:val="Gwne"/>
        <w:numPr>
          <w:ilvl w:val="0"/>
          <w:numId w:val="0"/>
        </w:numPr>
        <w:spacing w:after="120" w:line="276" w:lineRule="auto"/>
        <w:ind w:firstLine="709"/>
        <w:outlineLvl w:val="9"/>
        <w:rPr>
          <w:rStyle w:val="markedcontent"/>
          <w:b w:val="0"/>
          <w:bCs w:val="0"/>
          <w:sz w:val="22"/>
          <w:szCs w:val="22"/>
        </w:rPr>
      </w:pPr>
      <w:bookmarkStart w:id="114" w:name="_Hlk134166630"/>
      <w:r w:rsidRPr="00A859BB">
        <w:rPr>
          <w:rStyle w:val="markedcontent"/>
          <w:b w:val="0"/>
          <w:bCs w:val="0"/>
          <w:sz w:val="22"/>
          <w:szCs w:val="22"/>
        </w:rPr>
        <w:t xml:space="preserve">Istotne w trakcie wdrażanie LSR będzie zrealizowanie pierwszych operacji w ramach PS WPR do 30 czerwca 2026 roku, które pozwolą na wykorzystanie 40% budżetu, oraz realizację pozostałych działań tak, aby do 31 grudnia 2027 roku wykorzystać 80% kontraktacji budżetu. </w:t>
      </w:r>
      <w:bookmarkEnd w:id="114"/>
    </w:p>
    <w:p w14:paraId="2C01DD49" w14:textId="77777777" w:rsidR="00A859BB" w:rsidRPr="00A859BB" w:rsidRDefault="00A859BB" w:rsidP="00A859BB">
      <w:pPr>
        <w:pStyle w:val="Gwne"/>
        <w:numPr>
          <w:ilvl w:val="0"/>
          <w:numId w:val="0"/>
        </w:numPr>
        <w:spacing w:after="120" w:line="276" w:lineRule="auto"/>
        <w:ind w:firstLine="709"/>
        <w:outlineLvl w:val="9"/>
        <w:rPr>
          <w:b w:val="0"/>
          <w:bCs w:val="0"/>
          <w:sz w:val="22"/>
          <w:szCs w:val="22"/>
        </w:rPr>
      </w:pPr>
      <w:r w:rsidRPr="00A859BB">
        <w:rPr>
          <w:rStyle w:val="markedcontent"/>
          <w:b w:val="0"/>
          <w:bCs w:val="0"/>
          <w:sz w:val="22"/>
          <w:szCs w:val="22"/>
        </w:rPr>
        <w:t xml:space="preserve">Dokładny plan działania wraz z czasowym przedziałem osiągania wskaźników oraz planowanymi kwotami wsparcia przedstawiają Załącznik nr 2 do LSR pn. </w:t>
      </w:r>
      <w:r w:rsidRPr="00A859BB">
        <w:rPr>
          <w:b w:val="0"/>
          <w:bCs w:val="0"/>
          <w:i/>
          <w:iCs/>
          <w:sz w:val="22"/>
          <w:szCs w:val="22"/>
        </w:rPr>
        <w:t>Plan działania</w:t>
      </w:r>
      <w:r w:rsidRPr="00A859BB">
        <w:rPr>
          <w:b w:val="0"/>
          <w:bCs w:val="0"/>
          <w:sz w:val="22"/>
          <w:szCs w:val="22"/>
        </w:rPr>
        <w:t xml:space="preserve"> oraz Załącznik nr 4 do LSR pn. </w:t>
      </w:r>
      <w:r w:rsidRPr="00A859BB">
        <w:rPr>
          <w:b w:val="0"/>
          <w:bCs w:val="0"/>
          <w:i/>
          <w:iCs/>
          <w:sz w:val="22"/>
          <w:szCs w:val="22"/>
        </w:rPr>
        <w:t>Plan wykorzystania budżetu</w:t>
      </w:r>
      <w:r w:rsidRPr="00A859BB">
        <w:rPr>
          <w:b w:val="0"/>
          <w:bCs w:val="0"/>
          <w:sz w:val="22"/>
          <w:szCs w:val="22"/>
        </w:rPr>
        <w:t>.</w:t>
      </w:r>
    </w:p>
    <w:p w14:paraId="1F56309F" w14:textId="534CBB6F" w:rsidR="007C71D8" w:rsidRDefault="00A17173" w:rsidP="00A17173">
      <w:pPr>
        <w:pStyle w:val="Gwne"/>
        <w:numPr>
          <w:ilvl w:val="0"/>
          <w:numId w:val="0"/>
        </w:numPr>
        <w:spacing w:after="0" w:line="276" w:lineRule="auto"/>
        <w:ind w:firstLine="709"/>
        <w:outlineLvl w:val="9"/>
        <w:rPr>
          <w:b w:val="0"/>
          <w:bCs w:val="0"/>
          <w:sz w:val="22"/>
          <w:szCs w:val="22"/>
        </w:rPr>
      </w:pPr>
      <w:r w:rsidRPr="009107A7">
        <w:rPr>
          <w:b w:val="0"/>
          <w:bCs w:val="0"/>
          <w:sz w:val="22"/>
          <w:szCs w:val="22"/>
        </w:rPr>
        <w:t xml:space="preserve">. </w:t>
      </w:r>
      <w:r w:rsidR="007C71D8">
        <w:rPr>
          <w:b w:val="0"/>
          <w:bCs w:val="0"/>
          <w:sz w:val="22"/>
          <w:szCs w:val="22"/>
        </w:rPr>
        <w:br w:type="page"/>
      </w:r>
    </w:p>
    <w:p w14:paraId="60BF70DC" w14:textId="77777777" w:rsidR="00A17173" w:rsidRDefault="00A17173" w:rsidP="00A17173">
      <w:pPr>
        <w:pStyle w:val="Gwne"/>
        <w:ind w:left="1077" w:hanging="510"/>
        <w:rPr>
          <w:sz w:val="22"/>
          <w:szCs w:val="22"/>
        </w:rPr>
      </w:pPr>
      <w:bookmarkStart w:id="115" w:name="_Toc135896906"/>
      <w:r w:rsidRPr="006822F6">
        <w:rPr>
          <w:sz w:val="22"/>
          <w:szCs w:val="22"/>
        </w:rPr>
        <w:lastRenderedPageBreak/>
        <w:t>PLAN FINANSOWY LSR</w:t>
      </w:r>
      <w:bookmarkEnd w:id="115"/>
    </w:p>
    <w:p w14:paraId="4064A2BF" w14:textId="30981556" w:rsidR="00A859BB" w:rsidRDefault="00A859BB" w:rsidP="007C71D8">
      <w:pPr>
        <w:pStyle w:val="Gwne"/>
        <w:numPr>
          <w:ilvl w:val="0"/>
          <w:numId w:val="0"/>
        </w:numPr>
        <w:spacing w:after="0" w:line="276" w:lineRule="auto"/>
        <w:ind w:firstLine="709"/>
        <w:outlineLvl w:val="9"/>
        <w:rPr>
          <w:b w:val="0"/>
          <w:bCs w:val="0"/>
          <w:i/>
          <w:iCs/>
          <w:sz w:val="22"/>
          <w:szCs w:val="22"/>
        </w:rPr>
      </w:pPr>
      <w:r>
        <w:rPr>
          <w:b w:val="0"/>
          <w:bCs w:val="0"/>
          <w:sz w:val="22"/>
          <w:szCs w:val="22"/>
        </w:rPr>
        <w:t xml:space="preserve">Lokalna Strategia Rozwoju </w:t>
      </w:r>
      <w:r w:rsidR="00356078">
        <w:rPr>
          <w:b w:val="0"/>
          <w:bCs w:val="0"/>
          <w:sz w:val="22"/>
          <w:szCs w:val="22"/>
        </w:rPr>
        <w:t>B</w:t>
      </w:r>
      <w:r>
        <w:rPr>
          <w:b w:val="0"/>
          <w:bCs w:val="0"/>
          <w:sz w:val="22"/>
          <w:szCs w:val="22"/>
        </w:rPr>
        <w:t xml:space="preserve">LGD to strategia jednofunduszowa, której jedynym źródłem finansowania jest </w:t>
      </w:r>
      <w:r w:rsidRPr="00A54ACF">
        <w:rPr>
          <w:b w:val="0"/>
          <w:bCs w:val="0"/>
          <w:sz w:val="22"/>
          <w:szCs w:val="22"/>
        </w:rPr>
        <w:t xml:space="preserve">Europejski Fundusz Rolny na rzecz Rozwoju Obszarów Wiejskich w ramach </w:t>
      </w:r>
      <w:r w:rsidRPr="00291C00">
        <w:rPr>
          <w:b w:val="0"/>
          <w:bCs w:val="0"/>
          <w:i/>
          <w:iCs/>
          <w:sz w:val="22"/>
          <w:szCs w:val="22"/>
        </w:rPr>
        <w:t>Planu Strategicznego dla Wspólnej Polityki Rolnej na lata 2023–2027</w:t>
      </w:r>
      <w:r w:rsidR="00356078">
        <w:rPr>
          <w:b w:val="0"/>
          <w:bCs w:val="0"/>
          <w:i/>
          <w:iCs/>
          <w:sz w:val="22"/>
          <w:szCs w:val="22"/>
        </w:rPr>
        <w:t>.</w:t>
      </w:r>
      <w:r>
        <w:rPr>
          <w:b w:val="0"/>
          <w:bCs w:val="0"/>
          <w:sz w:val="22"/>
          <w:szCs w:val="22"/>
        </w:rPr>
        <w:t xml:space="preserve"> </w:t>
      </w:r>
    </w:p>
    <w:p w14:paraId="720ABFB3" w14:textId="4D8FCEDE" w:rsidR="00A859BB" w:rsidRPr="00A859BB" w:rsidRDefault="00A859BB" w:rsidP="007C71D8">
      <w:pPr>
        <w:pStyle w:val="Akapitzlist"/>
        <w:numPr>
          <w:ilvl w:val="0"/>
          <w:numId w:val="61"/>
        </w:numPr>
        <w:spacing w:after="0"/>
        <w:rPr>
          <w:rFonts w:ascii="Times New Roman" w:hAnsi="Times New Roman" w:cs="Times New Roman"/>
          <w:b/>
          <w:bCs/>
        </w:rPr>
      </w:pPr>
      <w:bookmarkStart w:id="116" w:name="_Toc124403900"/>
      <w:r w:rsidRPr="00787BE2">
        <w:rPr>
          <w:rFonts w:ascii="Times New Roman" w:hAnsi="Times New Roman" w:cs="Times New Roman"/>
          <w:b/>
          <w:bCs/>
        </w:rPr>
        <w:t>Źródła finansowania działalności LGD</w:t>
      </w:r>
      <w:bookmarkEnd w:id="116"/>
    </w:p>
    <w:p w14:paraId="2B598163" w14:textId="77777777" w:rsidR="00A17173" w:rsidRDefault="00A17173" w:rsidP="007C71D8">
      <w:pPr>
        <w:spacing w:after="0" w:line="276" w:lineRule="auto"/>
        <w:ind w:left="708"/>
        <w:jc w:val="both"/>
        <w:rPr>
          <w:rFonts w:ascii="Times New Roman" w:hAnsi="Times New Roman" w:cs="Times New Roman"/>
        </w:rPr>
      </w:pPr>
      <w:r w:rsidRPr="005A0AE5">
        <w:rPr>
          <w:rFonts w:ascii="Times New Roman" w:hAnsi="Times New Roman" w:cs="Times New Roman"/>
        </w:rPr>
        <w:t xml:space="preserve">Działalność LGD finansowana będzie </w:t>
      </w:r>
      <w:r>
        <w:rPr>
          <w:rFonts w:ascii="Times New Roman" w:hAnsi="Times New Roman" w:cs="Times New Roman"/>
        </w:rPr>
        <w:t>w ramach:</w:t>
      </w:r>
    </w:p>
    <w:p w14:paraId="23C58829" w14:textId="77777777" w:rsidR="00A17173" w:rsidRDefault="00A17173" w:rsidP="007C71D8">
      <w:pPr>
        <w:pStyle w:val="Akapitzlist"/>
        <w:numPr>
          <w:ilvl w:val="0"/>
          <w:numId w:val="32"/>
        </w:numPr>
        <w:spacing w:after="0" w:line="276" w:lineRule="auto"/>
        <w:jc w:val="both"/>
        <w:rPr>
          <w:rFonts w:ascii="Times New Roman" w:hAnsi="Times New Roman" w:cs="Times New Roman"/>
        </w:rPr>
      </w:pPr>
      <w:r>
        <w:rPr>
          <w:rFonts w:ascii="Times New Roman" w:hAnsi="Times New Roman" w:cs="Times New Roman"/>
        </w:rPr>
        <w:t xml:space="preserve">Funduszy EFSI stanowiących </w:t>
      </w:r>
      <w:r w:rsidRPr="00E82670">
        <w:rPr>
          <w:rFonts w:ascii="Times New Roman" w:hAnsi="Times New Roman" w:cs="Times New Roman"/>
          <w:b/>
          <w:bCs/>
        </w:rPr>
        <w:t>bezpośrednie źródło finansowania</w:t>
      </w:r>
      <w:r>
        <w:rPr>
          <w:rFonts w:ascii="Times New Roman" w:hAnsi="Times New Roman" w:cs="Times New Roman"/>
        </w:rPr>
        <w:t xml:space="preserve"> LSR jako budżetu LSR:</w:t>
      </w:r>
    </w:p>
    <w:p w14:paraId="6C055486" w14:textId="77777777" w:rsidR="00A17173" w:rsidRDefault="00A17173" w:rsidP="007C71D8">
      <w:pPr>
        <w:pStyle w:val="Akapitzlist"/>
        <w:numPr>
          <w:ilvl w:val="0"/>
          <w:numId w:val="33"/>
        </w:numPr>
        <w:spacing w:after="0" w:line="276" w:lineRule="auto"/>
        <w:jc w:val="both"/>
        <w:rPr>
          <w:rFonts w:ascii="Times New Roman" w:hAnsi="Times New Roman" w:cs="Times New Roman"/>
        </w:rPr>
      </w:pPr>
      <w:r>
        <w:rPr>
          <w:rFonts w:ascii="Times New Roman" w:hAnsi="Times New Roman" w:cs="Times New Roman"/>
        </w:rPr>
        <w:t xml:space="preserve">Europejski Fundusz Rolny na rzecz Rozwoju Obszarów Wiejskich w ramach </w:t>
      </w:r>
      <w:r w:rsidRPr="00E903EA">
        <w:rPr>
          <w:rFonts w:ascii="Times New Roman" w:hAnsi="Times New Roman" w:cs="Times New Roman"/>
          <w:i/>
          <w:iCs/>
        </w:rPr>
        <w:t>Planu Strategicznego dla Wspólnej Polityki Rolnej na lata 2023–2027</w:t>
      </w:r>
      <w:r>
        <w:rPr>
          <w:rFonts w:ascii="Times New Roman" w:hAnsi="Times New Roman" w:cs="Times New Roman"/>
        </w:rPr>
        <w:t>;</w:t>
      </w:r>
    </w:p>
    <w:p w14:paraId="48587F20" w14:textId="77777777" w:rsidR="00A17173" w:rsidRDefault="00A17173" w:rsidP="007C71D8">
      <w:pPr>
        <w:pStyle w:val="Akapitzlist"/>
        <w:spacing w:after="0" w:line="276" w:lineRule="auto"/>
        <w:jc w:val="both"/>
        <w:rPr>
          <w:rFonts w:ascii="Times New Roman" w:hAnsi="Times New Roman" w:cs="Times New Roman"/>
        </w:rPr>
      </w:pPr>
    </w:p>
    <w:p w14:paraId="0611DBE0" w14:textId="77777777" w:rsidR="00A17173" w:rsidRDefault="00A17173" w:rsidP="007C71D8">
      <w:pPr>
        <w:pStyle w:val="Akapitzlist"/>
        <w:numPr>
          <w:ilvl w:val="0"/>
          <w:numId w:val="32"/>
        </w:numPr>
        <w:spacing w:after="0" w:line="276" w:lineRule="auto"/>
        <w:jc w:val="both"/>
        <w:rPr>
          <w:rFonts w:ascii="Times New Roman" w:hAnsi="Times New Roman" w:cs="Times New Roman"/>
        </w:rPr>
      </w:pPr>
      <w:r>
        <w:rPr>
          <w:rFonts w:ascii="Times New Roman" w:hAnsi="Times New Roman" w:cs="Times New Roman"/>
        </w:rPr>
        <w:t xml:space="preserve">Innych potencjalnych / </w:t>
      </w:r>
      <w:r w:rsidRPr="00173470">
        <w:rPr>
          <w:rFonts w:ascii="Times New Roman" w:hAnsi="Times New Roman" w:cs="Times New Roman"/>
          <w:b/>
          <w:bCs/>
        </w:rPr>
        <w:t>pośrednich źródeł finansowania</w:t>
      </w:r>
      <w:r>
        <w:rPr>
          <w:rFonts w:ascii="Times New Roman" w:hAnsi="Times New Roman" w:cs="Times New Roman"/>
        </w:rPr>
        <w:t xml:space="preserve"> przedsięwzięć wynikających z LSR, w tym także EFSI w zakresie nie objętym RLKS, które nie stanowią źródła finansowania, o którym mowa w pkt. 1):</w:t>
      </w:r>
    </w:p>
    <w:p w14:paraId="2FD0EEFE" w14:textId="77777777" w:rsidR="00A17173" w:rsidRPr="008A4FA4" w:rsidRDefault="00A17173" w:rsidP="007C71D8">
      <w:pPr>
        <w:pStyle w:val="Akapitzlist"/>
        <w:numPr>
          <w:ilvl w:val="0"/>
          <w:numId w:val="34"/>
        </w:numPr>
        <w:spacing w:after="0" w:line="276" w:lineRule="auto"/>
        <w:jc w:val="both"/>
        <w:rPr>
          <w:rFonts w:ascii="Times New Roman" w:hAnsi="Times New Roman" w:cs="Times New Roman"/>
        </w:rPr>
      </w:pPr>
      <w:r w:rsidRPr="003E5AA1">
        <w:rPr>
          <w:rFonts w:ascii="Times New Roman" w:hAnsi="Times New Roman" w:cs="Times New Roman"/>
          <w:i/>
          <w:iCs/>
        </w:rPr>
        <w:t>Fundusze Europejskie na Infrastrukturę, Klimat, Środowisko 2021–2027</w:t>
      </w:r>
      <w:r w:rsidRPr="003E5AA1">
        <w:rPr>
          <w:rFonts w:ascii="Times New Roman" w:hAnsi="Times New Roman" w:cs="Times New Roman"/>
        </w:rPr>
        <w:t xml:space="preserve"> w ramach priorytetu VII </w:t>
      </w:r>
      <w:r w:rsidRPr="003E5AA1">
        <w:rPr>
          <w:rFonts w:ascii="Times New Roman" w:hAnsi="Times New Roman" w:cs="Times New Roman"/>
          <w:i/>
          <w:iCs/>
        </w:rPr>
        <w:t>Kultura</w:t>
      </w:r>
      <w:r w:rsidRPr="003E5AA1">
        <w:rPr>
          <w:rFonts w:ascii="Times New Roman" w:hAnsi="Times New Roman" w:cs="Times New Roman"/>
        </w:rPr>
        <w:t xml:space="preserve"> Cel szczegółowy 4.6 </w:t>
      </w:r>
      <w:r w:rsidRPr="003E5AA1">
        <w:rPr>
          <w:rFonts w:ascii="Times New Roman" w:hAnsi="Times New Roman" w:cs="Times New Roman"/>
          <w:i/>
          <w:iCs/>
        </w:rPr>
        <w:t>Wzmacnianie roli kultury i zrównoważonej turystyki w rozwoju gospodarczym, włączeniu społecznym i innowacjach społecznych</w:t>
      </w:r>
      <w:r>
        <w:rPr>
          <w:rFonts w:ascii="Times New Roman" w:hAnsi="Times New Roman" w:cs="Times New Roman"/>
          <w:i/>
          <w:iCs/>
        </w:rPr>
        <w:t>;</w:t>
      </w:r>
    </w:p>
    <w:p w14:paraId="7D6D4270" w14:textId="43162149" w:rsidR="00A17173" w:rsidRPr="0001601B" w:rsidRDefault="00A17173" w:rsidP="007C71D8">
      <w:pPr>
        <w:pStyle w:val="Akapitzlist"/>
        <w:numPr>
          <w:ilvl w:val="0"/>
          <w:numId w:val="34"/>
        </w:numPr>
        <w:spacing w:after="0" w:line="276" w:lineRule="auto"/>
        <w:jc w:val="both"/>
        <w:rPr>
          <w:rFonts w:ascii="Times New Roman" w:hAnsi="Times New Roman" w:cs="Times New Roman"/>
        </w:rPr>
      </w:pPr>
      <w:r w:rsidRPr="00DD5D52">
        <w:rPr>
          <w:rFonts w:ascii="Times New Roman" w:hAnsi="Times New Roman" w:cs="Times New Roman"/>
          <w:i/>
          <w:iCs/>
        </w:rPr>
        <w:t xml:space="preserve">Fundusze Europejskie dla Rozwoju Społecznego 2021–2027 </w:t>
      </w:r>
      <w:r w:rsidRPr="00DD5D52">
        <w:rPr>
          <w:rFonts w:ascii="Times New Roman" w:hAnsi="Times New Roman" w:cs="Times New Roman"/>
        </w:rPr>
        <w:t xml:space="preserve">w ramach celu szczegółowego ESO4.7. </w:t>
      </w:r>
      <w:r w:rsidRPr="00DD5D52">
        <w:rPr>
          <w:rFonts w:ascii="Times New Roman" w:hAnsi="Times New Roman" w:cs="Times New Roman"/>
          <w:i/>
          <w:iCs/>
        </w:rPr>
        <w:t xml:space="preserve">Wspieranie uczenia się przez całe życie, w szczególności elastycznych możliwości podnoszenia </w:t>
      </w:r>
      <w:r>
        <w:rPr>
          <w:rFonts w:ascii="Times New Roman" w:hAnsi="Times New Roman" w:cs="Times New Roman"/>
          <w:i/>
          <w:iCs/>
        </w:rPr>
        <w:br/>
      </w:r>
      <w:r w:rsidRPr="00DD5D52">
        <w:rPr>
          <w:rFonts w:ascii="Times New Roman" w:hAnsi="Times New Roman" w:cs="Times New Roman"/>
          <w:i/>
          <w:iCs/>
        </w:rPr>
        <w:t xml:space="preserve">i zmiany kwalifikacji dla wszystkich, z uwzględnieniem umiejętności w zakresie przedsiębiorczości </w:t>
      </w:r>
      <w:r>
        <w:rPr>
          <w:rFonts w:ascii="Times New Roman" w:hAnsi="Times New Roman" w:cs="Times New Roman"/>
          <w:i/>
          <w:iCs/>
        </w:rPr>
        <w:br/>
      </w:r>
      <w:r w:rsidRPr="00DD5D52">
        <w:rPr>
          <w:rFonts w:ascii="Times New Roman" w:hAnsi="Times New Roman" w:cs="Times New Roman"/>
          <w:i/>
          <w:iCs/>
        </w:rPr>
        <w:t>i kompetencji cyfrowych, lepsze przewidywanie zmian i zapotrzebowania na nowe umiejętności na podstawie potrzeb rynku pracy, ułatwianie zmian ścieżki kariery zawodowej i wspieranie mobilności zawodowej (EFS+)</w:t>
      </w:r>
      <w:r w:rsidR="0001601B">
        <w:rPr>
          <w:rFonts w:ascii="Times New Roman" w:hAnsi="Times New Roman" w:cs="Times New Roman"/>
          <w:i/>
          <w:iCs/>
        </w:rPr>
        <w:t>;</w:t>
      </w:r>
    </w:p>
    <w:p w14:paraId="1D553C23" w14:textId="3968624A" w:rsidR="0001601B" w:rsidRPr="00A859BB" w:rsidRDefault="0001601B" w:rsidP="007C71D8">
      <w:pPr>
        <w:pStyle w:val="Akapitzlist"/>
        <w:numPr>
          <w:ilvl w:val="0"/>
          <w:numId w:val="34"/>
        </w:numPr>
        <w:spacing w:after="0" w:line="276" w:lineRule="auto"/>
        <w:jc w:val="both"/>
        <w:rPr>
          <w:rFonts w:ascii="Times New Roman" w:hAnsi="Times New Roman" w:cs="Times New Roman"/>
        </w:rPr>
      </w:pPr>
      <w:r>
        <w:rPr>
          <w:rFonts w:ascii="Times New Roman" w:hAnsi="Times New Roman" w:cs="Times New Roman"/>
          <w:i/>
          <w:iCs/>
        </w:rPr>
        <w:t xml:space="preserve">Krajowy Plan Odbudowy (KPO) – w ramach Funduszu </w:t>
      </w:r>
      <w:r w:rsidRPr="00FB42DF">
        <w:rPr>
          <w:rFonts w:ascii="Times New Roman" w:hAnsi="Times New Roman" w:cs="Times New Roman"/>
          <w:i/>
          <w:iCs/>
        </w:rPr>
        <w:t xml:space="preserve">Odbudowy </w:t>
      </w:r>
      <w:r w:rsidRPr="00FB42DF">
        <w:rPr>
          <w:rFonts w:ascii="Times New Roman" w:hAnsi="Times New Roman" w:cs="Times New Roman"/>
        </w:rPr>
        <w:t xml:space="preserve">w zakresie komponentu A </w:t>
      </w:r>
      <w:r w:rsidRPr="00FB42DF">
        <w:rPr>
          <w:rFonts w:ascii="Times New Roman" w:hAnsi="Times New Roman" w:cs="Times New Roman"/>
          <w:i/>
          <w:iCs/>
        </w:rPr>
        <w:t xml:space="preserve">Odporność i konkurencyjność gospodarki, </w:t>
      </w:r>
      <w:r w:rsidRPr="00FB42DF">
        <w:rPr>
          <w:rFonts w:ascii="Times New Roman" w:hAnsi="Times New Roman" w:cs="Times New Roman"/>
        </w:rPr>
        <w:t xml:space="preserve">cel szczegółowy A4. </w:t>
      </w:r>
      <w:r w:rsidRPr="00FB42DF">
        <w:rPr>
          <w:rFonts w:ascii="Arial" w:hAnsi="Arial" w:cs="Arial"/>
        </w:rPr>
        <w:t xml:space="preserve"> </w:t>
      </w:r>
      <w:r w:rsidRPr="00FB42DF">
        <w:rPr>
          <w:rFonts w:ascii="Times New Roman" w:hAnsi="Times New Roman" w:cs="Times New Roman"/>
          <w:i/>
          <w:iCs/>
        </w:rPr>
        <w:t>Zwiększenie dopasowania strukturalnego, efektywności</w:t>
      </w:r>
      <w:r>
        <w:rPr>
          <w:rFonts w:ascii="Times New Roman" w:hAnsi="Times New Roman" w:cs="Times New Roman"/>
          <w:i/>
          <w:iCs/>
        </w:rPr>
        <w:t xml:space="preserve"> </w:t>
      </w:r>
      <w:r w:rsidRPr="00FB42DF">
        <w:rPr>
          <w:rFonts w:ascii="Times New Roman" w:hAnsi="Times New Roman" w:cs="Times New Roman"/>
          <w:i/>
          <w:iCs/>
        </w:rPr>
        <w:t xml:space="preserve">i odporności kryzysowej rynku pracy, </w:t>
      </w:r>
      <w:r w:rsidRPr="00FB42DF">
        <w:rPr>
          <w:rFonts w:ascii="Times New Roman" w:hAnsi="Times New Roman" w:cs="Times New Roman"/>
        </w:rPr>
        <w:t xml:space="preserve">Reforma A4.5. </w:t>
      </w:r>
      <w:r w:rsidRPr="00FB42DF">
        <w:rPr>
          <w:rFonts w:ascii="Times New Roman" w:hAnsi="Times New Roman" w:cs="Times New Roman"/>
          <w:i/>
          <w:iCs/>
        </w:rPr>
        <w:t>Przedłużanie kariery zawodowej i promowanie pracy po przekroczeniu ustawowego wieku emerytalnego</w:t>
      </w:r>
      <w:r>
        <w:rPr>
          <w:rFonts w:ascii="Times New Roman" w:hAnsi="Times New Roman" w:cs="Times New Roman"/>
          <w:i/>
          <w:iCs/>
        </w:rPr>
        <w:t>.</w:t>
      </w:r>
    </w:p>
    <w:p w14:paraId="17EE3E97" w14:textId="505DBD8B" w:rsidR="00A859BB" w:rsidRPr="00A859BB" w:rsidRDefault="00A859BB" w:rsidP="007C71D8">
      <w:pPr>
        <w:pStyle w:val="Akapitzlist"/>
        <w:numPr>
          <w:ilvl w:val="0"/>
          <w:numId w:val="34"/>
        </w:numPr>
        <w:spacing w:after="0" w:line="276" w:lineRule="auto"/>
        <w:jc w:val="both"/>
        <w:rPr>
          <w:rFonts w:ascii="Times New Roman" w:hAnsi="Times New Roman" w:cs="Times New Roman"/>
        </w:rPr>
      </w:pPr>
      <w:r>
        <w:rPr>
          <w:rFonts w:ascii="Times New Roman" w:hAnsi="Times New Roman" w:cs="Times New Roman"/>
          <w:i/>
          <w:iCs/>
        </w:rPr>
        <w:t>Program Fundusz Inicjatyw Obywatelskich NOWEFIO na lata 2021–2030</w:t>
      </w:r>
      <w:r w:rsidRPr="0073287F">
        <w:rPr>
          <w:rFonts w:ascii="Times New Roman" w:hAnsi="Times New Roman" w:cs="Times New Roman"/>
          <w:i/>
          <w:iCs/>
        </w:rPr>
        <w:t xml:space="preserve"> – </w:t>
      </w:r>
      <w:r w:rsidRPr="00C71EC3">
        <w:rPr>
          <w:rFonts w:ascii="Times New Roman" w:hAnsi="Times New Roman" w:cs="Times New Roman"/>
        </w:rPr>
        <w:t>w ramach</w:t>
      </w:r>
      <w:r w:rsidRPr="0073287F">
        <w:rPr>
          <w:rFonts w:ascii="Times New Roman" w:hAnsi="Times New Roman" w:cs="Times New Roman"/>
          <w:i/>
          <w:iCs/>
        </w:rPr>
        <w:t xml:space="preserve"> </w:t>
      </w:r>
      <w:r w:rsidRPr="0073287F">
        <w:rPr>
          <w:rFonts w:ascii="Times New Roman" w:hAnsi="Times New Roman" w:cs="Times New Roman"/>
        </w:rPr>
        <w:t xml:space="preserve">priorytetu I </w:t>
      </w:r>
      <w:r>
        <w:rPr>
          <w:rFonts w:ascii="Times New Roman" w:hAnsi="Times New Roman" w:cs="Times New Roman"/>
          <w:i/>
          <w:iCs/>
        </w:rPr>
        <w:t xml:space="preserve">Mikro-inicjatywy </w:t>
      </w:r>
      <w:r>
        <w:rPr>
          <w:rFonts w:ascii="Times New Roman" w:hAnsi="Times New Roman" w:cs="Times New Roman"/>
        </w:rPr>
        <w:t xml:space="preserve">oraz w ramach priorytetu II </w:t>
      </w:r>
      <w:r w:rsidRPr="00C71EC3">
        <w:rPr>
          <w:rFonts w:ascii="Times New Roman" w:hAnsi="Times New Roman" w:cs="Times New Roman"/>
          <w:i/>
          <w:iCs/>
        </w:rPr>
        <w:t>Organizacje obywatelskie na rzecz dobra wspólnego</w:t>
      </w:r>
      <w:r>
        <w:rPr>
          <w:rFonts w:ascii="Times New Roman" w:hAnsi="Times New Roman" w:cs="Times New Roman"/>
          <w:i/>
          <w:iCs/>
        </w:rPr>
        <w:t>;</w:t>
      </w:r>
    </w:p>
    <w:p w14:paraId="639ABD6B" w14:textId="77777777" w:rsidR="00A17173" w:rsidRDefault="00A17173" w:rsidP="007C71D8">
      <w:pPr>
        <w:pStyle w:val="Akapitzlist"/>
        <w:numPr>
          <w:ilvl w:val="0"/>
          <w:numId w:val="34"/>
        </w:numPr>
        <w:spacing w:after="0" w:line="276" w:lineRule="auto"/>
        <w:jc w:val="both"/>
        <w:rPr>
          <w:rFonts w:ascii="Times New Roman" w:hAnsi="Times New Roman" w:cs="Times New Roman"/>
        </w:rPr>
      </w:pPr>
      <w:r w:rsidRPr="002B10F5">
        <w:rPr>
          <w:rFonts w:ascii="Times New Roman" w:hAnsi="Times New Roman" w:cs="Times New Roman"/>
        </w:rPr>
        <w:t>Środki krajowe;</w:t>
      </w:r>
    </w:p>
    <w:p w14:paraId="4261A017" w14:textId="77777777" w:rsidR="00A17173" w:rsidRPr="002B10F5" w:rsidRDefault="00A17173" w:rsidP="007C71D8">
      <w:pPr>
        <w:pStyle w:val="Akapitzlist"/>
        <w:numPr>
          <w:ilvl w:val="0"/>
          <w:numId w:val="34"/>
        </w:numPr>
        <w:spacing w:after="0" w:line="276" w:lineRule="auto"/>
        <w:jc w:val="both"/>
        <w:rPr>
          <w:rFonts w:ascii="Times New Roman" w:hAnsi="Times New Roman" w:cs="Times New Roman"/>
        </w:rPr>
      </w:pPr>
      <w:r>
        <w:rPr>
          <w:rFonts w:ascii="Times New Roman" w:hAnsi="Times New Roman" w:cs="Times New Roman"/>
        </w:rPr>
        <w:t xml:space="preserve">Fundusze Norweskie i EOG (Europejski Obszar Gospodarczy). </w:t>
      </w:r>
    </w:p>
    <w:p w14:paraId="3647739D" w14:textId="77777777" w:rsidR="00A17173" w:rsidRPr="00E82670" w:rsidRDefault="00A17173" w:rsidP="007C71D8">
      <w:pPr>
        <w:pStyle w:val="Akapitzlist"/>
        <w:spacing w:after="0" w:line="276" w:lineRule="auto"/>
        <w:jc w:val="both"/>
        <w:rPr>
          <w:rFonts w:ascii="Times New Roman" w:hAnsi="Times New Roman" w:cs="Times New Roman"/>
        </w:rPr>
      </w:pPr>
    </w:p>
    <w:p w14:paraId="6ABCAE10" w14:textId="0B17508B" w:rsidR="00A859BB" w:rsidRPr="00E860C3" w:rsidRDefault="00A17173" w:rsidP="00E860C3">
      <w:pPr>
        <w:pStyle w:val="Akapitzlist"/>
        <w:spacing w:after="0" w:line="276" w:lineRule="auto"/>
        <w:ind w:left="0" w:firstLine="708"/>
        <w:jc w:val="both"/>
        <w:rPr>
          <w:rFonts w:ascii="Times New Roman" w:hAnsi="Times New Roman" w:cs="Times New Roman"/>
        </w:rPr>
      </w:pPr>
      <w:r>
        <w:rPr>
          <w:rFonts w:ascii="Times New Roman" w:hAnsi="Times New Roman" w:cs="Times New Roman"/>
        </w:rPr>
        <w:t>Zadania finansowane z innych źródeł niż bezpośrednie, przyczynią się do realizacji celów określonych w ramach RLKS.</w:t>
      </w:r>
    </w:p>
    <w:p w14:paraId="2095CE7B" w14:textId="5DB16977" w:rsidR="00A859BB" w:rsidRDefault="00A859BB" w:rsidP="007C71D8">
      <w:pPr>
        <w:pStyle w:val="Akapitzlist"/>
        <w:numPr>
          <w:ilvl w:val="0"/>
          <w:numId w:val="61"/>
        </w:numPr>
        <w:spacing w:before="120" w:after="0"/>
        <w:rPr>
          <w:rFonts w:ascii="Times New Roman" w:hAnsi="Times New Roman" w:cs="Times New Roman"/>
          <w:b/>
          <w:bCs/>
        </w:rPr>
      </w:pPr>
      <w:r w:rsidRPr="006C50B3">
        <w:rPr>
          <w:rFonts w:ascii="Times New Roman" w:hAnsi="Times New Roman" w:cs="Times New Roman"/>
          <w:b/>
          <w:bCs/>
        </w:rPr>
        <w:t>Powiązanie źródeł finansowania</w:t>
      </w:r>
    </w:p>
    <w:p w14:paraId="65F0FD58" w14:textId="77777777" w:rsidR="00A859BB" w:rsidRPr="00A859BB" w:rsidRDefault="00A859BB" w:rsidP="007C71D8">
      <w:pPr>
        <w:pStyle w:val="Akapitzlist"/>
        <w:spacing w:before="120" w:after="0"/>
        <w:rPr>
          <w:rFonts w:ascii="Times New Roman" w:hAnsi="Times New Roman" w:cs="Times New Roman"/>
          <w:b/>
          <w:bCs/>
        </w:rPr>
      </w:pPr>
    </w:p>
    <w:p w14:paraId="7A8A1A91" w14:textId="63D6ACEE" w:rsidR="00A17173" w:rsidRPr="006C50B3" w:rsidRDefault="00A17173" w:rsidP="007C71D8">
      <w:pPr>
        <w:pStyle w:val="Akapitzlist"/>
        <w:spacing w:after="0" w:line="276" w:lineRule="auto"/>
        <w:ind w:left="0" w:firstLine="708"/>
        <w:jc w:val="both"/>
        <w:rPr>
          <w:b/>
          <w:bCs/>
        </w:rPr>
      </w:pPr>
      <w:r w:rsidRPr="000B465A">
        <w:rPr>
          <w:rFonts w:ascii="Times New Roman" w:hAnsi="Times New Roman" w:cs="Times New Roman"/>
        </w:rPr>
        <w:t>Przewidziane źródła finansowania oraz plan działania są w bezpośredni sposób powiązane z celami i</w:t>
      </w:r>
      <w:r>
        <w:rPr>
          <w:rFonts w:ascii="Times New Roman" w:hAnsi="Times New Roman" w:cs="Times New Roman"/>
        </w:rPr>
        <w:t> </w:t>
      </w:r>
      <w:r w:rsidRPr="000B465A">
        <w:rPr>
          <w:rFonts w:ascii="Times New Roman" w:hAnsi="Times New Roman" w:cs="Times New Roman"/>
        </w:rPr>
        <w:t xml:space="preserve">przedsięwzięciami. </w:t>
      </w:r>
      <w:r>
        <w:rPr>
          <w:rFonts w:ascii="Times New Roman" w:hAnsi="Times New Roman" w:cs="Times New Roman"/>
        </w:rPr>
        <w:t>Zaplanowane do realizacji przedsięwzięcia można będzie lepiej wdrażać na obszarze LSR dzięki alternatywnym źródłom dofinansowania, które pozwolą zrealizować większy zakres projektów. Wzięto pod uwagę te źródła finansowania, z których środki przeznaczane będą na operacje zgodne z celem niniejszej LSR, a więc wszelkie te, które mogą przyczynić się do rozwoju kapitał</w:t>
      </w:r>
      <w:r w:rsidR="001B17EC">
        <w:rPr>
          <w:rFonts w:ascii="Times New Roman" w:hAnsi="Times New Roman" w:cs="Times New Roman"/>
        </w:rPr>
        <w:t>u</w:t>
      </w:r>
      <w:r>
        <w:rPr>
          <w:rFonts w:ascii="Times New Roman" w:hAnsi="Times New Roman" w:cs="Times New Roman"/>
        </w:rPr>
        <w:t xml:space="preserve"> społecznego mieszkańców, w tym podniesienia dostępności i atrakcyjności ogólnodostępnych przestrzeni, infrastruktury sportowo-rekreacyjnej, turystycznej, kulturalnej i edukacyjnej oraz oferty przemysłu czasu wolnego i samorozwoju mieszkańców. </w:t>
      </w:r>
    </w:p>
    <w:p w14:paraId="1F2A161A" w14:textId="3DB50EE9" w:rsidR="00A17173" w:rsidRPr="00A859BB" w:rsidRDefault="00A859BB" w:rsidP="007C71D8">
      <w:pPr>
        <w:spacing w:after="0" w:line="276" w:lineRule="auto"/>
        <w:ind w:firstLine="708"/>
        <w:jc w:val="both"/>
        <w:rPr>
          <w:rFonts w:ascii="Times New Roman" w:hAnsi="Times New Roman" w:cs="Times New Roman"/>
        </w:rPr>
      </w:pPr>
      <w:r w:rsidRPr="00A859BB">
        <w:rPr>
          <w:rStyle w:val="markedcontent"/>
          <w:rFonts w:ascii="Times New Roman" w:hAnsi="Times New Roman" w:cs="Times New Roman"/>
        </w:rPr>
        <w:t xml:space="preserve">Zaplanowany do realizacji budżet został przedstawiony w Załączniku nr 3 do LSR pn. </w:t>
      </w:r>
      <w:r w:rsidRPr="00A859BB">
        <w:rPr>
          <w:rFonts w:ascii="Times New Roman" w:hAnsi="Times New Roman" w:cs="Times New Roman"/>
          <w:i/>
          <w:iCs/>
        </w:rPr>
        <w:t>Budżet LSR</w:t>
      </w:r>
      <w:r w:rsidRPr="00A859BB">
        <w:rPr>
          <w:rFonts w:ascii="Times New Roman" w:hAnsi="Times New Roman" w:cs="Times New Roman"/>
        </w:rPr>
        <w:t xml:space="preserve"> oraz </w:t>
      </w:r>
      <w:r w:rsidRPr="00A859BB">
        <w:rPr>
          <w:rFonts w:ascii="Times New Roman" w:hAnsi="Times New Roman" w:cs="Times New Roman"/>
        </w:rPr>
        <w:br/>
        <w:t xml:space="preserve">w Załączniku nr 4 do LSR pn. </w:t>
      </w:r>
      <w:r w:rsidRPr="00A859BB">
        <w:rPr>
          <w:rFonts w:ascii="Times New Roman" w:hAnsi="Times New Roman" w:cs="Times New Roman"/>
          <w:i/>
          <w:iCs/>
        </w:rPr>
        <w:t>Plan wykorzystania budżetu</w:t>
      </w:r>
      <w:r w:rsidR="001B17EC">
        <w:rPr>
          <w:rFonts w:ascii="Times New Roman" w:hAnsi="Times New Roman" w:cs="Times New Roman"/>
          <w:i/>
          <w:iCs/>
        </w:rPr>
        <w:t>.</w:t>
      </w:r>
    </w:p>
    <w:p w14:paraId="2C9EACCD" w14:textId="77777777" w:rsidR="00A17173" w:rsidRDefault="00A17173" w:rsidP="00A17173">
      <w:pPr>
        <w:pStyle w:val="Akapitzlist"/>
        <w:spacing w:after="0" w:line="276" w:lineRule="auto"/>
        <w:ind w:left="0" w:firstLine="708"/>
        <w:jc w:val="both"/>
        <w:rPr>
          <w:rFonts w:ascii="Times New Roman" w:hAnsi="Times New Roman" w:cs="Times New Roman"/>
        </w:rPr>
      </w:pPr>
    </w:p>
    <w:p w14:paraId="5E5807A4" w14:textId="77777777" w:rsidR="00A17173" w:rsidRDefault="00A17173" w:rsidP="00A17173">
      <w:pPr>
        <w:rPr>
          <w:rFonts w:ascii="Times New Roman" w:hAnsi="Times New Roman" w:cs="Times New Roman"/>
          <w:b/>
          <w:bCs/>
          <w:color w:val="000000" w:themeColor="text1"/>
          <w:sz w:val="20"/>
          <w:szCs w:val="20"/>
        </w:rPr>
      </w:pPr>
      <w:r>
        <w:rPr>
          <w:rFonts w:ascii="Times New Roman" w:hAnsi="Times New Roman" w:cs="Times New Roman"/>
          <w:b/>
          <w:bCs/>
          <w:i/>
          <w:iCs/>
          <w:color w:val="000000" w:themeColor="text1"/>
          <w:sz w:val="20"/>
          <w:szCs w:val="20"/>
        </w:rPr>
        <w:br w:type="page"/>
      </w:r>
    </w:p>
    <w:p w14:paraId="722A103E" w14:textId="77777777" w:rsidR="00A17173" w:rsidRPr="006822F6" w:rsidRDefault="00A17173" w:rsidP="00A17173">
      <w:pPr>
        <w:pStyle w:val="Gwne"/>
        <w:ind w:left="1077" w:hanging="510"/>
        <w:rPr>
          <w:sz w:val="22"/>
          <w:szCs w:val="22"/>
        </w:rPr>
      </w:pPr>
      <w:bookmarkStart w:id="117" w:name="_Toc135896907"/>
      <w:r w:rsidRPr="006822F6">
        <w:rPr>
          <w:sz w:val="22"/>
          <w:szCs w:val="22"/>
        </w:rPr>
        <w:lastRenderedPageBreak/>
        <w:t>MONITORING I EWALUACJA</w:t>
      </w:r>
      <w:bookmarkEnd w:id="117"/>
    </w:p>
    <w:p w14:paraId="6277047E" w14:textId="77777777" w:rsidR="001E00E1" w:rsidRDefault="001E00E1" w:rsidP="007C71D8">
      <w:pPr>
        <w:spacing w:after="0" w:line="276" w:lineRule="auto"/>
        <w:ind w:firstLine="708"/>
        <w:jc w:val="both"/>
        <w:rPr>
          <w:rFonts w:ascii="Times New Roman" w:hAnsi="Times New Roman" w:cs="Times New Roman"/>
        </w:rPr>
      </w:pPr>
      <w:r w:rsidRPr="009B178A">
        <w:rPr>
          <w:rFonts w:ascii="Times New Roman" w:hAnsi="Times New Roman" w:cs="Times New Roman"/>
        </w:rPr>
        <w:t>W celu poprawnego i efektywnego wdrażania założeń Strategii, niezbędne jest prowadzenie działań, które mają na celu weryfikację sposobu jej realizacji. W związku z tym niezbędne jest prowadzenie bieżącego monitoringu oraz przeprowadzanie badań ewaluacyjnych, które umożliwią w razie konieczności aktualizację dokumentu. Wszystkie podejmowane działania powinny być prowadzone w sposób zad</w:t>
      </w:r>
      <w:r>
        <w:rPr>
          <w:rFonts w:ascii="Times New Roman" w:hAnsi="Times New Roman" w:cs="Times New Roman"/>
        </w:rPr>
        <w:t>o</w:t>
      </w:r>
      <w:r w:rsidRPr="009B178A">
        <w:rPr>
          <w:rFonts w:ascii="Times New Roman" w:hAnsi="Times New Roman" w:cs="Times New Roman"/>
        </w:rPr>
        <w:t>walający społeczność lokalną zamieszkującą obszar LGD.</w:t>
      </w:r>
      <w:r>
        <w:rPr>
          <w:rFonts w:ascii="Times New Roman" w:hAnsi="Times New Roman" w:cs="Times New Roman"/>
        </w:rPr>
        <w:t xml:space="preserve"> Ponadto metody monitoringu i badań ewaluacyjnych zostały tak przygotowane, aby dotrzeć do jak najszerszego grona odbiorców, również do osób do tej pory niezainteresowanych działalnością LGD.</w:t>
      </w:r>
    </w:p>
    <w:p w14:paraId="0AF44126" w14:textId="77777777" w:rsidR="001E00E1" w:rsidRDefault="001E00E1" w:rsidP="007C71D8">
      <w:pPr>
        <w:pStyle w:val="Akapitzlist"/>
        <w:numPr>
          <w:ilvl w:val="1"/>
          <w:numId w:val="35"/>
        </w:numPr>
        <w:spacing w:after="0" w:line="276" w:lineRule="auto"/>
        <w:jc w:val="both"/>
        <w:rPr>
          <w:rFonts w:ascii="Times New Roman" w:hAnsi="Times New Roman" w:cs="Times New Roman"/>
          <w:b/>
          <w:bCs/>
        </w:rPr>
      </w:pPr>
      <w:r w:rsidRPr="00EB2A79">
        <w:rPr>
          <w:rFonts w:ascii="Times New Roman" w:hAnsi="Times New Roman" w:cs="Times New Roman"/>
          <w:b/>
          <w:bCs/>
        </w:rPr>
        <w:t xml:space="preserve">Monitoring </w:t>
      </w:r>
    </w:p>
    <w:p w14:paraId="57740D72" w14:textId="77777777" w:rsidR="001E00E1" w:rsidRPr="00937448" w:rsidRDefault="001E00E1" w:rsidP="007C71D8">
      <w:pPr>
        <w:spacing w:after="0" w:line="276" w:lineRule="auto"/>
        <w:ind w:firstLine="708"/>
        <w:jc w:val="both"/>
        <w:rPr>
          <w:rFonts w:ascii="Times New Roman" w:hAnsi="Times New Roman" w:cs="Times New Roman"/>
        </w:rPr>
      </w:pPr>
      <w:r w:rsidRPr="00937448">
        <w:rPr>
          <w:rFonts w:ascii="Times New Roman" w:hAnsi="Times New Roman" w:cs="Times New Roman"/>
        </w:rPr>
        <w:t>Monitoring LSR prowadzony będzie na bieżąco</w:t>
      </w:r>
      <w:r>
        <w:rPr>
          <w:rFonts w:ascii="Times New Roman" w:hAnsi="Times New Roman" w:cs="Times New Roman"/>
        </w:rPr>
        <w:t xml:space="preserve"> przez pracowników Biura LGD. </w:t>
      </w:r>
    </w:p>
    <w:p w14:paraId="1A34A290" w14:textId="77777777" w:rsidR="001E00E1" w:rsidRDefault="001E00E1" w:rsidP="007C71D8">
      <w:pPr>
        <w:spacing w:after="0" w:line="276" w:lineRule="auto"/>
        <w:ind w:firstLine="708"/>
        <w:jc w:val="both"/>
        <w:rPr>
          <w:rFonts w:ascii="Times New Roman" w:hAnsi="Times New Roman" w:cs="Times New Roman"/>
        </w:rPr>
      </w:pPr>
      <w:r w:rsidRPr="00457E37">
        <w:rPr>
          <w:rFonts w:ascii="Times New Roman" w:hAnsi="Times New Roman" w:cs="Times New Roman"/>
        </w:rPr>
        <w:t xml:space="preserve">Monitoring obejmuje: </w:t>
      </w:r>
    </w:p>
    <w:p w14:paraId="704D211C" w14:textId="6609E26D" w:rsidR="001E00E1" w:rsidRPr="00457E37" w:rsidRDefault="001E00E1" w:rsidP="007C71D8">
      <w:pPr>
        <w:pStyle w:val="Akapitzlist"/>
        <w:numPr>
          <w:ilvl w:val="0"/>
          <w:numId w:val="36"/>
        </w:numPr>
        <w:spacing w:after="0" w:line="276" w:lineRule="auto"/>
        <w:ind w:left="709"/>
        <w:jc w:val="both"/>
        <w:rPr>
          <w:rFonts w:ascii="Times New Roman" w:hAnsi="Times New Roman" w:cs="Times New Roman"/>
          <w:b/>
          <w:bCs/>
        </w:rPr>
      </w:pPr>
      <w:r>
        <w:rPr>
          <w:rFonts w:ascii="Times New Roman" w:hAnsi="Times New Roman" w:cs="Times New Roman"/>
        </w:rPr>
        <w:t>z</w:t>
      </w:r>
      <w:r w:rsidRPr="00457E37">
        <w:rPr>
          <w:rFonts w:ascii="Times New Roman" w:hAnsi="Times New Roman" w:cs="Times New Roman"/>
        </w:rPr>
        <w:t xml:space="preserve">ebranie danych na temat: wskaźników realizacji LSR, harmonogramu ogłaszanych konkursów, budżetu LGD, liczby osób odwiedzających stronę internetową, pracowników Biura LGD oraz funkcjonowania Biura </w:t>
      </w:r>
      <w:r>
        <w:rPr>
          <w:rFonts w:ascii="Times New Roman" w:hAnsi="Times New Roman" w:cs="Times New Roman"/>
        </w:rPr>
        <w:t>Stowarzyszenia</w:t>
      </w:r>
      <w:r w:rsidR="001276CA">
        <w:rPr>
          <w:rFonts w:ascii="Times New Roman" w:hAnsi="Times New Roman" w:cs="Times New Roman"/>
        </w:rPr>
        <w:t>;</w:t>
      </w:r>
      <w:r w:rsidRPr="00457E37">
        <w:rPr>
          <w:rFonts w:ascii="Times New Roman" w:hAnsi="Times New Roman" w:cs="Times New Roman"/>
        </w:rPr>
        <w:t xml:space="preserve"> </w:t>
      </w:r>
    </w:p>
    <w:p w14:paraId="59FC3538" w14:textId="77777777" w:rsidR="001E00E1" w:rsidRPr="00457E37" w:rsidRDefault="001E00E1" w:rsidP="007C71D8">
      <w:pPr>
        <w:pStyle w:val="Akapitzlist"/>
        <w:numPr>
          <w:ilvl w:val="0"/>
          <w:numId w:val="36"/>
        </w:numPr>
        <w:spacing w:after="0" w:line="276" w:lineRule="auto"/>
        <w:ind w:left="709"/>
        <w:jc w:val="both"/>
        <w:rPr>
          <w:rFonts w:ascii="Times New Roman" w:hAnsi="Times New Roman" w:cs="Times New Roman"/>
          <w:b/>
          <w:bCs/>
        </w:rPr>
      </w:pPr>
      <w:r>
        <w:rPr>
          <w:rFonts w:ascii="Times New Roman" w:hAnsi="Times New Roman" w:cs="Times New Roman"/>
        </w:rPr>
        <w:t>o</w:t>
      </w:r>
      <w:r w:rsidRPr="00457E37">
        <w:rPr>
          <w:rFonts w:ascii="Times New Roman" w:hAnsi="Times New Roman" w:cs="Times New Roman"/>
        </w:rPr>
        <w:t>cenę zebranych informacji w stosunku do założonych wartości</w:t>
      </w:r>
      <w:r>
        <w:rPr>
          <w:rFonts w:ascii="Times New Roman" w:hAnsi="Times New Roman" w:cs="Times New Roman"/>
        </w:rPr>
        <w:t>;</w:t>
      </w:r>
      <w:r w:rsidRPr="00457E37">
        <w:rPr>
          <w:rFonts w:ascii="Times New Roman" w:hAnsi="Times New Roman" w:cs="Times New Roman"/>
        </w:rPr>
        <w:t xml:space="preserve"> </w:t>
      </w:r>
    </w:p>
    <w:p w14:paraId="3B927D89" w14:textId="77777777" w:rsidR="001E00E1" w:rsidRPr="00457E37" w:rsidRDefault="001E00E1" w:rsidP="007C71D8">
      <w:pPr>
        <w:pStyle w:val="Akapitzlist"/>
        <w:numPr>
          <w:ilvl w:val="0"/>
          <w:numId w:val="36"/>
        </w:numPr>
        <w:spacing w:after="0" w:line="276" w:lineRule="auto"/>
        <w:ind w:left="709"/>
        <w:jc w:val="both"/>
        <w:rPr>
          <w:rFonts w:ascii="Times New Roman" w:hAnsi="Times New Roman" w:cs="Times New Roman"/>
          <w:b/>
          <w:bCs/>
        </w:rPr>
      </w:pPr>
      <w:r>
        <w:rPr>
          <w:rFonts w:ascii="Times New Roman" w:hAnsi="Times New Roman" w:cs="Times New Roman"/>
        </w:rPr>
        <w:t>o</w:t>
      </w:r>
      <w:r w:rsidRPr="00457E37">
        <w:rPr>
          <w:rFonts w:ascii="Times New Roman" w:hAnsi="Times New Roman" w:cs="Times New Roman"/>
        </w:rPr>
        <w:t xml:space="preserve">pracowanie Raportów z monitoringu Strategii w </w:t>
      </w:r>
      <w:r w:rsidRPr="00B5151E">
        <w:rPr>
          <w:rFonts w:ascii="Times New Roman" w:hAnsi="Times New Roman" w:cs="Times New Roman"/>
        </w:rPr>
        <w:t>okresie półrocznym,</w:t>
      </w:r>
      <w:r w:rsidRPr="00457E37">
        <w:rPr>
          <w:rFonts w:ascii="Times New Roman" w:hAnsi="Times New Roman" w:cs="Times New Roman"/>
        </w:rPr>
        <w:t xml:space="preserve"> zawierających podsumowanie danych wraz z wygenerowanymi wnioskami dotyczącymi wpływu podejmowanych działań na realizację założeń Strategii.</w:t>
      </w:r>
    </w:p>
    <w:p w14:paraId="7DE6C296" w14:textId="77777777" w:rsidR="001E00E1" w:rsidRPr="00EB2A79" w:rsidRDefault="001E00E1" w:rsidP="007C71D8">
      <w:pPr>
        <w:spacing w:after="0" w:line="276" w:lineRule="auto"/>
        <w:ind w:firstLine="708"/>
        <w:jc w:val="both"/>
        <w:rPr>
          <w:rFonts w:ascii="Times New Roman" w:hAnsi="Times New Roman" w:cs="Times New Roman"/>
        </w:rPr>
      </w:pPr>
      <w:r w:rsidRPr="00EB2A79">
        <w:rPr>
          <w:rFonts w:ascii="Times New Roman" w:hAnsi="Times New Roman" w:cs="Times New Roman"/>
        </w:rPr>
        <w:t>Charakterystyka źródeł danych oraz sposobu pomiar</w:t>
      </w:r>
      <w:r>
        <w:rPr>
          <w:rFonts w:ascii="Times New Roman" w:hAnsi="Times New Roman" w:cs="Times New Roman"/>
        </w:rPr>
        <w:t>u</w:t>
      </w:r>
      <w:r w:rsidRPr="00EB2A79">
        <w:rPr>
          <w:rFonts w:ascii="Times New Roman" w:hAnsi="Times New Roman" w:cs="Times New Roman"/>
        </w:rPr>
        <w:t xml:space="preserve"> i oceny danych:</w:t>
      </w:r>
    </w:p>
    <w:p w14:paraId="18C4022F" w14:textId="77777777" w:rsidR="001E00E1" w:rsidRPr="00EB2A79" w:rsidRDefault="001E00E1" w:rsidP="007C71D8">
      <w:pPr>
        <w:pStyle w:val="Akapitzlist"/>
        <w:numPr>
          <w:ilvl w:val="0"/>
          <w:numId w:val="23"/>
        </w:numPr>
        <w:spacing w:after="0" w:line="276" w:lineRule="auto"/>
        <w:ind w:left="714" w:hanging="357"/>
        <w:jc w:val="both"/>
        <w:rPr>
          <w:rFonts w:ascii="Times New Roman" w:hAnsi="Times New Roman" w:cs="Times New Roman"/>
        </w:rPr>
      </w:pPr>
      <w:r w:rsidRPr="00EB2A79">
        <w:rPr>
          <w:rFonts w:ascii="Times New Roman" w:hAnsi="Times New Roman" w:cs="Times New Roman"/>
        </w:rPr>
        <w:t>Dane własne LGD – informacje gromadzone w toku normalnej działalności LGD, w szczególności w ramach obowiązkowej sprawozdawczości. Dane własne obejmują:</w:t>
      </w:r>
    </w:p>
    <w:p w14:paraId="32948B22" w14:textId="77777777" w:rsidR="001E00E1" w:rsidRPr="00EB2A79" w:rsidRDefault="001E00E1" w:rsidP="007C71D8">
      <w:pPr>
        <w:pStyle w:val="Akapitzlist"/>
        <w:numPr>
          <w:ilvl w:val="0"/>
          <w:numId w:val="37"/>
        </w:numPr>
        <w:spacing w:after="0" w:line="276" w:lineRule="auto"/>
        <w:jc w:val="both"/>
        <w:rPr>
          <w:rFonts w:ascii="Times New Roman" w:hAnsi="Times New Roman" w:cs="Times New Roman"/>
        </w:rPr>
      </w:pPr>
      <w:r w:rsidRPr="00EB2A79">
        <w:rPr>
          <w:rFonts w:ascii="Times New Roman" w:hAnsi="Times New Roman" w:cs="Times New Roman"/>
        </w:rPr>
        <w:t xml:space="preserve">wskaźniki </w:t>
      </w:r>
      <w:r>
        <w:rPr>
          <w:rFonts w:ascii="Times New Roman" w:hAnsi="Times New Roman" w:cs="Times New Roman"/>
        </w:rPr>
        <w:t>P</w:t>
      </w:r>
      <w:r w:rsidRPr="00EB2A79">
        <w:rPr>
          <w:rFonts w:ascii="Times New Roman" w:hAnsi="Times New Roman" w:cs="Times New Roman"/>
        </w:rPr>
        <w:t>lanu komunikacji,</w:t>
      </w:r>
    </w:p>
    <w:p w14:paraId="07AA6AD3" w14:textId="77777777" w:rsidR="001E00E1" w:rsidRPr="00EB2A79" w:rsidRDefault="001E00E1" w:rsidP="007C71D8">
      <w:pPr>
        <w:pStyle w:val="Akapitzlist"/>
        <w:numPr>
          <w:ilvl w:val="0"/>
          <w:numId w:val="37"/>
        </w:numPr>
        <w:spacing w:after="0" w:line="276" w:lineRule="auto"/>
        <w:jc w:val="both"/>
        <w:rPr>
          <w:rFonts w:ascii="Times New Roman" w:hAnsi="Times New Roman" w:cs="Times New Roman"/>
        </w:rPr>
      </w:pPr>
      <w:r w:rsidRPr="00EB2A79">
        <w:rPr>
          <w:rFonts w:ascii="Times New Roman" w:hAnsi="Times New Roman" w:cs="Times New Roman"/>
        </w:rPr>
        <w:t xml:space="preserve">dane ilościowe dotyczące doradztwa w </w:t>
      </w:r>
      <w:r>
        <w:rPr>
          <w:rFonts w:ascii="Times New Roman" w:hAnsi="Times New Roman" w:cs="Times New Roman"/>
        </w:rPr>
        <w:t>B</w:t>
      </w:r>
      <w:r w:rsidRPr="00EB2A79">
        <w:rPr>
          <w:rFonts w:ascii="Times New Roman" w:hAnsi="Times New Roman" w:cs="Times New Roman"/>
        </w:rPr>
        <w:t>iurze,</w:t>
      </w:r>
    </w:p>
    <w:p w14:paraId="2FD0E177" w14:textId="77777777" w:rsidR="001E00E1" w:rsidRPr="00EB2A79" w:rsidRDefault="001E00E1" w:rsidP="007C71D8">
      <w:pPr>
        <w:pStyle w:val="Akapitzlist"/>
        <w:numPr>
          <w:ilvl w:val="0"/>
          <w:numId w:val="37"/>
        </w:numPr>
        <w:spacing w:after="0" w:line="276" w:lineRule="auto"/>
        <w:jc w:val="both"/>
        <w:rPr>
          <w:rFonts w:ascii="Times New Roman" w:hAnsi="Times New Roman" w:cs="Times New Roman"/>
        </w:rPr>
      </w:pPr>
      <w:r w:rsidRPr="00EB2A79">
        <w:rPr>
          <w:rFonts w:ascii="Times New Roman" w:hAnsi="Times New Roman" w:cs="Times New Roman"/>
        </w:rPr>
        <w:t>dane gromadzone w trakcie naborów (m.in. terminy naborów, ilość złożonych</w:t>
      </w:r>
      <w:r>
        <w:rPr>
          <w:rFonts w:ascii="Times New Roman" w:hAnsi="Times New Roman" w:cs="Times New Roman"/>
        </w:rPr>
        <w:t xml:space="preserve"> </w:t>
      </w:r>
      <w:r w:rsidRPr="00EB2A79">
        <w:rPr>
          <w:rFonts w:ascii="Times New Roman" w:hAnsi="Times New Roman" w:cs="Times New Roman"/>
        </w:rPr>
        <w:t>wniosków, środki finansowe przypisane do naborów),</w:t>
      </w:r>
    </w:p>
    <w:p w14:paraId="7B6670A3" w14:textId="77777777" w:rsidR="001E00E1" w:rsidRPr="00EB2A79" w:rsidRDefault="001E00E1" w:rsidP="007C71D8">
      <w:pPr>
        <w:pStyle w:val="Akapitzlist"/>
        <w:numPr>
          <w:ilvl w:val="0"/>
          <w:numId w:val="37"/>
        </w:numPr>
        <w:spacing w:after="0" w:line="276" w:lineRule="auto"/>
        <w:jc w:val="both"/>
        <w:rPr>
          <w:rFonts w:ascii="Times New Roman" w:hAnsi="Times New Roman" w:cs="Times New Roman"/>
        </w:rPr>
      </w:pPr>
      <w:r w:rsidRPr="00EB2A79">
        <w:rPr>
          <w:rFonts w:ascii="Times New Roman" w:hAnsi="Times New Roman" w:cs="Times New Roman"/>
        </w:rPr>
        <w:t>wskaźniki LSR</w:t>
      </w:r>
      <w:r>
        <w:rPr>
          <w:rFonts w:ascii="Times New Roman" w:hAnsi="Times New Roman" w:cs="Times New Roman"/>
        </w:rPr>
        <w:t>, EFSI</w:t>
      </w:r>
      <w:r w:rsidRPr="00EB2A79">
        <w:rPr>
          <w:rFonts w:ascii="Times New Roman" w:hAnsi="Times New Roman" w:cs="Times New Roman"/>
        </w:rPr>
        <w:t>,</w:t>
      </w:r>
    </w:p>
    <w:p w14:paraId="23FC1853" w14:textId="77777777" w:rsidR="001E00E1" w:rsidRPr="00EB2A79" w:rsidRDefault="001E00E1" w:rsidP="007C71D8">
      <w:pPr>
        <w:pStyle w:val="Akapitzlist"/>
        <w:numPr>
          <w:ilvl w:val="0"/>
          <w:numId w:val="37"/>
        </w:numPr>
        <w:spacing w:after="0" w:line="276" w:lineRule="auto"/>
        <w:jc w:val="both"/>
        <w:rPr>
          <w:rFonts w:ascii="Times New Roman" w:hAnsi="Times New Roman" w:cs="Times New Roman"/>
        </w:rPr>
      </w:pPr>
      <w:r w:rsidRPr="00EB2A79">
        <w:rPr>
          <w:rFonts w:ascii="Times New Roman" w:hAnsi="Times New Roman" w:cs="Times New Roman"/>
        </w:rPr>
        <w:t>realizacj</w:t>
      </w:r>
      <w:r>
        <w:rPr>
          <w:rFonts w:ascii="Times New Roman" w:hAnsi="Times New Roman" w:cs="Times New Roman"/>
        </w:rPr>
        <w:t>ę</w:t>
      </w:r>
      <w:r w:rsidRPr="00EB2A79">
        <w:rPr>
          <w:rFonts w:ascii="Times New Roman" w:hAnsi="Times New Roman" w:cs="Times New Roman"/>
        </w:rPr>
        <w:t xml:space="preserve"> budżetu LSR,</w:t>
      </w:r>
    </w:p>
    <w:p w14:paraId="193DEC6A" w14:textId="77777777" w:rsidR="001E00E1" w:rsidRPr="00EB2A79" w:rsidRDefault="001E00E1" w:rsidP="007C71D8">
      <w:pPr>
        <w:pStyle w:val="Akapitzlist"/>
        <w:numPr>
          <w:ilvl w:val="0"/>
          <w:numId w:val="37"/>
        </w:numPr>
        <w:spacing w:after="0" w:line="276" w:lineRule="auto"/>
        <w:jc w:val="both"/>
        <w:rPr>
          <w:rFonts w:ascii="Times New Roman" w:hAnsi="Times New Roman" w:cs="Times New Roman"/>
        </w:rPr>
      </w:pPr>
      <w:r w:rsidRPr="00EB2A79">
        <w:rPr>
          <w:rFonts w:ascii="Times New Roman" w:hAnsi="Times New Roman" w:cs="Times New Roman"/>
        </w:rPr>
        <w:t>dane dotyczące pracy organów LGD,</w:t>
      </w:r>
    </w:p>
    <w:p w14:paraId="524782CB" w14:textId="601741B1" w:rsidR="001E00E1" w:rsidRPr="007C71D8" w:rsidRDefault="001E00E1" w:rsidP="007C71D8">
      <w:pPr>
        <w:pStyle w:val="Akapitzlist"/>
        <w:numPr>
          <w:ilvl w:val="0"/>
          <w:numId w:val="37"/>
        </w:numPr>
        <w:spacing w:after="0" w:line="276" w:lineRule="auto"/>
        <w:jc w:val="both"/>
        <w:rPr>
          <w:rFonts w:ascii="Times New Roman" w:hAnsi="Times New Roman" w:cs="Times New Roman"/>
        </w:rPr>
      </w:pPr>
      <w:r w:rsidRPr="00EB2A79">
        <w:rPr>
          <w:rFonts w:ascii="Times New Roman" w:hAnsi="Times New Roman" w:cs="Times New Roman"/>
        </w:rPr>
        <w:t xml:space="preserve">informacje o szkoleniach dla pracowników </w:t>
      </w:r>
      <w:r>
        <w:rPr>
          <w:rFonts w:ascii="Times New Roman" w:hAnsi="Times New Roman" w:cs="Times New Roman"/>
        </w:rPr>
        <w:t>B</w:t>
      </w:r>
      <w:r w:rsidRPr="00EB2A79">
        <w:rPr>
          <w:rFonts w:ascii="Times New Roman" w:hAnsi="Times New Roman" w:cs="Times New Roman"/>
        </w:rPr>
        <w:t>iura i członków organów LGD.</w:t>
      </w:r>
    </w:p>
    <w:p w14:paraId="1C717B3E" w14:textId="77777777" w:rsidR="001E00E1" w:rsidRPr="00EB2A79" w:rsidRDefault="001E00E1" w:rsidP="007C71D8">
      <w:pPr>
        <w:pStyle w:val="Akapitzlist"/>
        <w:numPr>
          <w:ilvl w:val="0"/>
          <w:numId w:val="23"/>
        </w:numPr>
        <w:spacing w:after="0" w:line="276" w:lineRule="auto"/>
        <w:ind w:left="714" w:hanging="357"/>
        <w:jc w:val="both"/>
        <w:rPr>
          <w:rFonts w:ascii="Times New Roman" w:hAnsi="Times New Roman" w:cs="Times New Roman"/>
        </w:rPr>
      </w:pPr>
      <w:r w:rsidRPr="00EB2A79">
        <w:rPr>
          <w:rFonts w:ascii="Times New Roman" w:hAnsi="Times New Roman" w:cs="Times New Roman"/>
        </w:rPr>
        <w:t>Badania własne:</w:t>
      </w:r>
    </w:p>
    <w:p w14:paraId="4891B6AA" w14:textId="77777777" w:rsidR="001E00E1" w:rsidRPr="003A097A" w:rsidRDefault="001E00E1" w:rsidP="007C71D8">
      <w:pPr>
        <w:pStyle w:val="Akapitzlist"/>
        <w:numPr>
          <w:ilvl w:val="0"/>
          <w:numId w:val="38"/>
        </w:numPr>
        <w:spacing w:after="0" w:line="276" w:lineRule="auto"/>
        <w:jc w:val="both"/>
        <w:rPr>
          <w:rFonts w:ascii="Times New Roman" w:hAnsi="Times New Roman" w:cs="Times New Roman"/>
        </w:rPr>
      </w:pPr>
      <w:r w:rsidRPr="003A097A">
        <w:rPr>
          <w:rFonts w:ascii="Times New Roman" w:hAnsi="Times New Roman" w:cs="Times New Roman"/>
        </w:rPr>
        <w:t xml:space="preserve">ankieta monitorująca dla beneficjentów i grantobiorców – badanie pozwoli na zbieranie istotnych informacji dotyczących postępu rzeczowo-finansowego. Pozwoli także pogłębić informacje uzyskane z wniosków o dofinansowanie operacji </w:t>
      </w:r>
      <w:r>
        <w:rPr>
          <w:rFonts w:ascii="Times New Roman" w:hAnsi="Times New Roman" w:cs="Times New Roman"/>
        </w:rPr>
        <w:t xml:space="preserve">– </w:t>
      </w:r>
      <w:r w:rsidRPr="003A097A">
        <w:rPr>
          <w:rFonts w:ascii="Times New Roman" w:hAnsi="Times New Roman" w:cs="Times New Roman"/>
        </w:rPr>
        <w:t xml:space="preserve">ankieta będzie wypełniana przez beneficjentów </w:t>
      </w:r>
      <w:r>
        <w:rPr>
          <w:rFonts w:ascii="Times New Roman" w:hAnsi="Times New Roman" w:cs="Times New Roman"/>
        </w:rPr>
        <w:br/>
      </w:r>
      <w:r w:rsidRPr="003A097A">
        <w:rPr>
          <w:rFonts w:ascii="Times New Roman" w:hAnsi="Times New Roman" w:cs="Times New Roman"/>
        </w:rPr>
        <w:t>i grantobiorców w roku, w którym rozliczyli oni operację</w:t>
      </w:r>
      <w:r>
        <w:rPr>
          <w:rFonts w:ascii="Times New Roman" w:hAnsi="Times New Roman" w:cs="Times New Roman"/>
        </w:rPr>
        <w:t>;</w:t>
      </w:r>
      <w:r w:rsidRPr="003A097A">
        <w:rPr>
          <w:rFonts w:ascii="Times New Roman" w:hAnsi="Times New Roman" w:cs="Times New Roman"/>
        </w:rPr>
        <w:t xml:space="preserve"> </w:t>
      </w:r>
    </w:p>
    <w:p w14:paraId="191979FE" w14:textId="77777777" w:rsidR="001E00E1" w:rsidRPr="00EB2A79" w:rsidRDefault="001E00E1" w:rsidP="007C71D8">
      <w:pPr>
        <w:pStyle w:val="Akapitzlist"/>
        <w:numPr>
          <w:ilvl w:val="0"/>
          <w:numId w:val="38"/>
        </w:numPr>
        <w:spacing w:after="0" w:line="276" w:lineRule="auto"/>
        <w:jc w:val="both"/>
        <w:rPr>
          <w:rFonts w:ascii="Times New Roman" w:hAnsi="Times New Roman" w:cs="Times New Roman"/>
        </w:rPr>
      </w:pPr>
      <w:r w:rsidRPr="00EB2A79">
        <w:rPr>
          <w:rFonts w:ascii="Times New Roman" w:hAnsi="Times New Roman" w:cs="Times New Roman"/>
        </w:rPr>
        <w:t xml:space="preserve">badanie ankietowe osób korzystających z doradztwa – badanie realizowane na bieżąco, w których jednostką analizy będą udzielone porady. O wypełnienie ankiety będą proszone osoby korzystające z doradztwa w </w:t>
      </w:r>
      <w:r>
        <w:rPr>
          <w:rFonts w:ascii="Times New Roman" w:hAnsi="Times New Roman" w:cs="Times New Roman"/>
        </w:rPr>
        <w:t>B</w:t>
      </w:r>
      <w:r w:rsidRPr="00EB2A79">
        <w:rPr>
          <w:rFonts w:ascii="Times New Roman" w:hAnsi="Times New Roman" w:cs="Times New Roman"/>
        </w:rPr>
        <w:t>iurze LGD</w:t>
      </w:r>
      <w:r>
        <w:rPr>
          <w:rFonts w:ascii="Times New Roman" w:hAnsi="Times New Roman" w:cs="Times New Roman"/>
        </w:rPr>
        <w:t>;</w:t>
      </w:r>
    </w:p>
    <w:p w14:paraId="0169BDC6" w14:textId="77777777" w:rsidR="001E00E1" w:rsidRDefault="001E00E1" w:rsidP="007C71D8">
      <w:pPr>
        <w:pStyle w:val="Akapitzlist"/>
        <w:numPr>
          <w:ilvl w:val="0"/>
          <w:numId w:val="38"/>
        </w:numPr>
        <w:spacing w:after="0" w:line="276" w:lineRule="auto"/>
        <w:jc w:val="both"/>
        <w:rPr>
          <w:rFonts w:ascii="Times New Roman" w:hAnsi="Times New Roman" w:cs="Times New Roman"/>
        </w:rPr>
      </w:pPr>
      <w:r w:rsidRPr="00EB2A79">
        <w:rPr>
          <w:rFonts w:ascii="Times New Roman" w:hAnsi="Times New Roman" w:cs="Times New Roman"/>
        </w:rPr>
        <w:t>badanie ankietowe uczestników spotkań informacyjno-konsultacyjnych lub szkoleń organizowanych przez LGD – realizowane w czasie każdego tego typu wydarzenia zorganizowanego przez LGD</w:t>
      </w:r>
      <w:r>
        <w:rPr>
          <w:rFonts w:ascii="Times New Roman" w:hAnsi="Times New Roman" w:cs="Times New Roman"/>
        </w:rPr>
        <w:t>;</w:t>
      </w:r>
    </w:p>
    <w:p w14:paraId="72EA124C" w14:textId="77890F2D" w:rsidR="001E00E1" w:rsidRPr="007C71D8" w:rsidRDefault="001E00E1" w:rsidP="007C71D8">
      <w:pPr>
        <w:pStyle w:val="Akapitzlist"/>
        <w:numPr>
          <w:ilvl w:val="0"/>
          <w:numId w:val="38"/>
        </w:numPr>
        <w:spacing w:after="0" w:line="276" w:lineRule="auto"/>
        <w:ind w:left="1440"/>
        <w:jc w:val="both"/>
        <w:rPr>
          <w:rFonts w:ascii="Times New Roman" w:hAnsi="Times New Roman" w:cs="Times New Roman"/>
          <w:b/>
          <w:bCs/>
        </w:rPr>
      </w:pPr>
      <w:r>
        <w:rPr>
          <w:rFonts w:ascii="Times New Roman" w:hAnsi="Times New Roman" w:cs="Times New Roman"/>
        </w:rPr>
        <w:t>badanie ankietowe dla mieszkańców, oceniające podjęte działania.</w:t>
      </w:r>
    </w:p>
    <w:p w14:paraId="06C98D63" w14:textId="5018B9B8" w:rsidR="001E00E1" w:rsidRPr="007C71D8" w:rsidRDefault="001E00E1" w:rsidP="007C71D8">
      <w:pPr>
        <w:pStyle w:val="Akapitzlist"/>
        <w:spacing w:after="0" w:line="276" w:lineRule="auto"/>
        <w:ind w:left="0" w:firstLine="708"/>
        <w:jc w:val="both"/>
        <w:rPr>
          <w:rFonts w:ascii="Times New Roman" w:hAnsi="Times New Roman" w:cs="Times New Roman"/>
        </w:rPr>
      </w:pPr>
      <w:r w:rsidRPr="00E604C8">
        <w:rPr>
          <w:rFonts w:ascii="Times New Roman" w:hAnsi="Times New Roman" w:cs="Times New Roman"/>
        </w:rPr>
        <w:t>Istotną częścią monitoringu, która zasługuje na osobne omówienie</w:t>
      </w:r>
      <w:r>
        <w:rPr>
          <w:rFonts w:ascii="Times New Roman" w:hAnsi="Times New Roman" w:cs="Times New Roman"/>
        </w:rPr>
        <w:t>,</w:t>
      </w:r>
      <w:r w:rsidRPr="00E604C8">
        <w:rPr>
          <w:rFonts w:ascii="Times New Roman" w:hAnsi="Times New Roman" w:cs="Times New Roman"/>
        </w:rPr>
        <w:t xml:space="preserve"> będzie monitoring</w:t>
      </w:r>
      <w:r>
        <w:rPr>
          <w:rFonts w:ascii="Times New Roman" w:hAnsi="Times New Roman" w:cs="Times New Roman"/>
        </w:rPr>
        <w:t xml:space="preserve"> </w:t>
      </w:r>
      <w:r w:rsidRPr="00E604C8">
        <w:rPr>
          <w:rFonts w:ascii="Times New Roman" w:hAnsi="Times New Roman" w:cs="Times New Roman"/>
        </w:rPr>
        <w:t>realizacji projektów grantowych. LGD będzie ponosić bowiem szczególną odpowiedzialność</w:t>
      </w:r>
      <w:r>
        <w:rPr>
          <w:rFonts w:ascii="Times New Roman" w:hAnsi="Times New Roman" w:cs="Times New Roman"/>
        </w:rPr>
        <w:t xml:space="preserve"> </w:t>
      </w:r>
      <w:r w:rsidRPr="00E604C8">
        <w:rPr>
          <w:rFonts w:ascii="Times New Roman" w:hAnsi="Times New Roman" w:cs="Times New Roman"/>
        </w:rPr>
        <w:t>za efekty przedsięwzięć realizowanych przez grantobiorców. Monitorowanie przedsięwzięć w</w:t>
      </w:r>
      <w:r>
        <w:rPr>
          <w:rFonts w:ascii="Times New Roman" w:hAnsi="Times New Roman" w:cs="Times New Roman"/>
        </w:rPr>
        <w:t xml:space="preserve"> </w:t>
      </w:r>
      <w:r w:rsidRPr="00E604C8">
        <w:rPr>
          <w:rFonts w:ascii="Times New Roman" w:hAnsi="Times New Roman" w:cs="Times New Roman"/>
        </w:rPr>
        <w:t>ramach projektów grantowych powinno być przy tym traktowan</w:t>
      </w:r>
      <w:r>
        <w:rPr>
          <w:rFonts w:ascii="Times New Roman" w:hAnsi="Times New Roman" w:cs="Times New Roman"/>
        </w:rPr>
        <w:t>e</w:t>
      </w:r>
      <w:r w:rsidRPr="00E604C8">
        <w:rPr>
          <w:rFonts w:ascii="Times New Roman" w:hAnsi="Times New Roman" w:cs="Times New Roman"/>
        </w:rPr>
        <w:t xml:space="preserve"> nie jako kontrola, ale jako</w:t>
      </w:r>
      <w:r>
        <w:rPr>
          <w:rFonts w:ascii="Times New Roman" w:hAnsi="Times New Roman" w:cs="Times New Roman"/>
        </w:rPr>
        <w:t xml:space="preserve"> </w:t>
      </w:r>
      <w:r w:rsidRPr="00E604C8">
        <w:rPr>
          <w:rFonts w:ascii="Times New Roman" w:hAnsi="Times New Roman" w:cs="Times New Roman"/>
        </w:rPr>
        <w:t>wsparcie dla osób je realizujących. W przypadku projektów grantowych zastosowany zostanie</w:t>
      </w:r>
      <w:r>
        <w:rPr>
          <w:rFonts w:ascii="Times New Roman" w:hAnsi="Times New Roman" w:cs="Times New Roman"/>
        </w:rPr>
        <w:t xml:space="preserve"> </w:t>
      </w:r>
      <w:r w:rsidRPr="00E604C8">
        <w:rPr>
          <w:rFonts w:ascii="Times New Roman" w:hAnsi="Times New Roman" w:cs="Times New Roman"/>
        </w:rPr>
        <w:t>również monitoring operacyjny, polegający na osobistych kontaktach między pracownikami</w:t>
      </w:r>
      <w:r>
        <w:rPr>
          <w:rFonts w:ascii="Times New Roman" w:hAnsi="Times New Roman" w:cs="Times New Roman"/>
        </w:rPr>
        <w:t xml:space="preserve"> </w:t>
      </w:r>
      <w:r w:rsidRPr="00E604C8">
        <w:rPr>
          <w:rFonts w:ascii="Times New Roman" w:hAnsi="Times New Roman" w:cs="Times New Roman"/>
        </w:rPr>
        <w:t>LGD a osobami realizującymi granty. Pracownicy LGD będą stosować wystandaryzowany</w:t>
      </w:r>
      <w:r>
        <w:rPr>
          <w:rFonts w:ascii="Times New Roman" w:hAnsi="Times New Roman" w:cs="Times New Roman"/>
        </w:rPr>
        <w:t xml:space="preserve"> </w:t>
      </w:r>
      <w:r w:rsidRPr="00E604C8">
        <w:rPr>
          <w:rFonts w:ascii="Times New Roman" w:hAnsi="Times New Roman" w:cs="Times New Roman"/>
        </w:rPr>
        <w:t>formularz kontaktu,</w:t>
      </w:r>
      <w:r>
        <w:rPr>
          <w:rFonts w:ascii="Times New Roman" w:hAnsi="Times New Roman" w:cs="Times New Roman"/>
        </w:rPr>
        <w:t xml:space="preserve"> </w:t>
      </w:r>
      <w:r w:rsidRPr="00E604C8">
        <w:rPr>
          <w:rFonts w:ascii="Times New Roman" w:hAnsi="Times New Roman" w:cs="Times New Roman"/>
        </w:rPr>
        <w:t>w</w:t>
      </w:r>
      <w:r>
        <w:rPr>
          <w:rFonts w:ascii="Times New Roman" w:hAnsi="Times New Roman" w:cs="Times New Roman"/>
        </w:rPr>
        <w:t> </w:t>
      </w:r>
      <w:r w:rsidRPr="00E604C8">
        <w:rPr>
          <w:rFonts w:ascii="Times New Roman" w:hAnsi="Times New Roman" w:cs="Times New Roman"/>
        </w:rPr>
        <w:t>którym będą zapisywać uzyskane od grantobiorców informacje oraz odnotowywać</w:t>
      </w:r>
      <w:r>
        <w:rPr>
          <w:rFonts w:ascii="Times New Roman" w:hAnsi="Times New Roman" w:cs="Times New Roman"/>
        </w:rPr>
        <w:t xml:space="preserve"> </w:t>
      </w:r>
      <w:r w:rsidRPr="00E604C8">
        <w:rPr>
          <w:rFonts w:ascii="Times New Roman" w:hAnsi="Times New Roman" w:cs="Times New Roman"/>
        </w:rPr>
        <w:t>przekazane im rekomendacje. Dopuszcza się możliwość kontaktu telefonicznego z</w:t>
      </w:r>
      <w:r>
        <w:rPr>
          <w:rFonts w:ascii="Times New Roman" w:hAnsi="Times New Roman" w:cs="Times New Roman"/>
        </w:rPr>
        <w:t xml:space="preserve"> </w:t>
      </w:r>
      <w:r w:rsidRPr="00E604C8">
        <w:rPr>
          <w:rFonts w:ascii="Times New Roman" w:hAnsi="Times New Roman" w:cs="Times New Roman"/>
        </w:rPr>
        <w:t xml:space="preserve">grantobiorcami bądź osobiste spotkania w </w:t>
      </w:r>
      <w:r>
        <w:rPr>
          <w:rFonts w:ascii="Times New Roman" w:hAnsi="Times New Roman" w:cs="Times New Roman"/>
        </w:rPr>
        <w:t>B</w:t>
      </w:r>
      <w:r w:rsidRPr="00E604C8">
        <w:rPr>
          <w:rFonts w:ascii="Times New Roman" w:hAnsi="Times New Roman" w:cs="Times New Roman"/>
        </w:rPr>
        <w:t>iurze LGD lub w</w:t>
      </w:r>
      <w:r>
        <w:rPr>
          <w:rFonts w:ascii="Times New Roman" w:hAnsi="Times New Roman" w:cs="Times New Roman"/>
        </w:rPr>
        <w:t> </w:t>
      </w:r>
      <w:r w:rsidRPr="00E604C8">
        <w:rPr>
          <w:rFonts w:ascii="Times New Roman" w:hAnsi="Times New Roman" w:cs="Times New Roman"/>
        </w:rPr>
        <w:t>miejscu realizacji operacji.</w:t>
      </w:r>
      <w:r>
        <w:rPr>
          <w:rFonts w:ascii="Times New Roman" w:hAnsi="Times New Roman" w:cs="Times New Roman"/>
        </w:rPr>
        <w:t xml:space="preserve"> </w:t>
      </w:r>
      <w:r w:rsidRPr="00E604C8">
        <w:rPr>
          <w:rFonts w:ascii="Times New Roman" w:hAnsi="Times New Roman" w:cs="Times New Roman"/>
        </w:rPr>
        <w:t xml:space="preserve">Pracownicy będą zobowiązani odwiedzić grantobiorców w miejscu realizacji </w:t>
      </w:r>
      <w:r w:rsidRPr="00E604C8">
        <w:rPr>
          <w:rFonts w:ascii="Times New Roman" w:hAnsi="Times New Roman" w:cs="Times New Roman"/>
        </w:rPr>
        <w:lastRenderedPageBreak/>
        <w:t>przedsięwzięć w</w:t>
      </w:r>
      <w:r>
        <w:rPr>
          <w:rFonts w:ascii="Times New Roman" w:hAnsi="Times New Roman" w:cs="Times New Roman"/>
        </w:rPr>
        <w:t xml:space="preserve"> </w:t>
      </w:r>
      <w:r w:rsidRPr="00E604C8">
        <w:rPr>
          <w:rFonts w:ascii="Times New Roman" w:hAnsi="Times New Roman" w:cs="Times New Roman"/>
        </w:rPr>
        <w:t>czasie realizowania przez nich operacji. Jeśli charakter realizowanego przedsięwzięcia będzie</w:t>
      </w:r>
      <w:r>
        <w:rPr>
          <w:rFonts w:ascii="Times New Roman" w:hAnsi="Times New Roman" w:cs="Times New Roman"/>
        </w:rPr>
        <w:t xml:space="preserve"> </w:t>
      </w:r>
      <w:r w:rsidRPr="00E604C8">
        <w:rPr>
          <w:rFonts w:ascii="Times New Roman" w:hAnsi="Times New Roman" w:cs="Times New Roman"/>
        </w:rPr>
        <w:t>na to pozwalał, to zbierana będzie dokumentacja fotograficzna, która będzie dołączona do</w:t>
      </w:r>
      <w:r>
        <w:rPr>
          <w:rFonts w:ascii="Times New Roman" w:hAnsi="Times New Roman" w:cs="Times New Roman"/>
        </w:rPr>
        <w:t xml:space="preserve"> </w:t>
      </w:r>
      <w:r w:rsidRPr="00E604C8">
        <w:rPr>
          <w:rFonts w:ascii="Times New Roman" w:hAnsi="Times New Roman" w:cs="Times New Roman"/>
        </w:rPr>
        <w:t>formularza kontaktu</w:t>
      </w:r>
      <w:r>
        <w:rPr>
          <w:rFonts w:ascii="Times New Roman" w:hAnsi="Times New Roman" w:cs="Times New Roman"/>
        </w:rPr>
        <w:t>.</w:t>
      </w:r>
    </w:p>
    <w:p w14:paraId="7D41CAC1" w14:textId="77777777" w:rsidR="001E00E1" w:rsidRDefault="001E00E1" w:rsidP="007C71D8">
      <w:pPr>
        <w:pStyle w:val="Akapitzlist"/>
        <w:numPr>
          <w:ilvl w:val="1"/>
          <w:numId w:val="35"/>
        </w:numPr>
        <w:spacing w:after="0" w:line="276" w:lineRule="auto"/>
        <w:jc w:val="both"/>
        <w:rPr>
          <w:rFonts w:ascii="Times New Roman" w:hAnsi="Times New Roman" w:cs="Times New Roman"/>
          <w:b/>
          <w:bCs/>
        </w:rPr>
      </w:pPr>
      <w:r>
        <w:rPr>
          <w:rFonts w:ascii="Times New Roman" w:hAnsi="Times New Roman" w:cs="Times New Roman"/>
          <w:b/>
          <w:bCs/>
        </w:rPr>
        <w:t xml:space="preserve">Ewaluacja </w:t>
      </w:r>
    </w:p>
    <w:p w14:paraId="600C4C5E" w14:textId="77777777" w:rsidR="001E00E1" w:rsidRPr="00FB7E0E" w:rsidRDefault="001E00E1" w:rsidP="007C71D8">
      <w:pPr>
        <w:spacing w:after="0" w:line="276" w:lineRule="auto"/>
        <w:ind w:firstLine="708"/>
        <w:jc w:val="both"/>
        <w:rPr>
          <w:rFonts w:ascii="Times New Roman" w:hAnsi="Times New Roman" w:cs="Times New Roman"/>
        </w:rPr>
      </w:pPr>
      <w:r w:rsidRPr="00FB7E0E">
        <w:rPr>
          <w:rFonts w:ascii="Times New Roman" w:hAnsi="Times New Roman" w:cs="Times New Roman"/>
        </w:rPr>
        <w:t xml:space="preserve">Ewaluacja LSR realizowana będzie </w:t>
      </w:r>
      <w:r>
        <w:rPr>
          <w:rFonts w:ascii="Times New Roman" w:hAnsi="Times New Roman" w:cs="Times New Roman"/>
        </w:rPr>
        <w:t>w następujących etapach</w:t>
      </w:r>
      <w:r w:rsidRPr="00FB7E0E">
        <w:rPr>
          <w:rFonts w:ascii="Times New Roman" w:hAnsi="Times New Roman" w:cs="Times New Roman"/>
        </w:rPr>
        <w:t>, które będą różniły się celami w zależności</w:t>
      </w:r>
      <w:r>
        <w:rPr>
          <w:rFonts w:ascii="Times New Roman" w:hAnsi="Times New Roman" w:cs="Times New Roman"/>
        </w:rPr>
        <w:t xml:space="preserve"> </w:t>
      </w:r>
      <w:r w:rsidRPr="00FB7E0E">
        <w:rPr>
          <w:rFonts w:ascii="Times New Roman" w:hAnsi="Times New Roman" w:cs="Times New Roman"/>
        </w:rPr>
        <w:t xml:space="preserve">od etapu realizacji </w:t>
      </w:r>
      <w:r>
        <w:rPr>
          <w:rFonts w:ascii="Times New Roman" w:hAnsi="Times New Roman" w:cs="Times New Roman"/>
        </w:rPr>
        <w:t>S</w:t>
      </w:r>
      <w:r w:rsidRPr="00FB7E0E">
        <w:rPr>
          <w:rFonts w:ascii="Times New Roman" w:hAnsi="Times New Roman" w:cs="Times New Roman"/>
        </w:rPr>
        <w:t>trategii:</w:t>
      </w:r>
    </w:p>
    <w:p w14:paraId="52DA8E89" w14:textId="77777777" w:rsidR="001E00E1" w:rsidRDefault="001E00E1" w:rsidP="007C71D8">
      <w:pPr>
        <w:pStyle w:val="Akapitzlist"/>
        <w:numPr>
          <w:ilvl w:val="1"/>
          <w:numId w:val="39"/>
        </w:numPr>
        <w:spacing w:after="0" w:line="276" w:lineRule="auto"/>
        <w:jc w:val="both"/>
        <w:rPr>
          <w:rFonts w:ascii="Times New Roman" w:hAnsi="Times New Roman" w:cs="Times New Roman"/>
        </w:rPr>
      </w:pPr>
      <w:r w:rsidRPr="00FB7E0E">
        <w:rPr>
          <w:rFonts w:ascii="Times New Roman" w:hAnsi="Times New Roman" w:cs="Times New Roman"/>
        </w:rPr>
        <w:t>Ewaluacja on-going – corocznie w latach 2024–</w:t>
      </w:r>
      <w:r w:rsidRPr="00434BB4">
        <w:rPr>
          <w:rFonts w:ascii="Times New Roman" w:hAnsi="Times New Roman" w:cs="Times New Roman"/>
        </w:rPr>
        <w:t>2029, d</w:t>
      </w:r>
      <w:r w:rsidRPr="00FB7E0E">
        <w:rPr>
          <w:rFonts w:ascii="Times New Roman" w:hAnsi="Times New Roman" w:cs="Times New Roman"/>
        </w:rPr>
        <w:t>okonywana w pierwszym kwartale roku kolejnego.</w:t>
      </w:r>
    </w:p>
    <w:p w14:paraId="259AF630" w14:textId="77777777" w:rsidR="001E00E1" w:rsidRPr="00FB7E0E" w:rsidRDefault="001E00E1" w:rsidP="007C71D8">
      <w:pPr>
        <w:pStyle w:val="Akapitzlist"/>
        <w:numPr>
          <w:ilvl w:val="1"/>
          <w:numId w:val="39"/>
        </w:numPr>
        <w:spacing w:after="0" w:line="276" w:lineRule="auto"/>
        <w:jc w:val="both"/>
        <w:rPr>
          <w:rFonts w:ascii="Times New Roman" w:hAnsi="Times New Roman" w:cs="Times New Roman"/>
        </w:rPr>
      </w:pPr>
      <w:r w:rsidRPr="00FB7E0E">
        <w:rPr>
          <w:rFonts w:ascii="Times New Roman" w:hAnsi="Times New Roman" w:cs="Times New Roman"/>
        </w:rPr>
        <w:t>Ewaluacja mid-term (śródokresowa)</w:t>
      </w:r>
      <w:r>
        <w:rPr>
          <w:rFonts w:ascii="Times New Roman" w:hAnsi="Times New Roman" w:cs="Times New Roman"/>
        </w:rPr>
        <w:t xml:space="preserve"> – w 2026 roku</w:t>
      </w:r>
      <w:r w:rsidRPr="00FB7E0E">
        <w:rPr>
          <w:rFonts w:ascii="Times New Roman" w:hAnsi="Times New Roman" w:cs="Times New Roman"/>
        </w:rPr>
        <w:t>.</w:t>
      </w:r>
    </w:p>
    <w:p w14:paraId="44E34FCD" w14:textId="77777777" w:rsidR="001E00E1" w:rsidRPr="00FB7E0E" w:rsidRDefault="001E00E1" w:rsidP="007C71D8">
      <w:pPr>
        <w:pStyle w:val="Akapitzlist"/>
        <w:numPr>
          <w:ilvl w:val="1"/>
          <w:numId w:val="39"/>
        </w:numPr>
        <w:spacing w:after="0" w:line="276" w:lineRule="auto"/>
        <w:jc w:val="both"/>
        <w:rPr>
          <w:rFonts w:ascii="Times New Roman" w:hAnsi="Times New Roman" w:cs="Times New Roman"/>
        </w:rPr>
      </w:pPr>
      <w:r w:rsidRPr="00FB7E0E">
        <w:rPr>
          <w:rFonts w:ascii="Times New Roman" w:hAnsi="Times New Roman" w:cs="Times New Roman"/>
        </w:rPr>
        <w:t>Ewaluacja ex-post (końcowa ewaluacja zewnętrzna)</w:t>
      </w:r>
      <w:r>
        <w:rPr>
          <w:rFonts w:ascii="Times New Roman" w:hAnsi="Times New Roman" w:cs="Times New Roman"/>
        </w:rPr>
        <w:t>.</w:t>
      </w:r>
    </w:p>
    <w:p w14:paraId="5F79466F" w14:textId="77777777" w:rsidR="001E00E1" w:rsidRDefault="001E00E1" w:rsidP="007C71D8">
      <w:pPr>
        <w:spacing w:after="0" w:line="276" w:lineRule="auto"/>
        <w:ind w:firstLine="708"/>
        <w:jc w:val="both"/>
        <w:rPr>
          <w:rFonts w:ascii="Times New Roman" w:hAnsi="Times New Roman" w:cs="Times New Roman"/>
        </w:rPr>
      </w:pPr>
      <w:r>
        <w:rPr>
          <w:rFonts w:ascii="Times New Roman" w:hAnsi="Times New Roman" w:cs="Times New Roman"/>
        </w:rPr>
        <w:t xml:space="preserve">Ewaluacja dotyczyć </w:t>
      </w:r>
      <w:r w:rsidRPr="00FB7E0E">
        <w:rPr>
          <w:rFonts w:ascii="Times New Roman" w:hAnsi="Times New Roman" w:cs="Times New Roman"/>
        </w:rPr>
        <w:t>będzie: oceny działalności LGD, pracowników i funkcjonowania Biura, skuteczności promocji i aktywizacji społeczności lokalnej, harmonogramu rzeczowo-finansowego LSR</w:t>
      </w:r>
      <w:r>
        <w:rPr>
          <w:rFonts w:ascii="Times New Roman" w:hAnsi="Times New Roman" w:cs="Times New Roman"/>
        </w:rPr>
        <w:t xml:space="preserve">, </w:t>
      </w:r>
      <w:r w:rsidRPr="00FB7E0E">
        <w:rPr>
          <w:rFonts w:ascii="Times New Roman" w:hAnsi="Times New Roman" w:cs="Times New Roman"/>
        </w:rPr>
        <w:t xml:space="preserve">stopnia realizacji </w:t>
      </w:r>
      <w:r>
        <w:rPr>
          <w:rFonts w:ascii="Times New Roman" w:hAnsi="Times New Roman" w:cs="Times New Roman"/>
        </w:rPr>
        <w:t>celów (</w:t>
      </w:r>
      <w:r w:rsidRPr="00FB7E0E">
        <w:rPr>
          <w:rFonts w:ascii="Times New Roman" w:hAnsi="Times New Roman" w:cs="Times New Roman"/>
        </w:rPr>
        <w:t>wskaźników</w:t>
      </w:r>
      <w:r>
        <w:rPr>
          <w:rFonts w:ascii="Times New Roman" w:hAnsi="Times New Roman" w:cs="Times New Roman"/>
        </w:rPr>
        <w:t>) oraz budżetu LSR</w:t>
      </w:r>
      <w:r w:rsidRPr="00FB7E0E">
        <w:rPr>
          <w:rFonts w:ascii="Times New Roman" w:hAnsi="Times New Roman" w:cs="Times New Roman"/>
        </w:rPr>
        <w:t>.</w:t>
      </w:r>
    </w:p>
    <w:p w14:paraId="4A8FFDCB" w14:textId="77777777" w:rsidR="001E00E1" w:rsidRPr="00FB7E0E" w:rsidRDefault="001E00E1" w:rsidP="007C71D8">
      <w:pPr>
        <w:spacing w:after="0" w:line="276" w:lineRule="auto"/>
        <w:ind w:firstLine="708"/>
        <w:jc w:val="both"/>
        <w:rPr>
          <w:rFonts w:ascii="Times New Roman" w:hAnsi="Times New Roman" w:cs="Times New Roman"/>
        </w:rPr>
      </w:pPr>
      <w:r w:rsidRPr="00B075D3">
        <w:rPr>
          <w:rFonts w:ascii="Times New Roman" w:hAnsi="Times New Roman" w:cs="Times New Roman"/>
        </w:rPr>
        <w:t>Coroczna ewaluacja wewnętrzna prowadzona będzie w ramach warsztatów</w:t>
      </w:r>
      <w:r>
        <w:rPr>
          <w:rFonts w:ascii="Times New Roman" w:hAnsi="Times New Roman" w:cs="Times New Roman"/>
        </w:rPr>
        <w:t xml:space="preserve"> </w:t>
      </w:r>
      <w:r w:rsidRPr="00B075D3">
        <w:rPr>
          <w:rFonts w:ascii="Times New Roman" w:hAnsi="Times New Roman" w:cs="Times New Roman"/>
        </w:rPr>
        <w:t>refleksyjnych</w:t>
      </w:r>
      <w:r>
        <w:rPr>
          <w:rFonts w:ascii="Times New Roman" w:hAnsi="Times New Roman" w:cs="Times New Roman"/>
        </w:rPr>
        <w:t xml:space="preserve"> </w:t>
      </w:r>
      <w:r w:rsidRPr="00B075D3">
        <w:rPr>
          <w:rFonts w:ascii="Times New Roman" w:hAnsi="Times New Roman" w:cs="Times New Roman"/>
        </w:rPr>
        <w:t>w ramach ewaluacji on-going.</w:t>
      </w:r>
      <w:r>
        <w:rPr>
          <w:rFonts w:ascii="Times New Roman" w:hAnsi="Times New Roman" w:cs="Times New Roman"/>
        </w:rPr>
        <w:t xml:space="preserve"> </w:t>
      </w:r>
      <w:r w:rsidRPr="00B075D3">
        <w:rPr>
          <w:rFonts w:ascii="Times New Roman" w:hAnsi="Times New Roman" w:cs="Times New Roman"/>
        </w:rPr>
        <w:t>Przeprowadzenie ewaluacji mid-term i ex-post zostanie powierzone wyspecjalizowanemu</w:t>
      </w:r>
      <w:r>
        <w:rPr>
          <w:rFonts w:ascii="Times New Roman" w:hAnsi="Times New Roman" w:cs="Times New Roman"/>
        </w:rPr>
        <w:t xml:space="preserve"> </w:t>
      </w:r>
      <w:r w:rsidRPr="00B075D3">
        <w:rPr>
          <w:rFonts w:ascii="Times New Roman" w:hAnsi="Times New Roman" w:cs="Times New Roman"/>
        </w:rPr>
        <w:t>podmiotowi zewnętrznemu (niezależnym ekspertom). Decyzję w tym względzie podejmie</w:t>
      </w:r>
      <w:r>
        <w:rPr>
          <w:rFonts w:ascii="Times New Roman" w:hAnsi="Times New Roman" w:cs="Times New Roman"/>
        </w:rPr>
        <w:t xml:space="preserve"> </w:t>
      </w:r>
      <w:r w:rsidRPr="00B075D3">
        <w:rPr>
          <w:rFonts w:ascii="Times New Roman" w:hAnsi="Times New Roman" w:cs="Times New Roman"/>
        </w:rPr>
        <w:t>Zarząd LGD na podstawie ofert przedstawionych przez potencjalnych wykonawców.</w:t>
      </w:r>
      <w:r>
        <w:rPr>
          <w:rFonts w:ascii="Times New Roman" w:hAnsi="Times New Roman" w:cs="Times New Roman"/>
        </w:rPr>
        <w:t xml:space="preserve"> </w:t>
      </w:r>
    </w:p>
    <w:p w14:paraId="11083D0D" w14:textId="77777777" w:rsidR="001E00E1" w:rsidRDefault="001E00E1" w:rsidP="007C71D8">
      <w:pPr>
        <w:spacing w:after="0" w:line="276" w:lineRule="auto"/>
        <w:ind w:firstLine="708"/>
        <w:jc w:val="both"/>
        <w:rPr>
          <w:rFonts w:ascii="Times New Roman" w:hAnsi="Times New Roman" w:cs="Times New Roman"/>
        </w:rPr>
      </w:pPr>
      <w:r w:rsidRPr="00B075D3">
        <w:rPr>
          <w:rFonts w:ascii="Times New Roman" w:hAnsi="Times New Roman" w:cs="Times New Roman"/>
        </w:rPr>
        <w:t>Raport z ewaluacji Strategii obejmuje przede wszystkim:</w:t>
      </w:r>
    </w:p>
    <w:p w14:paraId="041AC935" w14:textId="77777777" w:rsidR="001E00E1" w:rsidRDefault="001E00E1" w:rsidP="007C71D8">
      <w:pPr>
        <w:pStyle w:val="Akapitzlist"/>
        <w:numPr>
          <w:ilvl w:val="0"/>
          <w:numId w:val="40"/>
        </w:numPr>
        <w:spacing w:after="0" w:line="276" w:lineRule="auto"/>
        <w:jc w:val="both"/>
        <w:rPr>
          <w:rFonts w:ascii="Times New Roman" w:hAnsi="Times New Roman" w:cs="Times New Roman"/>
        </w:rPr>
      </w:pPr>
      <w:r w:rsidRPr="00B075D3">
        <w:rPr>
          <w:rFonts w:ascii="Times New Roman" w:hAnsi="Times New Roman" w:cs="Times New Roman"/>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r>
        <w:rPr>
          <w:rFonts w:ascii="Times New Roman" w:hAnsi="Times New Roman" w:cs="Times New Roman"/>
        </w:rPr>
        <w:t>, efektywność doradztwa w Biurze LGD, liczbę porad i charakter doradztwa w Biurze, częstotliwość, regularność i frekwencję spotkań organów LGD</w:t>
      </w:r>
      <w:r w:rsidRPr="00B075D3">
        <w:rPr>
          <w:rFonts w:ascii="Times New Roman" w:hAnsi="Times New Roman" w:cs="Times New Roman"/>
        </w:rPr>
        <w:t xml:space="preserve">. </w:t>
      </w:r>
    </w:p>
    <w:p w14:paraId="12A5B38C" w14:textId="77777777" w:rsidR="001E00E1" w:rsidRDefault="001E00E1" w:rsidP="007C71D8">
      <w:pPr>
        <w:pStyle w:val="Akapitzlist"/>
        <w:numPr>
          <w:ilvl w:val="0"/>
          <w:numId w:val="40"/>
        </w:numPr>
        <w:spacing w:after="0" w:line="276" w:lineRule="auto"/>
        <w:jc w:val="both"/>
        <w:rPr>
          <w:rFonts w:ascii="Times New Roman" w:hAnsi="Times New Roman" w:cs="Times New Roman"/>
        </w:rPr>
      </w:pPr>
      <w:r>
        <w:rPr>
          <w:rFonts w:ascii="Times New Roman" w:hAnsi="Times New Roman" w:cs="Times New Roman"/>
        </w:rPr>
        <w:t xml:space="preserve">Ocenę realizacji Planu działania. </w:t>
      </w:r>
    </w:p>
    <w:p w14:paraId="79E5CBA9" w14:textId="77777777" w:rsidR="001E00E1" w:rsidRDefault="001E00E1" w:rsidP="007C71D8">
      <w:pPr>
        <w:pStyle w:val="Akapitzlist"/>
        <w:numPr>
          <w:ilvl w:val="0"/>
          <w:numId w:val="40"/>
        </w:numPr>
        <w:spacing w:after="0" w:line="276" w:lineRule="auto"/>
        <w:jc w:val="both"/>
        <w:rPr>
          <w:rFonts w:ascii="Times New Roman" w:hAnsi="Times New Roman" w:cs="Times New Roman"/>
        </w:rPr>
      </w:pPr>
      <w:r w:rsidRPr="00B075D3">
        <w:rPr>
          <w:rFonts w:ascii="Times New Roman" w:hAnsi="Times New Roman" w:cs="Times New Roman"/>
        </w:rPr>
        <w:t>Ocenę stopnia wdrażania celów LSR, w tym stopnia osiągnięcia wskaźników</w:t>
      </w:r>
      <w:r>
        <w:rPr>
          <w:rFonts w:ascii="Times New Roman" w:hAnsi="Times New Roman" w:cs="Times New Roman"/>
        </w:rPr>
        <w:t xml:space="preserve"> stopnia wykorzystania funduszy, realizacji budżetu, realizacji działań skierowanych do osób w niekorzystnej sytuacji</w:t>
      </w:r>
      <w:r w:rsidRPr="00B075D3">
        <w:rPr>
          <w:rFonts w:ascii="Times New Roman" w:hAnsi="Times New Roman" w:cs="Times New Roman"/>
        </w:rPr>
        <w:t xml:space="preserve">. </w:t>
      </w:r>
    </w:p>
    <w:p w14:paraId="7FC30F5F" w14:textId="77777777" w:rsidR="001E00E1" w:rsidRDefault="001E00E1" w:rsidP="007C71D8">
      <w:pPr>
        <w:pStyle w:val="Akapitzlist"/>
        <w:numPr>
          <w:ilvl w:val="0"/>
          <w:numId w:val="40"/>
        </w:numPr>
        <w:spacing w:after="0" w:line="276" w:lineRule="auto"/>
        <w:jc w:val="both"/>
        <w:rPr>
          <w:rFonts w:ascii="Times New Roman" w:hAnsi="Times New Roman" w:cs="Times New Roman"/>
        </w:rPr>
      </w:pPr>
      <w:r w:rsidRPr="00B075D3">
        <w:rPr>
          <w:rFonts w:ascii="Times New Roman" w:hAnsi="Times New Roman" w:cs="Times New Roman"/>
        </w:rPr>
        <w:t xml:space="preserve">Podsumowanie działalności LGD w badanym okresie, wnioski i rekomendacje. </w:t>
      </w:r>
    </w:p>
    <w:p w14:paraId="7931AED0" w14:textId="77777777" w:rsidR="001E00E1" w:rsidRDefault="001E00E1" w:rsidP="007C71D8">
      <w:pPr>
        <w:spacing w:after="0" w:line="276" w:lineRule="auto"/>
        <w:ind w:firstLine="708"/>
        <w:jc w:val="both"/>
        <w:rPr>
          <w:rFonts w:ascii="Times New Roman" w:hAnsi="Times New Roman" w:cs="Times New Roman"/>
        </w:rPr>
      </w:pPr>
      <w:r w:rsidRPr="00B075D3">
        <w:rPr>
          <w:rFonts w:ascii="Times New Roman" w:hAnsi="Times New Roman" w:cs="Times New Roman"/>
        </w:rPr>
        <w:t xml:space="preserve">Ewaluacja prowadzona będzie w oparciu o kryteria ewaluacji, tj.: trafności, efektywności i wydajności, skuteczności, trwałości, użyteczności. </w:t>
      </w:r>
      <w:r>
        <w:rPr>
          <w:rFonts w:ascii="Times New Roman" w:hAnsi="Times New Roman" w:cs="Times New Roman"/>
        </w:rPr>
        <w:t>Źródła danych są tożsame ze źródłami dla monitoringu (dane własne, badania własne).</w:t>
      </w:r>
    </w:p>
    <w:p w14:paraId="020C52C9" w14:textId="77777777" w:rsidR="001E00E1" w:rsidRPr="00B075D3" w:rsidRDefault="001E00E1" w:rsidP="007C71D8">
      <w:pPr>
        <w:spacing w:after="0" w:line="276" w:lineRule="auto"/>
        <w:ind w:firstLine="708"/>
        <w:jc w:val="both"/>
        <w:rPr>
          <w:rFonts w:ascii="Times New Roman" w:hAnsi="Times New Roman" w:cs="Times New Roman"/>
        </w:rPr>
      </w:pPr>
      <w:r w:rsidRPr="00B075D3">
        <w:rPr>
          <w:rFonts w:ascii="Times New Roman" w:hAnsi="Times New Roman" w:cs="Times New Roman"/>
        </w:rPr>
        <w:t xml:space="preserve">Zatwierdzenia Raportu z ewaluacji Strategii dokonuje się </w:t>
      </w:r>
      <w:r w:rsidRPr="004B46AA">
        <w:rPr>
          <w:rFonts w:ascii="Times New Roman" w:hAnsi="Times New Roman" w:cs="Times New Roman"/>
        </w:rPr>
        <w:t>uchwałą Walnego Zebrania Członków.</w:t>
      </w:r>
    </w:p>
    <w:p w14:paraId="2DD087D1" w14:textId="77777777" w:rsidR="001E00E1" w:rsidRDefault="001E00E1" w:rsidP="007C71D8">
      <w:pPr>
        <w:spacing w:after="0" w:line="276" w:lineRule="auto"/>
        <w:jc w:val="both"/>
        <w:rPr>
          <w:rFonts w:ascii="Times New Roman" w:eastAsiaTheme="majorEastAsia" w:hAnsi="Times New Roman" w:cs="Times New Roman"/>
          <w:color w:val="000000" w:themeColor="text1"/>
        </w:rPr>
      </w:pPr>
      <w:r w:rsidRPr="00E604C8">
        <w:rPr>
          <w:rFonts w:ascii="Times New Roman" w:eastAsiaTheme="majorEastAsia" w:hAnsi="Times New Roman" w:cs="Times New Roman"/>
          <w:color w:val="000000" w:themeColor="text1"/>
        </w:rPr>
        <w:tab/>
        <w:t xml:space="preserve">Zalecenia </w:t>
      </w:r>
      <w:r>
        <w:rPr>
          <w:rFonts w:ascii="Times New Roman" w:eastAsiaTheme="majorEastAsia" w:hAnsi="Times New Roman" w:cs="Times New Roman"/>
          <w:color w:val="000000" w:themeColor="text1"/>
        </w:rPr>
        <w:t>z kontroli, oceny, monitoringu i/lub ewaluacji mogą być podstawą do aktualizacji LSR, podobnie jak zmiana przepisów dotyczących LSR czy zmiana danych dotyczących LSR.</w:t>
      </w:r>
    </w:p>
    <w:p w14:paraId="33F72982" w14:textId="77777777" w:rsidR="001E00E1" w:rsidRPr="00434BB4" w:rsidRDefault="001E00E1" w:rsidP="007C71D8">
      <w:pPr>
        <w:spacing w:after="0" w:line="276" w:lineRule="auto"/>
        <w:jc w:val="both"/>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ab/>
      </w:r>
      <w:r w:rsidRPr="00434BB4">
        <w:rPr>
          <w:rFonts w:ascii="Times New Roman" w:eastAsiaTheme="majorEastAsia" w:hAnsi="Times New Roman" w:cs="Times New Roman"/>
          <w:color w:val="000000" w:themeColor="text1"/>
        </w:rPr>
        <w:t>Aktualizacja Strategii Rozwoju Lokalnego Kierowanego przez Społeczność</w:t>
      </w:r>
      <w:r>
        <w:rPr>
          <w:rFonts w:ascii="Times New Roman" w:eastAsiaTheme="majorEastAsia" w:hAnsi="Times New Roman" w:cs="Times New Roman"/>
          <w:color w:val="000000" w:themeColor="text1"/>
        </w:rPr>
        <w:t xml:space="preserve"> </w:t>
      </w:r>
      <w:r w:rsidRPr="00434BB4">
        <w:rPr>
          <w:rFonts w:ascii="Times New Roman" w:eastAsiaTheme="majorEastAsia" w:hAnsi="Times New Roman" w:cs="Times New Roman"/>
          <w:color w:val="000000" w:themeColor="text1"/>
        </w:rPr>
        <w:t>może nastąpić w związku z:</w:t>
      </w:r>
    </w:p>
    <w:p w14:paraId="2C001CC5" w14:textId="77777777" w:rsidR="001E00E1" w:rsidRPr="00434BB4" w:rsidRDefault="001E00E1" w:rsidP="007C71D8">
      <w:pPr>
        <w:pStyle w:val="Akapitzlist"/>
        <w:numPr>
          <w:ilvl w:val="1"/>
          <w:numId w:val="41"/>
        </w:numPr>
        <w:spacing w:after="0" w:line="276" w:lineRule="auto"/>
        <w:jc w:val="both"/>
        <w:rPr>
          <w:rFonts w:ascii="Times New Roman" w:eastAsiaTheme="majorEastAsia" w:hAnsi="Times New Roman" w:cs="Times New Roman"/>
          <w:color w:val="000000" w:themeColor="text1"/>
        </w:rPr>
      </w:pPr>
      <w:r w:rsidRPr="00434BB4">
        <w:rPr>
          <w:rFonts w:ascii="Times New Roman" w:eastAsiaTheme="majorEastAsia" w:hAnsi="Times New Roman" w:cs="Times New Roman"/>
          <w:color w:val="000000" w:themeColor="text1"/>
        </w:rPr>
        <w:t>zmianą danych dotyczących obszaru LSR,</w:t>
      </w:r>
    </w:p>
    <w:p w14:paraId="1B5C826B" w14:textId="77777777" w:rsidR="001E00E1" w:rsidRPr="00434BB4" w:rsidRDefault="001E00E1" w:rsidP="007C71D8">
      <w:pPr>
        <w:pStyle w:val="Akapitzlist"/>
        <w:numPr>
          <w:ilvl w:val="1"/>
          <w:numId w:val="41"/>
        </w:numPr>
        <w:spacing w:after="0" w:line="276" w:lineRule="auto"/>
        <w:jc w:val="both"/>
        <w:rPr>
          <w:rFonts w:ascii="Times New Roman" w:eastAsiaTheme="majorEastAsia" w:hAnsi="Times New Roman" w:cs="Times New Roman"/>
          <w:color w:val="000000" w:themeColor="text1"/>
        </w:rPr>
      </w:pPr>
      <w:r w:rsidRPr="00434BB4">
        <w:rPr>
          <w:rFonts w:ascii="Times New Roman" w:eastAsiaTheme="majorEastAsia" w:hAnsi="Times New Roman" w:cs="Times New Roman"/>
          <w:color w:val="000000" w:themeColor="text1"/>
        </w:rPr>
        <w:t>zmianą przepisów dotyczących LSR,</w:t>
      </w:r>
    </w:p>
    <w:p w14:paraId="4703F5F9" w14:textId="77777777" w:rsidR="001E00E1" w:rsidRDefault="001E00E1" w:rsidP="007C71D8">
      <w:pPr>
        <w:pStyle w:val="Akapitzlist"/>
        <w:numPr>
          <w:ilvl w:val="1"/>
          <w:numId w:val="41"/>
        </w:numPr>
        <w:spacing w:after="0" w:line="276" w:lineRule="auto"/>
        <w:jc w:val="both"/>
        <w:rPr>
          <w:rFonts w:ascii="Times New Roman" w:eastAsiaTheme="majorEastAsia" w:hAnsi="Times New Roman" w:cs="Times New Roman"/>
          <w:color w:val="000000" w:themeColor="text1"/>
        </w:rPr>
      </w:pPr>
      <w:r w:rsidRPr="00434BB4">
        <w:rPr>
          <w:rFonts w:ascii="Times New Roman" w:eastAsiaTheme="majorEastAsia" w:hAnsi="Times New Roman" w:cs="Times New Roman"/>
          <w:color w:val="000000" w:themeColor="text1"/>
        </w:rPr>
        <w:t>potrzebą zastosowania zaleceń z kontroli, oceny, monitoringu i/lub ewaluacji LSR/LGD</w:t>
      </w:r>
      <w:r>
        <w:rPr>
          <w:rFonts w:ascii="Times New Roman" w:eastAsiaTheme="majorEastAsia" w:hAnsi="Times New Roman" w:cs="Times New Roman"/>
          <w:color w:val="000000" w:themeColor="text1"/>
        </w:rPr>
        <w:t>,</w:t>
      </w:r>
    </w:p>
    <w:p w14:paraId="7E0026A6" w14:textId="77777777" w:rsidR="001E00E1" w:rsidRPr="002D51B3" w:rsidRDefault="001E00E1" w:rsidP="007C71D8">
      <w:pPr>
        <w:pStyle w:val="Akapitzlist"/>
        <w:numPr>
          <w:ilvl w:val="1"/>
          <w:numId w:val="41"/>
        </w:numPr>
        <w:spacing w:after="0" w:line="276" w:lineRule="auto"/>
        <w:jc w:val="both"/>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 xml:space="preserve">rocznymi wynikami ciągłego </w:t>
      </w:r>
      <w:r w:rsidRPr="00E37C67">
        <w:rPr>
          <w:rFonts w:ascii="Times New Roman" w:hAnsi="Times New Roman" w:cs="Times New Roman"/>
        </w:rPr>
        <w:t>nab</w:t>
      </w:r>
      <w:r>
        <w:rPr>
          <w:rFonts w:ascii="Times New Roman" w:hAnsi="Times New Roman" w:cs="Times New Roman"/>
        </w:rPr>
        <w:t>oru</w:t>
      </w:r>
      <w:r w:rsidRPr="00E37C67">
        <w:rPr>
          <w:rFonts w:ascii="Times New Roman" w:hAnsi="Times New Roman" w:cs="Times New Roman"/>
        </w:rPr>
        <w:t xml:space="preserve"> propozycji projektów do realizacji</w:t>
      </w:r>
      <w:r>
        <w:rPr>
          <w:rFonts w:ascii="Times New Roman" w:hAnsi="Times New Roman" w:cs="Times New Roman"/>
        </w:rPr>
        <w:t>.</w:t>
      </w:r>
    </w:p>
    <w:p w14:paraId="66D79C4C" w14:textId="77777777" w:rsidR="001E00E1" w:rsidRPr="002D51B3" w:rsidRDefault="001E00E1" w:rsidP="007C71D8">
      <w:pPr>
        <w:spacing w:after="0" w:line="276" w:lineRule="auto"/>
        <w:ind w:left="360" w:firstLine="348"/>
        <w:jc w:val="both"/>
        <w:rPr>
          <w:rFonts w:ascii="Times New Roman" w:eastAsiaTheme="majorEastAsia" w:hAnsi="Times New Roman" w:cs="Times New Roman"/>
          <w:color w:val="000000" w:themeColor="text1"/>
        </w:rPr>
      </w:pPr>
      <w:r w:rsidRPr="002D51B3">
        <w:rPr>
          <w:rFonts w:ascii="Times New Roman" w:eastAsiaTheme="majorEastAsia" w:hAnsi="Times New Roman" w:cs="Times New Roman"/>
          <w:color w:val="000000" w:themeColor="text1"/>
        </w:rPr>
        <w:t>Aktualizacja LSR może nastąpić na wniosek:</w:t>
      </w:r>
    </w:p>
    <w:p w14:paraId="78940252" w14:textId="77777777" w:rsidR="001E00E1" w:rsidRPr="002D51B3" w:rsidRDefault="001E00E1" w:rsidP="007C71D8">
      <w:pPr>
        <w:pStyle w:val="Akapitzlist"/>
        <w:numPr>
          <w:ilvl w:val="1"/>
          <w:numId w:val="42"/>
        </w:numPr>
        <w:spacing w:after="0" w:line="276" w:lineRule="auto"/>
        <w:jc w:val="both"/>
        <w:rPr>
          <w:rFonts w:ascii="Times New Roman" w:eastAsiaTheme="majorEastAsia" w:hAnsi="Times New Roman" w:cs="Times New Roman"/>
          <w:color w:val="000000" w:themeColor="text1"/>
        </w:rPr>
      </w:pPr>
      <w:r w:rsidRPr="002D51B3">
        <w:rPr>
          <w:rFonts w:ascii="Times New Roman" w:eastAsiaTheme="majorEastAsia" w:hAnsi="Times New Roman" w:cs="Times New Roman"/>
          <w:color w:val="000000" w:themeColor="text1"/>
        </w:rPr>
        <w:t>Rady LGD,</w:t>
      </w:r>
    </w:p>
    <w:p w14:paraId="612A0783" w14:textId="77777777" w:rsidR="001E00E1" w:rsidRPr="002D51B3" w:rsidRDefault="001E00E1" w:rsidP="007C71D8">
      <w:pPr>
        <w:pStyle w:val="Akapitzlist"/>
        <w:numPr>
          <w:ilvl w:val="1"/>
          <w:numId w:val="42"/>
        </w:numPr>
        <w:spacing w:after="0" w:line="276" w:lineRule="auto"/>
        <w:jc w:val="both"/>
        <w:rPr>
          <w:rFonts w:ascii="Times New Roman" w:eastAsiaTheme="majorEastAsia" w:hAnsi="Times New Roman" w:cs="Times New Roman"/>
          <w:color w:val="000000" w:themeColor="text1"/>
        </w:rPr>
      </w:pPr>
      <w:r w:rsidRPr="002D51B3">
        <w:rPr>
          <w:rFonts w:ascii="Times New Roman" w:eastAsiaTheme="majorEastAsia" w:hAnsi="Times New Roman" w:cs="Times New Roman"/>
          <w:color w:val="000000" w:themeColor="text1"/>
        </w:rPr>
        <w:t>Komisji Rewizyjnej LGD,</w:t>
      </w:r>
    </w:p>
    <w:p w14:paraId="246F1305" w14:textId="77777777" w:rsidR="001E00E1" w:rsidRPr="002D51B3" w:rsidRDefault="001E00E1" w:rsidP="007C71D8">
      <w:pPr>
        <w:pStyle w:val="Akapitzlist"/>
        <w:numPr>
          <w:ilvl w:val="1"/>
          <w:numId w:val="42"/>
        </w:numPr>
        <w:spacing w:after="0" w:line="276" w:lineRule="auto"/>
        <w:jc w:val="both"/>
        <w:rPr>
          <w:rFonts w:ascii="Times New Roman" w:eastAsiaTheme="majorEastAsia" w:hAnsi="Times New Roman" w:cs="Times New Roman"/>
          <w:color w:val="000000" w:themeColor="text1"/>
        </w:rPr>
      </w:pPr>
      <w:r w:rsidRPr="002D51B3">
        <w:rPr>
          <w:rFonts w:ascii="Times New Roman" w:eastAsiaTheme="majorEastAsia" w:hAnsi="Times New Roman" w:cs="Times New Roman"/>
          <w:color w:val="000000" w:themeColor="text1"/>
        </w:rPr>
        <w:t>Zarządu LGD,</w:t>
      </w:r>
    </w:p>
    <w:p w14:paraId="543965E8" w14:textId="77777777" w:rsidR="001E00E1" w:rsidRDefault="001E00E1" w:rsidP="007C71D8">
      <w:pPr>
        <w:pStyle w:val="Akapitzlist"/>
        <w:numPr>
          <w:ilvl w:val="1"/>
          <w:numId w:val="42"/>
        </w:numPr>
        <w:spacing w:after="0" w:line="276" w:lineRule="auto"/>
        <w:jc w:val="both"/>
        <w:rPr>
          <w:rFonts w:ascii="Times New Roman" w:eastAsiaTheme="majorEastAsia" w:hAnsi="Times New Roman" w:cs="Times New Roman"/>
          <w:color w:val="000000" w:themeColor="text1"/>
        </w:rPr>
      </w:pPr>
      <w:r w:rsidRPr="002D51B3">
        <w:rPr>
          <w:rFonts w:ascii="Times New Roman" w:eastAsiaTheme="majorEastAsia" w:hAnsi="Times New Roman" w:cs="Times New Roman"/>
          <w:color w:val="000000" w:themeColor="text1"/>
        </w:rPr>
        <w:t>grupy liczącej powyżej 10% wszystkich członków LGD</w:t>
      </w:r>
      <w:r>
        <w:rPr>
          <w:rFonts w:ascii="Times New Roman" w:eastAsiaTheme="majorEastAsia" w:hAnsi="Times New Roman" w:cs="Times New Roman"/>
          <w:color w:val="000000" w:themeColor="text1"/>
        </w:rPr>
        <w:t>.</w:t>
      </w:r>
    </w:p>
    <w:p w14:paraId="39074CE0" w14:textId="77777777" w:rsidR="001E00E1" w:rsidRPr="002D51B3" w:rsidRDefault="001E00E1" w:rsidP="007C71D8">
      <w:pPr>
        <w:spacing w:after="0" w:line="276" w:lineRule="auto"/>
        <w:ind w:firstLine="708"/>
        <w:jc w:val="both"/>
        <w:rPr>
          <w:rFonts w:ascii="Times New Roman" w:eastAsiaTheme="majorEastAsia" w:hAnsi="Times New Roman" w:cs="Times New Roman"/>
          <w:color w:val="000000" w:themeColor="text1"/>
        </w:rPr>
      </w:pPr>
      <w:r w:rsidRPr="002D51B3">
        <w:rPr>
          <w:rFonts w:ascii="Times New Roman" w:eastAsiaTheme="majorEastAsia" w:hAnsi="Times New Roman" w:cs="Times New Roman"/>
          <w:color w:val="000000" w:themeColor="text1"/>
        </w:rPr>
        <w:t xml:space="preserve">Wniosek o aktualizację LSR </w:t>
      </w:r>
      <w:r>
        <w:rPr>
          <w:rFonts w:ascii="Times New Roman" w:eastAsiaTheme="majorEastAsia" w:hAnsi="Times New Roman" w:cs="Times New Roman"/>
          <w:color w:val="000000" w:themeColor="text1"/>
        </w:rPr>
        <w:t>będzie składany</w:t>
      </w:r>
      <w:r w:rsidRPr="002D51B3">
        <w:rPr>
          <w:rFonts w:ascii="Times New Roman" w:eastAsiaTheme="majorEastAsia" w:hAnsi="Times New Roman" w:cs="Times New Roman"/>
          <w:color w:val="000000" w:themeColor="text1"/>
        </w:rPr>
        <w:t xml:space="preserve"> do Zarządu LGD, który zobowiązany jest przedstawić go na najbliższym Walnym Zebraniu Członków.</w:t>
      </w:r>
      <w:r>
        <w:rPr>
          <w:rFonts w:ascii="Times New Roman" w:eastAsiaTheme="majorEastAsia" w:hAnsi="Times New Roman" w:cs="Times New Roman"/>
          <w:color w:val="000000" w:themeColor="text1"/>
        </w:rPr>
        <w:t xml:space="preserve"> </w:t>
      </w:r>
      <w:r w:rsidRPr="002D51B3">
        <w:rPr>
          <w:rFonts w:ascii="Times New Roman" w:eastAsiaTheme="majorEastAsia" w:hAnsi="Times New Roman" w:cs="Times New Roman"/>
          <w:color w:val="000000" w:themeColor="text1"/>
        </w:rPr>
        <w:t>Projekt zmiany LSR musi zostać poddany konsultacjom społecznym poprzez zamieszczenie zmienianych części LSR wraz z uzasadnieniem na stronie internetowej LGD na co najmniej 14 dni</w:t>
      </w:r>
      <w:r>
        <w:rPr>
          <w:rFonts w:ascii="Times New Roman" w:eastAsiaTheme="majorEastAsia" w:hAnsi="Times New Roman" w:cs="Times New Roman"/>
          <w:color w:val="000000" w:themeColor="text1"/>
        </w:rPr>
        <w:t>.</w:t>
      </w:r>
    </w:p>
    <w:p w14:paraId="40FA7EE4" w14:textId="56C99590" w:rsidR="007C71D8" w:rsidRDefault="007C71D8" w:rsidP="00A17173">
      <w:pPr>
        <w:pStyle w:val="Gwne"/>
        <w:numPr>
          <w:ilvl w:val="0"/>
          <w:numId w:val="0"/>
        </w:numPr>
        <w:ind w:left="1077"/>
      </w:pPr>
      <w:r>
        <w:br w:type="page"/>
      </w:r>
    </w:p>
    <w:p w14:paraId="6137440F" w14:textId="77777777" w:rsidR="006639CB" w:rsidRPr="00000148" w:rsidRDefault="006639CB" w:rsidP="00B75EC5">
      <w:pPr>
        <w:pStyle w:val="Nagwek2"/>
        <w:spacing w:after="120"/>
        <w:ind w:firstLine="360"/>
        <w:rPr>
          <w:rFonts w:ascii="Times New Roman" w:hAnsi="Times New Roman" w:cs="Times New Roman"/>
          <w:b/>
          <w:bCs/>
          <w:color w:val="000000" w:themeColor="text1"/>
          <w:sz w:val="22"/>
          <w:szCs w:val="22"/>
        </w:rPr>
      </w:pPr>
      <w:bookmarkStart w:id="118" w:name="_Toc133484498"/>
      <w:bookmarkStart w:id="119" w:name="_Toc135896908"/>
      <w:bookmarkStart w:id="120" w:name="_Hlk134057481"/>
      <w:r w:rsidRPr="00000148">
        <w:rPr>
          <w:rFonts w:ascii="Times New Roman" w:hAnsi="Times New Roman" w:cs="Times New Roman"/>
          <w:b/>
          <w:bCs/>
          <w:color w:val="000000" w:themeColor="text1"/>
          <w:sz w:val="22"/>
          <w:szCs w:val="22"/>
        </w:rPr>
        <w:lastRenderedPageBreak/>
        <w:t>Spis rysunków</w:t>
      </w:r>
      <w:bookmarkEnd w:id="118"/>
      <w:bookmarkEnd w:id="119"/>
    </w:p>
    <w:bookmarkEnd w:id="120"/>
    <w:p w14:paraId="56F76BAE" w14:textId="02DB044C" w:rsidR="003B08A7" w:rsidRPr="003B08A7" w:rsidRDefault="003B08A7" w:rsidP="003B08A7">
      <w:pPr>
        <w:pStyle w:val="Spisilustracji"/>
        <w:tabs>
          <w:tab w:val="right" w:leader="dot" w:pos="10194"/>
        </w:tabs>
        <w:spacing w:line="276" w:lineRule="auto"/>
        <w:jc w:val="both"/>
        <w:rPr>
          <w:rFonts w:ascii="Times New Roman" w:eastAsiaTheme="minorEastAsia" w:hAnsi="Times New Roman" w:cs="Times New Roman"/>
          <w:noProof/>
          <w:lang w:eastAsia="pl-PL"/>
        </w:rPr>
      </w:pPr>
      <w:r w:rsidRPr="003B08A7">
        <w:rPr>
          <w:rFonts w:ascii="Times New Roman" w:hAnsi="Times New Roman" w:cs="Times New Roman"/>
        </w:rPr>
        <w:fldChar w:fldCharType="begin"/>
      </w:r>
      <w:r w:rsidRPr="003B08A7">
        <w:rPr>
          <w:rFonts w:ascii="Times New Roman" w:hAnsi="Times New Roman" w:cs="Times New Roman"/>
        </w:rPr>
        <w:instrText xml:space="preserve"> TOC \h \z \c "Rysunek" </w:instrText>
      </w:r>
      <w:r w:rsidRPr="003B08A7">
        <w:rPr>
          <w:rFonts w:ascii="Times New Roman" w:hAnsi="Times New Roman" w:cs="Times New Roman"/>
        </w:rPr>
        <w:fldChar w:fldCharType="separate"/>
      </w:r>
      <w:hyperlink w:anchor="_Toc134016293" w:history="1">
        <w:r w:rsidRPr="003B08A7">
          <w:rPr>
            <w:rStyle w:val="Hipercze"/>
            <w:rFonts w:ascii="Times New Roman" w:hAnsi="Times New Roman" w:cs="Times New Roman"/>
            <w:noProof/>
          </w:rPr>
          <w:t>Rysunek 1 Sposób określania celu LSR</w:t>
        </w:r>
        <w:r w:rsidRPr="003B08A7">
          <w:rPr>
            <w:rFonts w:ascii="Times New Roman" w:hAnsi="Times New Roman" w:cs="Times New Roman"/>
            <w:noProof/>
            <w:webHidden/>
          </w:rPr>
          <w:tab/>
        </w:r>
        <w:r w:rsidRPr="003B08A7">
          <w:rPr>
            <w:rFonts w:ascii="Times New Roman" w:hAnsi="Times New Roman" w:cs="Times New Roman"/>
            <w:noProof/>
            <w:webHidden/>
          </w:rPr>
          <w:fldChar w:fldCharType="begin"/>
        </w:r>
        <w:r w:rsidRPr="003B08A7">
          <w:rPr>
            <w:rFonts w:ascii="Times New Roman" w:hAnsi="Times New Roman" w:cs="Times New Roman"/>
            <w:noProof/>
            <w:webHidden/>
          </w:rPr>
          <w:instrText xml:space="preserve"> PAGEREF _Toc134016293 \h </w:instrText>
        </w:r>
        <w:r w:rsidRPr="003B08A7">
          <w:rPr>
            <w:rFonts w:ascii="Times New Roman" w:hAnsi="Times New Roman" w:cs="Times New Roman"/>
            <w:noProof/>
            <w:webHidden/>
          </w:rPr>
        </w:r>
        <w:r w:rsidRPr="003B08A7">
          <w:rPr>
            <w:rFonts w:ascii="Times New Roman" w:hAnsi="Times New Roman" w:cs="Times New Roman"/>
            <w:noProof/>
            <w:webHidden/>
          </w:rPr>
          <w:fldChar w:fldCharType="separate"/>
        </w:r>
        <w:r w:rsidR="00B75EC5">
          <w:rPr>
            <w:rFonts w:ascii="Times New Roman" w:hAnsi="Times New Roman" w:cs="Times New Roman"/>
            <w:noProof/>
            <w:webHidden/>
          </w:rPr>
          <w:t>50</w:t>
        </w:r>
        <w:r w:rsidRPr="003B08A7">
          <w:rPr>
            <w:rFonts w:ascii="Times New Roman" w:hAnsi="Times New Roman" w:cs="Times New Roman"/>
            <w:noProof/>
            <w:webHidden/>
          </w:rPr>
          <w:fldChar w:fldCharType="end"/>
        </w:r>
      </w:hyperlink>
    </w:p>
    <w:p w14:paraId="64E2D169" w14:textId="6CEAC3CE" w:rsidR="00A17173" w:rsidRDefault="003B08A7" w:rsidP="003B08A7">
      <w:pPr>
        <w:pStyle w:val="Gwne"/>
        <w:numPr>
          <w:ilvl w:val="0"/>
          <w:numId w:val="0"/>
        </w:numPr>
        <w:spacing w:after="0" w:line="276" w:lineRule="auto"/>
        <w:rPr>
          <w:sz w:val="22"/>
          <w:szCs w:val="22"/>
        </w:rPr>
      </w:pPr>
      <w:r w:rsidRPr="003B08A7">
        <w:rPr>
          <w:sz w:val="22"/>
          <w:szCs w:val="22"/>
        </w:rPr>
        <w:fldChar w:fldCharType="end"/>
      </w:r>
    </w:p>
    <w:p w14:paraId="74F0AE1E" w14:textId="797A863F" w:rsidR="007C71D8" w:rsidRPr="00000148" w:rsidRDefault="007C71D8" w:rsidP="00B75EC5">
      <w:pPr>
        <w:pStyle w:val="Nagwek2"/>
        <w:spacing w:after="120"/>
        <w:ind w:firstLine="360"/>
        <w:rPr>
          <w:rFonts w:ascii="Times New Roman" w:hAnsi="Times New Roman" w:cs="Times New Roman"/>
          <w:b/>
          <w:bCs/>
          <w:color w:val="000000" w:themeColor="text1"/>
          <w:sz w:val="22"/>
          <w:szCs w:val="22"/>
        </w:rPr>
      </w:pPr>
      <w:bookmarkStart w:id="121" w:name="_Toc135896909"/>
      <w:r w:rsidRPr="00000148">
        <w:rPr>
          <w:rFonts w:ascii="Times New Roman" w:hAnsi="Times New Roman" w:cs="Times New Roman"/>
          <w:b/>
          <w:bCs/>
          <w:color w:val="000000" w:themeColor="text1"/>
          <w:sz w:val="22"/>
          <w:szCs w:val="22"/>
        </w:rPr>
        <w:t xml:space="preserve">Spis </w:t>
      </w:r>
      <w:r>
        <w:rPr>
          <w:rFonts w:ascii="Times New Roman" w:hAnsi="Times New Roman" w:cs="Times New Roman"/>
          <w:b/>
          <w:bCs/>
          <w:color w:val="000000" w:themeColor="text1"/>
          <w:sz w:val="22"/>
          <w:szCs w:val="22"/>
        </w:rPr>
        <w:t>map</w:t>
      </w:r>
      <w:bookmarkEnd w:id="121"/>
    </w:p>
    <w:p w14:paraId="1695DE42" w14:textId="05005903" w:rsidR="007C71D8" w:rsidRPr="007C71D8" w:rsidRDefault="007C71D8">
      <w:pPr>
        <w:pStyle w:val="Spisilustracji"/>
        <w:tabs>
          <w:tab w:val="right" w:leader="dot" w:pos="10194"/>
        </w:tabs>
        <w:rPr>
          <w:rFonts w:ascii="Times New Roman" w:eastAsiaTheme="minorEastAsia" w:hAnsi="Times New Roman" w:cs="Times New Roman"/>
          <w:noProof/>
          <w:kern w:val="2"/>
          <w:lang w:eastAsia="pl-PL"/>
          <w14:ligatures w14:val="standardContextual"/>
        </w:rPr>
      </w:pPr>
      <w:r w:rsidRPr="007C71D8">
        <w:rPr>
          <w:rFonts w:ascii="Times New Roman" w:hAnsi="Times New Roman" w:cs="Times New Roman"/>
        </w:rPr>
        <w:fldChar w:fldCharType="begin"/>
      </w:r>
      <w:r w:rsidRPr="007C71D8">
        <w:rPr>
          <w:rFonts w:ascii="Times New Roman" w:hAnsi="Times New Roman" w:cs="Times New Roman"/>
        </w:rPr>
        <w:instrText xml:space="preserve"> TOC \h \z \c "Mapa" </w:instrText>
      </w:r>
      <w:r w:rsidRPr="007C71D8">
        <w:rPr>
          <w:rFonts w:ascii="Times New Roman" w:hAnsi="Times New Roman" w:cs="Times New Roman"/>
        </w:rPr>
        <w:fldChar w:fldCharType="separate"/>
      </w:r>
      <w:hyperlink w:anchor="_Toc135774486" w:history="1">
        <w:r w:rsidRPr="007C71D8">
          <w:rPr>
            <w:rStyle w:val="Hipercze"/>
            <w:rFonts w:ascii="Times New Roman" w:hAnsi="Times New Roman" w:cs="Times New Roman"/>
            <w:noProof/>
          </w:rPr>
          <w:t>Mapa 1 Gminy objęte partnerstwem Bialskopodlaska LGD</w:t>
        </w:r>
        <w:r w:rsidRPr="007C71D8">
          <w:rPr>
            <w:rFonts w:ascii="Times New Roman" w:hAnsi="Times New Roman" w:cs="Times New Roman"/>
            <w:noProof/>
            <w:webHidden/>
          </w:rPr>
          <w:tab/>
        </w:r>
        <w:r w:rsidRPr="007C71D8">
          <w:rPr>
            <w:rFonts w:ascii="Times New Roman" w:hAnsi="Times New Roman" w:cs="Times New Roman"/>
            <w:noProof/>
            <w:webHidden/>
          </w:rPr>
          <w:fldChar w:fldCharType="begin"/>
        </w:r>
        <w:r w:rsidRPr="007C71D8">
          <w:rPr>
            <w:rFonts w:ascii="Times New Roman" w:hAnsi="Times New Roman" w:cs="Times New Roman"/>
            <w:noProof/>
            <w:webHidden/>
          </w:rPr>
          <w:instrText xml:space="preserve"> PAGEREF _Toc135774486 \h </w:instrText>
        </w:r>
        <w:r w:rsidRPr="007C71D8">
          <w:rPr>
            <w:rFonts w:ascii="Times New Roman" w:hAnsi="Times New Roman" w:cs="Times New Roman"/>
            <w:noProof/>
            <w:webHidden/>
          </w:rPr>
        </w:r>
        <w:r w:rsidRPr="007C71D8">
          <w:rPr>
            <w:rFonts w:ascii="Times New Roman" w:hAnsi="Times New Roman" w:cs="Times New Roman"/>
            <w:noProof/>
            <w:webHidden/>
          </w:rPr>
          <w:fldChar w:fldCharType="separate"/>
        </w:r>
        <w:r w:rsidR="00B75EC5">
          <w:rPr>
            <w:rFonts w:ascii="Times New Roman" w:hAnsi="Times New Roman" w:cs="Times New Roman"/>
            <w:noProof/>
            <w:webHidden/>
          </w:rPr>
          <w:t>8</w:t>
        </w:r>
        <w:r w:rsidRPr="007C71D8">
          <w:rPr>
            <w:rFonts w:ascii="Times New Roman" w:hAnsi="Times New Roman" w:cs="Times New Roman"/>
            <w:noProof/>
            <w:webHidden/>
          </w:rPr>
          <w:fldChar w:fldCharType="end"/>
        </w:r>
      </w:hyperlink>
    </w:p>
    <w:p w14:paraId="3C120C70" w14:textId="0E7C4373" w:rsidR="007C71D8" w:rsidRPr="007C71D8" w:rsidRDefault="007C71D8" w:rsidP="003B08A7">
      <w:pPr>
        <w:pStyle w:val="Gwne"/>
        <w:numPr>
          <w:ilvl w:val="0"/>
          <w:numId w:val="0"/>
        </w:numPr>
        <w:spacing w:after="0" w:line="276" w:lineRule="auto"/>
        <w:rPr>
          <w:b w:val="0"/>
          <w:bCs w:val="0"/>
          <w:sz w:val="22"/>
          <w:szCs w:val="22"/>
        </w:rPr>
      </w:pPr>
      <w:r w:rsidRPr="007C71D8">
        <w:rPr>
          <w:b w:val="0"/>
          <w:bCs w:val="0"/>
          <w:sz w:val="22"/>
          <w:szCs w:val="22"/>
        </w:rPr>
        <w:fldChar w:fldCharType="end"/>
      </w:r>
    </w:p>
    <w:p w14:paraId="58DD6E9B" w14:textId="77777777" w:rsidR="003B08A7" w:rsidRPr="00000148" w:rsidRDefault="003B08A7" w:rsidP="00B75EC5">
      <w:pPr>
        <w:pStyle w:val="Nagwek2"/>
        <w:spacing w:after="120"/>
        <w:ind w:firstLine="360"/>
        <w:rPr>
          <w:rFonts w:ascii="Times New Roman" w:hAnsi="Times New Roman" w:cs="Times New Roman"/>
          <w:b/>
          <w:bCs/>
          <w:color w:val="000000" w:themeColor="text1"/>
          <w:sz w:val="22"/>
          <w:szCs w:val="22"/>
        </w:rPr>
      </w:pPr>
      <w:bookmarkStart w:id="122" w:name="_Toc133484499"/>
      <w:bookmarkStart w:id="123" w:name="_Toc135896910"/>
      <w:bookmarkStart w:id="124" w:name="_Hlk134057499"/>
      <w:r w:rsidRPr="00000148">
        <w:rPr>
          <w:rFonts w:ascii="Times New Roman" w:hAnsi="Times New Roman" w:cs="Times New Roman"/>
          <w:b/>
          <w:bCs/>
          <w:color w:val="000000" w:themeColor="text1"/>
          <w:sz w:val="22"/>
          <w:szCs w:val="22"/>
        </w:rPr>
        <w:t>Spis wykresów</w:t>
      </w:r>
      <w:bookmarkEnd w:id="122"/>
      <w:bookmarkEnd w:id="123"/>
    </w:p>
    <w:bookmarkEnd w:id="124"/>
    <w:p w14:paraId="5C3E4BE2" w14:textId="1DA2431D" w:rsidR="00B75EC5" w:rsidRPr="00B75EC5" w:rsidRDefault="003B08A7"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r w:rsidRPr="00B75EC5">
        <w:rPr>
          <w:rStyle w:val="Hipercze"/>
          <w:rFonts w:ascii="Times New Roman" w:hAnsi="Times New Roman" w:cs="Times New Roman"/>
          <w:noProof/>
        </w:rPr>
        <w:fldChar w:fldCharType="begin"/>
      </w:r>
      <w:r w:rsidRPr="00B75EC5">
        <w:rPr>
          <w:rStyle w:val="Hipercze"/>
          <w:rFonts w:ascii="Times New Roman" w:hAnsi="Times New Roman" w:cs="Times New Roman"/>
          <w:noProof/>
        </w:rPr>
        <w:instrText xml:space="preserve"> TOC \h \z \c "Wykres" </w:instrText>
      </w:r>
      <w:r w:rsidRPr="00B75EC5">
        <w:rPr>
          <w:rStyle w:val="Hipercze"/>
          <w:rFonts w:ascii="Times New Roman" w:hAnsi="Times New Roman" w:cs="Times New Roman"/>
          <w:noProof/>
        </w:rPr>
        <w:fldChar w:fldCharType="separate"/>
      </w:r>
      <w:hyperlink w:anchor="_Toc135896516" w:history="1">
        <w:r w:rsidR="00B75EC5" w:rsidRPr="00B75EC5">
          <w:rPr>
            <w:rStyle w:val="Hipercze"/>
            <w:rFonts w:ascii="Times New Roman" w:hAnsi="Times New Roman" w:cs="Times New Roman"/>
            <w:noProof/>
          </w:rPr>
          <w:t>Wykres 1 Liczba ludności ogółem na obszarze LGD w latach 2016–2021</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_Toc135896516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17</w:t>
        </w:r>
        <w:r w:rsidR="00B75EC5" w:rsidRPr="00B75EC5">
          <w:rPr>
            <w:rFonts w:ascii="Times New Roman" w:hAnsi="Times New Roman" w:cs="Times New Roman"/>
            <w:noProof/>
            <w:webHidden/>
          </w:rPr>
          <w:fldChar w:fldCharType="end"/>
        </w:r>
      </w:hyperlink>
    </w:p>
    <w:p w14:paraId="5CF21330" w14:textId="7DD60D01"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17" w:history="1">
        <w:r w:rsidR="00B75EC5" w:rsidRPr="00B75EC5">
          <w:rPr>
            <w:rStyle w:val="Hipercze"/>
            <w:rFonts w:ascii="Times New Roman" w:hAnsi="Times New Roman" w:cs="Times New Roman"/>
            <w:noProof/>
          </w:rPr>
          <w:t>Wykres 2 Piramida płci i wieku dla obszaru LGD w 2021 r.</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_Toc135896517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18</w:t>
        </w:r>
        <w:r w:rsidR="00B75EC5" w:rsidRPr="00B75EC5">
          <w:rPr>
            <w:rFonts w:ascii="Times New Roman" w:hAnsi="Times New Roman" w:cs="Times New Roman"/>
            <w:noProof/>
            <w:webHidden/>
          </w:rPr>
          <w:fldChar w:fldCharType="end"/>
        </w:r>
      </w:hyperlink>
    </w:p>
    <w:p w14:paraId="4DD6FC77" w14:textId="3EE1A730"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18" w:history="1">
        <w:r w:rsidR="00B75EC5" w:rsidRPr="00B75EC5">
          <w:rPr>
            <w:rStyle w:val="Hipercze"/>
            <w:rFonts w:ascii="Times New Roman" w:hAnsi="Times New Roman" w:cs="Times New Roman"/>
            <w:noProof/>
          </w:rPr>
          <w:t>Wykres 3 Udział ludności wg ekonomicznych grup wieku w % ludności ogółem na obszarze LGD w latach 2016–2021</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_Toc135896518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18</w:t>
        </w:r>
        <w:r w:rsidR="00B75EC5" w:rsidRPr="00B75EC5">
          <w:rPr>
            <w:rFonts w:ascii="Times New Roman" w:hAnsi="Times New Roman" w:cs="Times New Roman"/>
            <w:noProof/>
            <w:webHidden/>
          </w:rPr>
          <w:fldChar w:fldCharType="end"/>
        </w:r>
      </w:hyperlink>
    </w:p>
    <w:p w14:paraId="4BA04DE0" w14:textId="22E2A846"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19" w:history="1">
        <w:r w:rsidR="00B75EC5" w:rsidRPr="00B75EC5">
          <w:rPr>
            <w:rStyle w:val="Hipercze"/>
            <w:rFonts w:ascii="Times New Roman" w:hAnsi="Times New Roman" w:cs="Times New Roman"/>
            <w:noProof/>
          </w:rPr>
          <w:t>Wykres 4 Saldo migracji oraz przyrost naturalny na 1 000 ludności na obszarze LGD w latach 2016–2021</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_Toc135896519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19</w:t>
        </w:r>
        <w:r w:rsidR="00B75EC5" w:rsidRPr="00B75EC5">
          <w:rPr>
            <w:rFonts w:ascii="Times New Roman" w:hAnsi="Times New Roman" w:cs="Times New Roman"/>
            <w:noProof/>
            <w:webHidden/>
          </w:rPr>
          <w:fldChar w:fldCharType="end"/>
        </w:r>
      </w:hyperlink>
    </w:p>
    <w:p w14:paraId="5FD872C0" w14:textId="1FED3D51"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20" w:history="1">
        <w:r w:rsidR="00B75EC5" w:rsidRPr="00B75EC5">
          <w:rPr>
            <w:rStyle w:val="Hipercze"/>
            <w:rFonts w:ascii="Times New Roman" w:hAnsi="Times New Roman" w:cs="Times New Roman"/>
            <w:noProof/>
          </w:rPr>
          <w:t>Wykres 5 Pozwolenia wydane na budowę i zgłoszenia budowy z projektem budowlanym w przeliczeniu na 10 tys. mieszkańców na obszarze LGD w porównaniu do województwa i kraju w 2021 r.</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_Toc135896520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20</w:t>
        </w:r>
        <w:r w:rsidR="00B75EC5" w:rsidRPr="00B75EC5">
          <w:rPr>
            <w:rFonts w:ascii="Times New Roman" w:hAnsi="Times New Roman" w:cs="Times New Roman"/>
            <w:noProof/>
            <w:webHidden/>
          </w:rPr>
          <w:fldChar w:fldCharType="end"/>
        </w:r>
      </w:hyperlink>
    </w:p>
    <w:p w14:paraId="0DB70A91" w14:textId="7CD45384"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21" w:history="1">
        <w:r w:rsidR="00B75EC5" w:rsidRPr="00B75EC5">
          <w:rPr>
            <w:rStyle w:val="Hipercze"/>
            <w:rFonts w:ascii="Times New Roman" w:hAnsi="Times New Roman" w:cs="Times New Roman"/>
            <w:noProof/>
          </w:rPr>
          <w:t>Wykres 6 Dynamika wzrostu wartości wskaźników gospodarczych obszaru LGD, województwa i kraju – wzrost/spadek procentowy w 2021 r. w stosunku do 2016 r.</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_Toc135896521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20</w:t>
        </w:r>
        <w:r w:rsidR="00B75EC5" w:rsidRPr="00B75EC5">
          <w:rPr>
            <w:rFonts w:ascii="Times New Roman" w:hAnsi="Times New Roman" w:cs="Times New Roman"/>
            <w:noProof/>
            <w:webHidden/>
          </w:rPr>
          <w:fldChar w:fldCharType="end"/>
        </w:r>
      </w:hyperlink>
    </w:p>
    <w:p w14:paraId="421D15D9" w14:textId="1E029C50"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22" w:history="1">
        <w:r w:rsidR="00B75EC5" w:rsidRPr="00B75EC5">
          <w:rPr>
            <w:rStyle w:val="Hipercze"/>
            <w:rFonts w:ascii="Times New Roman" w:hAnsi="Times New Roman" w:cs="Times New Roman"/>
            <w:noProof/>
          </w:rPr>
          <w:t xml:space="preserve">Wykres 7 Liczba fundacji, stowarzyszeń, organizacji społecznych na 10 tys. mieszkańców na obszarze LGD </w:t>
        </w:r>
        <w:r w:rsidR="00B75EC5">
          <w:rPr>
            <w:rStyle w:val="Hipercze"/>
            <w:rFonts w:ascii="Times New Roman" w:hAnsi="Times New Roman" w:cs="Times New Roman"/>
            <w:noProof/>
          </w:rPr>
          <w:br/>
        </w:r>
        <w:r w:rsidR="00B75EC5" w:rsidRPr="00B75EC5">
          <w:rPr>
            <w:rStyle w:val="Hipercze"/>
            <w:rFonts w:ascii="Times New Roman" w:hAnsi="Times New Roman" w:cs="Times New Roman"/>
            <w:noProof/>
          </w:rPr>
          <w:t>w porównaniu do województwa i kraju w 2021 r.</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_Toc135896522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22</w:t>
        </w:r>
        <w:r w:rsidR="00B75EC5" w:rsidRPr="00B75EC5">
          <w:rPr>
            <w:rFonts w:ascii="Times New Roman" w:hAnsi="Times New Roman" w:cs="Times New Roman"/>
            <w:noProof/>
            <w:webHidden/>
          </w:rPr>
          <w:fldChar w:fldCharType="end"/>
        </w:r>
      </w:hyperlink>
    </w:p>
    <w:p w14:paraId="70DBF002" w14:textId="7EF0661C"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23" w:history="1">
        <w:r w:rsidR="00B75EC5" w:rsidRPr="00B75EC5">
          <w:rPr>
            <w:rStyle w:val="Hipercze"/>
            <w:rFonts w:ascii="Times New Roman" w:hAnsi="Times New Roman" w:cs="Times New Roman"/>
            <w:noProof/>
          </w:rPr>
          <w:t xml:space="preserve">Wykres 8 Udział w podatkach stanowiących dochody budżetu państwa – podatek dochodowy od osób fizycznych </w:t>
        </w:r>
        <w:r w:rsidR="00B75EC5">
          <w:rPr>
            <w:rStyle w:val="Hipercze"/>
            <w:rFonts w:ascii="Times New Roman" w:hAnsi="Times New Roman" w:cs="Times New Roman"/>
            <w:noProof/>
          </w:rPr>
          <w:br/>
        </w:r>
        <w:r w:rsidR="00B75EC5" w:rsidRPr="00B75EC5">
          <w:rPr>
            <w:rStyle w:val="Hipercze"/>
            <w:rFonts w:ascii="Times New Roman" w:hAnsi="Times New Roman" w:cs="Times New Roman"/>
            <w:noProof/>
          </w:rPr>
          <w:t>w przeliczeniu na 1 mieszkańca (zł) na obszarze LGD w porównaniu do województwa i kraju w 2021 r.</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_Toc135896523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25</w:t>
        </w:r>
        <w:r w:rsidR="00B75EC5" w:rsidRPr="00B75EC5">
          <w:rPr>
            <w:rFonts w:ascii="Times New Roman" w:hAnsi="Times New Roman" w:cs="Times New Roman"/>
            <w:noProof/>
            <w:webHidden/>
          </w:rPr>
          <w:fldChar w:fldCharType="end"/>
        </w:r>
      </w:hyperlink>
    </w:p>
    <w:p w14:paraId="40937630" w14:textId="40D13A86"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24" w:history="1">
        <w:r w:rsidR="00B75EC5" w:rsidRPr="00B75EC5">
          <w:rPr>
            <w:rStyle w:val="Hipercze"/>
            <w:rFonts w:ascii="Times New Roman" w:hAnsi="Times New Roman" w:cs="Times New Roman"/>
            <w:noProof/>
          </w:rPr>
          <w:t>Wykres 9 Udział osób korzystających ze środowiskowej pomocy społecznej w liczbie mieszkańców ogółem na obszarze LGD w porównaniu do województwa i kraju w 2020 r.</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_Toc135896524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26</w:t>
        </w:r>
        <w:r w:rsidR="00B75EC5" w:rsidRPr="00B75EC5">
          <w:rPr>
            <w:rFonts w:ascii="Times New Roman" w:hAnsi="Times New Roman" w:cs="Times New Roman"/>
            <w:noProof/>
            <w:webHidden/>
          </w:rPr>
          <w:fldChar w:fldCharType="end"/>
        </w:r>
      </w:hyperlink>
    </w:p>
    <w:p w14:paraId="7429D3D8" w14:textId="0C36EE6E"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25" w:history="1">
        <w:r w:rsidR="00B75EC5" w:rsidRPr="00B75EC5">
          <w:rPr>
            <w:rStyle w:val="Hipercze"/>
            <w:rFonts w:ascii="Times New Roman" w:hAnsi="Times New Roman" w:cs="Times New Roman"/>
            <w:noProof/>
          </w:rPr>
          <w:t>Wykres 10 Udział % korzystających z instalacji w ogóle ludności na obszarze LGD, w województwie oraz kraju  w 2020 r.</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_Toc135896525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28</w:t>
        </w:r>
        <w:r w:rsidR="00B75EC5" w:rsidRPr="00B75EC5">
          <w:rPr>
            <w:rFonts w:ascii="Times New Roman" w:hAnsi="Times New Roman" w:cs="Times New Roman"/>
            <w:noProof/>
            <w:webHidden/>
          </w:rPr>
          <w:fldChar w:fldCharType="end"/>
        </w:r>
      </w:hyperlink>
    </w:p>
    <w:p w14:paraId="613BD2E9" w14:textId="03B0FF75" w:rsidR="006639CB" w:rsidRPr="003B08A7" w:rsidRDefault="003B08A7" w:rsidP="00B75EC5">
      <w:pPr>
        <w:pStyle w:val="Spisilustracji"/>
        <w:tabs>
          <w:tab w:val="right" w:leader="dot" w:pos="10194"/>
        </w:tabs>
        <w:spacing w:line="276" w:lineRule="auto"/>
        <w:jc w:val="both"/>
      </w:pPr>
      <w:r w:rsidRPr="00B75EC5">
        <w:rPr>
          <w:rStyle w:val="Hipercze"/>
          <w:rFonts w:ascii="Times New Roman" w:hAnsi="Times New Roman" w:cs="Times New Roman"/>
          <w:noProof/>
        </w:rPr>
        <w:fldChar w:fldCharType="end"/>
      </w:r>
    </w:p>
    <w:p w14:paraId="45F2B7C0" w14:textId="77777777" w:rsidR="003B08A7" w:rsidRPr="00000148" w:rsidRDefault="003B08A7" w:rsidP="00B75EC5">
      <w:pPr>
        <w:pStyle w:val="Nagwek2"/>
        <w:spacing w:after="120"/>
        <w:ind w:firstLine="360"/>
        <w:rPr>
          <w:rFonts w:ascii="Times New Roman" w:hAnsi="Times New Roman" w:cs="Times New Roman"/>
          <w:b/>
          <w:bCs/>
          <w:color w:val="000000" w:themeColor="text1"/>
          <w:sz w:val="22"/>
          <w:szCs w:val="22"/>
        </w:rPr>
      </w:pPr>
      <w:bookmarkStart w:id="125" w:name="_Toc133484500"/>
      <w:bookmarkStart w:id="126" w:name="_Toc135896911"/>
      <w:bookmarkStart w:id="127" w:name="_Hlk134057526"/>
      <w:r w:rsidRPr="00000148">
        <w:rPr>
          <w:rFonts w:ascii="Times New Roman" w:hAnsi="Times New Roman" w:cs="Times New Roman"/>
          <w:b/>
          <w:bCs/>
          <w:color w:val="000000" w:themeColor="text1"/>
          <w:sz w:val="22"/>
          <w:szCs w:val="22"/>
        </w:rPr>
        <w:t>Spis tabel</w:t>
      </w:r>
      <w:bookmarkEnd w:id="125"/>
      <w:bookmarkEnd w:id="126"/>
    </w:p>
    <w:bookmarkEnd w:id="127"/>
    <w:p w14:paraId="5602FB29" w14:textId="2B408F31" w:rsidR="00B75EC5" w:rsidRPr="00B75EC5" w:rsidRDefault="003B08A7"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r w:rsidRPr="007C71D8">
        <w:rPr>
          <w:rFonts w:ascii="Times New Roman" w:hAnsi="Times New Roman" w:cs="Times New Roman"/>
        </w:rPr>
        <w:fldChar w:fldCharType="begin"/>
      </w:r>
      <w:r w:rsidRPr="007C71D8">
        <w:rPr>
          <w:rFonts w:ascii="Times New Roman" w:hAnsi="Times New Roman" w:cs="Times New Roman"/>
        </w:rPr>
        <w:instrText xml:space="preserve"> TOC \h \z \c "Tabela" </w:instrText>
      </w:r>
      <w:r w:rsidRPr="007C71D8">
        <w:rPr>
          <w:rFonts w:ascii="Times New Roman" w:hAnsi="Times New Roman" w:cs="Times New Roman"/>
        </w:rPr>
        <w:fldChar w:fldCharType="separate"/>
      </w:r>
      <w:hyperlink w:anchor="_Toc135896543" w:history="1">
        <w:r w:rsidR="00B75EC5" w:rsidRPr="00B75EC5">
          <w:rPr>
            <w:rStyle w:val="Hipercze"/>
            <w:rFonts w:ascii="Times New Roman" w:hAnsi="Times New Roman" w:cs="Times New Roman"/>
            <w:noProof/>
          </w:rPr>
          <w:t>Tabela 1 Podstawowe dane o gminach z obszaru Bialskopodlaska LGD</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_Toc135896543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9</w:t>
        </w:r>
        <w:r w:rsidR="00B75EC5" w:rsidRPr="00B75EC5">
          <w:rPr>
            <w:rFonts w:ascii="Times New Roman" w:hAnsi="Times New Roman" w:cs="Times New Roman"/>
            <w:noProof/>
            <w:webHidden/>
          </w:rPr>
          <w:fldChar w:fldCharType="end"/>
        </w:r>
      </w:hyperlink>
    </w:p>
    <w:p w14:paraId="4B6A403E" w14:textId="2D536DE4"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44" w:history="1">
        <w:r w:rsidR="00B75EC5" w:rsidRPr="00B75EC5">
          <w:rPr>
            <w:rStyle w:val="Hipercze"/>
            <w:rFonts w:ascii="Times New Roman" w:hAnsi="Times New Roman" w:cs="Times New Roman"/>
            <w:noProof/>
          </w:rPr>
          <w:t>Tabela 2 Ludność poszczególnych gmin LGD w 2020 r.</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_Toc135896544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17</w:t>
        </w:r>
        <w:r w:rsidR="00B75EC5" w:rsidRPr="00B75EC5">
          <w:rPr>
            <w:rFonts w:ascii="Times New Roman" w:hAnsi="Times New Roman" w:cs="Times New Roman"/>
            <w:noProof/>
            <w:webHidden/>
          </w:rPr>
          <w:fldChar w:fldCharType="end"/>
        </w:r>
      </w:hyperlink>
    </w:p>
    <w:p w14:paraId="462F5706" w14:textId="627B6473"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45" w:history="1">
        <w:r w:rsidR="00B75EC5" w:rsidRPr="00B75EC5">
          <w:rPr>
            <w:rStyle w:val="Hipercze"/>
            <w:rFonts w:ascii="Times New Roman" w:hAnsi="Times New Roman" w:cs="Times New Roman"/>
            <w:noProof/>
          </w:rPr>
          <w:t xml:space="preserve">Tabela 3 Wskaźniki gospodarcze dla średniej obszaru LGD w porównaniu do województwa i kraju w latach </w:t>
        </w:r>
        <w:r w:rsidR="00B75EC5">
          <w:rPr>
            <w:rStyle w:val="Hipercze"/>
            <w:rFonts w:ascii="Times New Roman" w:hAnsi="Times New Roman" w:cs="Times New Roman"/>
            <w:noProof/>
          </w:rPr>
          <w:br/>
        </w:r>
        <w:r w:rsidR="00B75EC5" w:rsidRPr="00B75EC5">
          <w:rPr>
            <w:rStyle w:val="Hipercze"/>
            <w:rFonts w:ascii="Times New Roman" w:hAnsi="Times New Roman" w:cs="Times New Roman"/>
            <w:noProof/>
          </w:rPr>
          <w:t>2016–2021</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_Toc135896545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20</w:t>
        </w:r>
        <w:r w:rsidR="00B75EC5" w:rsidRPr="00B75EC5">
          <w:rPr>
            <w:rFonts w:ascii="Times New Roman" w:hAnsi="Times New Roman" w:cs="Times New Roman"/>
            <w:noProof/>
            <w:webHidden/>
          </w:rPr>
          <w:fldChar w:fldCharType="end"/>
        </w:r>
      </w:hyperlink>
    </w:p>
    <w:p w14:paraId="212A6C7B" w14:textId="22DBC4D9"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46" w:history="1">
        <w:r w:rsidR="00B75EC5" w:rsidRPr="00B75EC5">
          <w:rPr>
            <w:rStyle w:val="Hipercze"/>
            <w:rFonts w:ascii="Times New Roman" w:hAnsi="Times New Roman" w:cs="Times New Roman"/>
            <w:noProof/>
          </w:rPr>
          <w:t>Tabela 4 Wskaźniki świadczące o kondycji przedsiębiorstw – porównanie średniej obszaru LGD do województwa i kraju w latach 2016–2021</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_Toc135896546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21</w:t>
        </w:r>
        <w:r w:rsidR="00B75EC5" w:rsidRPr="00B75EC5">
          <w:rPr>
            <w:rFonts w:ascii="Times New Roman" w:hAnsi="Times New Roman" w:cs="Times New Roman"/>
            <w:noProof/>
            <w:webHidden/>
          </w:rPr>
          <w:fldChar w:fldCharType="end"/>
        </w:r>
      </w:hyperlink>
    </w:p>
    <w:p w14:paraId="7390625A" w14:textId="6E0A278C"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47" w:history="1">
        <w:r w:rsidR="00B75EC5" w:rsidRPr="00B75EC5">
          <w:rPr>
            <w:rStyle w:val="Hipercze"/>
            <w:rFonts w:ascii="Times New Roman" w:hAnsi="Times New Roman" w:cs="Times New Roman"/>
            <w:noProof/>
          </w:rPr>
          <w:t xml:space="preserve">Tabela 5 Wskaźniki dotyczące przedsiębiorczości dla obszaru LGD oraz w porównaniu do województwa i kraju </w:t>
        </w:r>
        <w:r w:rsidR="00B75EC5">
          <w:rPr>
            <w:rStyle w:val="Hipercze"/>
            <w:rFonts w:ascii="Times New Roman" w:hAnsi="Times New Roman" w:cs="Times New Roman"/>
            <w:noProof/>
          </w:rPr>
          <w:br/>
        </w:r>
        <w:r w:rsidR="00B75EC5" w:rsidRPr="00B75EC5">
          <w:rPr>
            <w:rStyle w:val="Hipercze"/>
            <w:rFonts w:ascii="Times New Roman" w:hAnsi="Times New Roman" w:cs="Times New Roman"/>
            <w:noProof/>
          </w:rPr>
          <w:t>w roku 2016 i 2020</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_Toc135896547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21</w:t>
        </w:r>
        <w:r w:rsidR="00B75EC5" w:rsidRPr="00B75EC5">
          <w:rPr>
            <w:rFonts w:ascii="Times New Roman" w:hAnsi="Times New Roman" w:cs="Times New Roman"/>
            <w:noProof/>
            <w:webHidden/>
          </w:rPr>
          <w:fldChar w:fldCharType="end"/>
        </w:r>
      </w:hyperlink>
    </w:p>
    <w:p w14:paraId="051A1554" w14:textId="106AD8C1"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48" w:history="1">
        <w:r w:rsidR="00B75EC5" w:rsidRPr="00B75EC5">
          <w:rPr>
            <w:rStyle w:val="Hipercze"/>
            <w:rFonts w:ascii="Times New Roman" w:hAnsi="Times New Roman" w:cs="Times New Roman"/>
            <w:noProof/>
          </w:rPr>
          <w:t>Tabela 6 Udział długotrwale bezrobotnych w liczbie bezrobotnych ogółem na obszarze LGD, w województwie</w:t>
        </w:r>
        <w:r w:rsidR="00B75EC5">
          <w:rPr>
            <w:rStyle w:val="Hipercze"/>
            <w:rFonts w:ascii="Times New Roman" w:hAnsi="Times New Roman" w:cs="Times New Roman"/>
            <w:noProof/>
          </w:rPr>
          <w:br/>
        </w:r>
        <w:r w:rsidR="00B75EC5" w:rsidRPr="00B75EC5">
          <w:rPr>
            <w:rStyle w:val="Hipercze"/>
            <w:rFonts w:ascii="Times New Roman" w:hAnsi="Times New Roman" w:cs="Times New Roman"/>
            <w:noProof/>
          </w:rPr>
          <w:t xml:space="preserve"> i kraju w latach 2016–2021</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_Toc135896548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23</w:t>
        </w:r>
        <w:r w:rsidR="00B75EC5" w:rsidRPr="00B75EC5">
          <w:rPr>
            <w:rFonts w:ascii="Times New Roman" w:hAnsi="Times New Roman" w:cs="Times New Roman"/>
            <w:noProof/>
            <w:webHidden/>
          </w:rPr>
          <w:fldChar w:fldCharType="end"/>
        </w:r>
      </w:hyperlink>
    </w:p>
    <w:p w14:paraId="54B0EA17" w14:textId="3CDF8481"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49" w:history="1">
        <w:r w:rsidR="00B75EC5" w:rsidRPr="00B75EC5">
          <w:rPr>
            <w:rStyle w:val="Hipercze"/>
            <w:rFonts w:ascii="Times New Roman" w:hAnsi="Times New Roman" w:cs="Times New Roman"/>
            <w:noProof/>
          </w:rPr>
          <w:t>Tabela 7 Struktura gospodarstw rolnych na obszarze LGD w porównaniu do województwa i kraju w 2020 r.</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_Toc135896549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24</w:t>
        </w:r>
        <w:r w:rsidR="00B75EC5" w:rsidRPr="00B75EC5">
          <w:rPr>
            <w:rFonts w:ascii="Times New Roman" w:hAnsi="Times New Roman" w:cs="Times New Roman"/>
            <w:noProof/>
            <w:webHidden/>
          </w:rPr>
          <w:fldChar w:fldCharType="end"/>
        </w:r>
      </w:hyperlink>
    </w:p>
    <w:p w14:paraId="22116580" w14:textId="4E52C51D"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50" w:history="1">
        <w:r w:rsidR="00B75EC5" w:rsidRPr="00B75EC5">
          <w:rPr>
            <w:rStyle w:val="Hipercze"/>
            <w:rFonts w:ascii="Times New Roman" w:hAnsi="Times New Roman" w:cs="Times New Roman"/>
            <w:noProof/>
          </w:rPr>
          <w:t>Tabela 8 Średnie dochody ogółem i dochody własne na 1 mieszkańca (zł) – porównanie średniej obszaru LGD do województwa i kraju w latach 2016–2021</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_Toc135896550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25</w:t>
        </w:r>
        <w:r w:rsidR="00B75EC5" w:rsidRPr="00B75EC5">
          <w:rPr>
            <w:rFonts w:ascii="Times New Roman" w:hAnsi="Times New Roman" w:cs="Times New Roman"/>
            <w:noProof/>
            <w:webHidden/>
          </w:rPr>
          <w:fldChar w:fldCharType="end"/>
        </w:r>
      </w:hyperlink>
    </w:p>
    <w:p w14:paraId="106F9D9E" w14:textId="36FF56BC"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51" w:history="1">
        <w:r w:rsidR="00B75EC5" w:rsidRPr="00B75EC5">
          <w:rPr>
            <w:rStyle w:val="Hipercze"/>
            <w:rFonts w:ascii="Times New Roman" w:hAnsi="Times New Roman" w:cs="Times New Roman"/>
            <w:noProof/>
          </w:rPr>
          <w:t>Tabela 9 Wydatki majątkowe i wydatki bieżące na 1 mieszkańca (zł) – porównanie średniej obszaru LGD do województwa i kraju w latach 2016–2021</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_Toc135896551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25</w:t>
        </w:r>
        <w:r w:rsidR="00B75EC5" w:rsidRPr="00B75EC5">
          <w:rPr>
            <w:rFonts w:ascii="Times New Roman" w:hAnsi="Times New Roman" w:cs="Times New Roman"/>
            <w:noProof/>
            <w:webHidden/>
          </w:rPr>
          <w:fldChar w:fldCharType="end"/>
        </w:r>
      </w:hyperlink>
    </w:p>
    <w:p w14:paraId="24FE8021" w14:textId="22D7B6D7"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52" w:history="1">
        <w:r w:rsidR="00B75EC5" w:rsidRPr="00B75EC5">
          <w:rPr>
            <w:rStyle w:val="Hipercze"/>
            <w:rFonts w:ascii="Times New Roman" w:hAnsi="Times New Roman" w:cs="Times New Roman"/>
            <w:noProof/>
          </w:rPr>
          <w:t xml:space="preserve">Tabela 10 Gospodarstwa domowe korzystające ze środowiskowej pomocy społecznej wg kryterium dochodowego ogółem na 10 tys. mieszkańców – porównanie średniej obszaru LGD do województwa i kraju  w latach </w:t>
        </w:r>
        <w:r w:rsidR="00B75EC5">
          <w:rPr>
            <w:rStyle w:val="Hipercze"/>
            <w:rFonts w:ascii="Times New Roman" w:hAnsi="Times New Roman" w:cs="Times New Roman"/>
            <w:noProof/>
          </w:rPr>
          <w:br/>
        </w:r>
        <w:r w:rsidR="00B75EC5" w:rsidRPr="00B75EC5">
          <w:rPr>
            <w:rStyle w:val="Hipercze"/>
            <w:rFonts w:ascii="Times New Roman" w:hAnsi="Times New Roman" w:cs="Times New Roman"/>
            <w:noProof/>
          </w:rPr>
          <w:t>2016–2020</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_Toc135896552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27</w:t>
        </w:r>
        <w:r w:rsidR="00B75EC5" w:rsidRPr="00B75EC5">
          <w:rPr>
            <w:rFonts w:ascii="Times New Roman" w:hAnsi="Times New Roman" w:cs="Times New Roman"/>
            <w:noProof/>
            <w:webHidden/>
          </w:rPr>
          <w:fldChar w:fldCharType="end"/>
        </w:r>
      </w:hyperlink>
    </w:p>
    <w:p w14:paraId="528641A3" w14:textId="6B15A95E"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53" w:history="1">
        <w:r w:rsidR="00B75EC5" w:rsidRPr="00B75EC5">
          <w:rPr>
            <w:rStyle w:val="Hipercze"/>
            <w:rFonts w:ascii="Times New Roman" w:hAnsi="Times New Roman" w:cs="Times New Roman"/>
            <w:noProof/>
          </w:rPr>
          <w:t>Tabela 11 Rodziny otrzymujące zasiłki rodzinne na dzieci w przeliczeniu na 1 000 mieszkańców ogółem oraz udział  % dzieci w wieku do lat 17, na które rodzice otrzymują zasiłek rodzinny w ogólnej liczbie dzieci w tym wieku – porównanie średniej obszaru LGD do województwa i kraju w latach 2016–2020</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_Toc135896553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27</w:t>
        </w:r>
        <w:r w:rsidR="00B75EC5" w:rsidRPr="00B75EC5">
          <w:rPr>
            <w:rFonts w:ascii="Times New Roman" w:hAnsi="Times New Roman" w:cs="Times New Roman"/>
            <w:noProof/>
            <w:webHidden/>
          </w:rPr>
          <w:fldChar w:fldCharType="end"/>
        </w:r>
      </w:hyperlink>
    </w:p>
    <w:p w14:paraId="0390E748" w14:textId="5F267D83"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54" w:history="1">
        <w:r w:rsidR="00B75EC5" w:rsidRPr="00B75EC5">
          <w:rPr>
            <w:rStyle w:val="Hipercze"/>
            <w:rFonts w:ascii="Times New Roman" w:hAnsi="Times New Roman" w:cs="Times New Roman"/>
            <w:noProof/>
          </w:rPr>
          <w:t>Tabela 12 Udział dzieci objętych wychowaniem przedszkolnym w ogólnej liczbie dzieci w wieku 3–5 lat oraz liczba dzieci przypadająca na 1 placówkę wychowania przedszkolnego – porównanie średniej obszaru LGD do województwa i kraju w latach 2016–2021</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_Toc135896554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28</w:t>
        </w:r>
        <w:r w:rsidR="00B75EC5" w:rsidRPr="00B75EC5">
          <w:rPr>
            <w:rFonts w:ascii="Times New Roman" w:hAnsi="Times New Roman" w:cs="Times New Roman"/>
            <w:noProof/>
            <w:webHidden/>
          </w:rPr>
          <w:fldChar w:fldCharType="end"/>
        </w:r>
      </w:hyperlink>
    </w:p>
    <w:p w14:paraId="69055932" w14:textId="4880C268"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55" w:history="1">
        <w:r w:rsidR="00B75EC5" w:rsidRPr="00B75EC5">
          <w:rPr>
            <w:rStyle w:val="Hipercze"/>
            <w:rFonts w:ascii="Times New Roman" w:hAnsi="Times New Roman" w:cs="Times New Roman"/>
            <w:noProof/>
          </w:rPr>
          <w:t>Tabela 13 Współczynnik skolaryzacji brutto oraz liczba uczniów w przeliczeniu na 1 000 mieszkańców – porównanie średniej obszaru LGD do województwa i kraju w latach 2016–2020</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_Toc135896555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30</w:t>
        </w:r>
        <w:r w:rsidR="00B75EC5" w:rsidRPr="00B75EC5">
          <w:rPr>
            <w:rFonts w:ascii="Times New Roman" w:hAnsi="Times New Roman" w:cs="Times New Roman"/>
            <w:noProof/>
            <w:webHidden/>
          </w:rPr>
          <w:fldChar w:fldCharType="end"/>
        </w:r>
      </w:hyperlink>
    </w:p>
    <w:p w14:paraId="0D3BBB2B" w14:textId="69CEEA74"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56" w:history="1">
        <w:r w:rsidR="00B75EC5" w:rsidRPr="00B75EC5">
          <w:rPr>
            <w:rStyle w:val="Hipercze"/>
            <w:rFonts w:ascii="Times New Roman" w:hAnsi="Times New Roman" w:cs="Times New Roman"/>
            <w:noProof/>
          </w:rPr>
          <w:t>Tabela 14 Schemat analizy SWOT</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_Toc135896556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36</w:t>
        </w:r>
        <w:r w:rsidR="00B75EC5" w:rsidRPr="00B75EC5">
          <w:rPr>
            <w:rFonts w:ascii="Times New Roman" w:hAnsi="Times New Roman" w:cs="Times New Roman"/>
            <w:noProof/>
            <w:webHidden/>
          </w:rPr>
          <w:fldChar w:fldCharType="end"/>
        </w:r>
      </w:hyperlink>
    </w:p>
    <w:p w14:paraId="47881898" w14:textId="66336097"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57" w:history="1">
        <w:r w:rsidR="00B75EC5" w:rsidRPr="00B75EC5">
          <w:rPr>
            <w:rStyle w:val="Hipercze"/>
            <w:rFonts w:ascii="Times New Roman" w:hAnsi="Times New Roman" w:cs="Times New Roman"/>
            <w:noProof/>
          </w:rPr>
          <w:t>Tabela 15 Analiza SWOT</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_Toc135896557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36</w:t>
        </w:r>
        <w:r w:rsidR="00B75EC5" w:rsidRPr="00B75EC5">
          <w:rPr>
            <w:rFonts w:ascii="Times New Roman" w:hAnsi="Times New Roman" w:cs="Times New Roman"/>
            <w:noProof/>
            <w:webHidden/>
          </w:rPr>
          <w:fldChar w:fldCharType="end"/>
        </w:r>
      </w:hyperlink>
    </w:p>
    <w:p w14:paraId="4B244CFE" w14:textId="344434B8"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58" w:history="1">
        <w:r w:rsidR="00B75EC5" w:rsidRPr="00B75EC5">
          <w:rPr>
            <w:rStyle w:val="Hipercze"/>
            <w:rFonts w:ascii="Times New Roman" w:hAnsi="Times New Roman" w:cs="Times New Roman"/>
            <w:noProof/>
          </w:rPr>
          <w:t>Tabela 16 Zgodność celu LSR z innymi dokumentami strategicznymi</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_Toc135896558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42</w:t>
        </w:r>
        <w:r w:rsidR="00B75EC5" w:rsidRPr="00B75EC5">
          <w:rPr>
            <w:rFonts w:ascii="Times New Roman" w:hAnsi="Times New Roman" w:cs="Times New Roman"/>
            <w:noProof/>
            <w:webHidden/>
          </w:rPr>
          <w:fldChar w:fldCharType="end"/>
        </w:r>
      </w:hyperlink>
    </w:p>
    <w:p w14:paraId="4AAA9AF1" w14:textId="41FB949F" w:rsidR="00B75EC5" w:rsidRPr="00B75EC5" w:rsidRDefault="00000000" w:rsidP="00B75EC5">
      <w:pPr>
        <w:pStyle w:val="Spisilustracji"/>
        <w:tabs>
          <w:tab w:val="right" w:leader="dot" w:pos="10194"/>
        </w:tabs>
        <w:jc w:val="both"/>
        <w:rPr>
          <w:rFonts w:ascii="Times New Roman" w:eastAsiaTheme="minorEastAsia" w:hAnsi="Times New Roman" w:cs="Times New Roman"/>
          <w:noProof/>
          <w:kern w:val="2"/>
          <w:lang w:eastAsia="pl-PL"/>
          <w14:ligatures w14:val="standardContextual"/>
        </w:rPr>
      </w:pPr>
      <w:hyperlink w:anchor="_Toc135896559" w:history="1">
        <w:r w:rsidR="00B75EC5" w:rsidRPr="00B75EC5">
          <w:rPr>
            <w:rStyle w:val="Hipercze"/>
            <w:rFonts w:ascii="Times New Roman" w:hAnsi="Times New Roman" w:cs="Times New Roman"/>
            <w:noProof/>
          </w:rPr>
          <w:t>Tabela 17 Zgodność LSR z celami programu, z którego będzie ona finansowana</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_Toc135896559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44</w:t>
        </w:r>
        <w:r w:rsidR="00B75EC5" w:rsidRPr="00B75EC5">
          <w:rPr>
            <w:rFonts w:ascii="Times New Roman" w:hAnsi="Times New Roman" w:cs="Times New Roman"/>
            <w:noProof/>
            <w:webHidden/>
          </w:rPr>
          <w:fldChar w:fldCharType="end"/>
        </w:r>
      </w:hyperlink>
    </w:p>
    <w:p w14:paraId="0E06F442" w14:textId="3AD9BC88" w:rsidR="00B75EC5" w:rsidRDefault="00000000" w:rsidP="00B75EC5">
      <w:pPr>
        <w:pStyle w:val="Spisilustracji"/>
        <w:tabs>
          <w:tab w:val="right" w:leader="dot" w:pos="10194"/>
        </w:tabs>
        <w:jc w:val="both"/>
        <w:rPr>
          <w:rFonts w:eastAsiaTheme="minorEastAsia"/>
          <w:noProof/>
          <w:kern w:val="2"/>
          <w:lang w:eastAsia="pl-PL"/>
          <w14:ligatures w14:val="standardContextual"/>
        </w:rPr>
      </w:pPr>
      <w:hyperlink w:anchor="_Toc135896560" w:history="1">
        <w:r w:rsidR="00B75EC5" w:rsidRPr="00B75EC5">
          <w:rPr>
            <w:rStyle w:val="Hipercze"/>
            <w:rFonts w:ascii="Times New Roman" w:hAnsi="Times New Roman" w:cs="Times New Roman"/>
            <w:noProof/>
          </w:rPr>
          <w:t>Tabela 18 Przedsięwzięcia – powiązanie z analizą potrzeb, charakter, budżet, poziom dofinansowania, maks. i min. kwota, grupa docelowa i sposób realizacji (rozszerzona wersja analogicznej tabeli stanowiącej załącznik nr 1 do LSR)</w:t>
        </w:r>
        <w:r w:rsidR="00B75EC5" w:rsidRPr="00B75EC5">
          <w:rPr>
            <w:rFonts w:ascii="Times New Roman" w:hAnsi="Times New Roman" w:cs="Times New Roman"/>
            <w:noProof/>
            <w:webHidden/>
          </w:rPr>
          <w:tab/>
        </w:r>
        <w:r w:rsidR="00B75EC5" w:rsidRPr="00B75EC5">
          <w:rPr>
            <w:rFonts w:ascii="Times New Roman" w:hAnsi="Times New Roman" w:cs="Times New Roman"/>
            <w:noProof/>
            <w:webHidden/>
          </w:rPr>
          <w:fldChar w:fldCharType="begin"/>
        </w:r>
        <w:r w:rsidR="00B75EC5" w:rsidRPr="00B75EC5">
          <w:rPr>
            <w:rFonts w:ascii="Times New Roman" w:hAnsi="Times New Roman" w:cs="Times New Roman"/>
            <w:noProof/>
            <w:webHidden/>
          </w:rPr>
          <w:instrText xml:space="preserve"> PAGEREF _Toc135896560 \h </w:instrText>
        </w:r>
        <w:r w:rsidR="00B75EC5" w:rsidRPr="00B75EC5">
          <w:rPr>
            <w:rFonts w:ascii="Times New Roman" w:hAnsi="Times New Roman" w:cs="Times New Roman"/>
            <w:noProof/>
            <w:webHidden/>
          </w:rPr>
        </w:r>
        <w:r w:rsidR="00B75EC5" w:rsidRPr="00B75EC5">
          <w:rPr>
            <w:rFonts w:ascii="Times New Roman" w:hAnsi="Times New Roman" w:cs="Times New Roman"/>
            <w:noProof/>
            <w:webHidden/>
          </w:rPr>
          <w:fldChar w:fldCharType="separate"/>
        </w:r>
        <w:r w:rsidR="00B75EC5" w:rsidRPr="00B75EC5">
          <w:rPr>
            <w:rFonts w:ascii="Times New Roman" w:hAnsi="Times New Roman" w:cs="Times New Roman"/>
            <w:noProof/>
            <w:webHidden/>
          </w:rPr>
          <w:t>52</w:t>
        </w:r>
        <w:r w:rsidR="00B75EC5" w:rsidRPr="00B75EC5">
          <w:rPr>
            <w:rFonts w:ascii="Times New Roman" w:hAnsi="Times New Roman" w:cs="Times New Roman"/>
            <w:noProof/>
            <w:webHidden/>
          </w:rPr>
          <w:fldChar w:fldCharType="end"/>
        </w:r>
      </w:hyperlink>
    </w:p>
    <w:p w14:paraId="1105117B" w14:textId="3BD54040" w:rsidR="006639CB" w:rsidRDefault="003B08A7" w:rsidP="00B75EC5">
      <w:pPr>
        <w:pStyle w:val="Gwne"/>
        <w:numPr>
          <w:ilvl w:val="0"/>
          <w:numId w:val="0"/>
        </w:numPr>
        <w:spacing w:after="0"/>
        <w:ind w:left="360" w:hanging="360"/>
      </w:pPr>
      <w:r w:rsidRPr="007C71D8">
        <w:rPr>
          <w:b w:val="0"/>
          <w:bCs w:val="0"/>
          <w:sz w:val="22"/>
          <w:szCs w:val="22"/>
        </w:rPr>
        <w:fldChar w:fldCharType="end"/>
      </w:r>
    </w:p>
    <w:p w14:paraId="76704737" w14:textId="24404B03" w:rsidR="004F3B7A" w:rsidRPr="00000148" w:rsidRDefault="004F3B7A" w:rsidP="00B75EC5">
      <w:pPr>
        <w:pStyle w:val="Nagwek2"/>
        <w:spacing w:before="0"/>
        <w:ind w:firstLine="360"/>
        <w:rPr>
          <w:rFonts w:ascii="Times New Roman" w:hAnsi="Times New Roman" w:cs="Times New Roman"/>
          <w:b/>
          <w:bCs/>
          <w:color w:val="000000" w:themeColor="text1"/>
          <w:sz w:val="22"/>
          <w:szCs w:val="22"/>
        </w:rPr>
      </w:pPr>
      <w:bookmarkStart w:id="128" w:name="_Toc133484501"/>
      <w:bookmarkStart w:id="129" w:name="_Toc135896912"/>
      <w:bookmarkStart w:id="130" w:name="_Hlk134057629"/>
      <w:r w:rsidRPr="00000148">
        <w:rPr>
          <w:rFonts w:ascii="Times New Roman" w:hAnsi="Times New Roman" w:cs="Times New Roman"/>
          <w:b/>
          <w:bCs/>
          <w:color w:val="000000" w:themeColor="text1"/>
          <w:sz w:val="22"/>
          <w:szCs w:val="22"/>
        </w:rPr>
        <w:t>Wykaz wykorzystanej literatury</w:t>
      </w:r>
      <w:bookmarkEnd w:id="128"/>
      <w:bookmarkEnd w:id="129"/>
      <w:r w:rsidRPr="00000148">
        <w:rPr>
          <w:rFonts w:ascii="Times New Roman" w:hAnsi="Times New Roman" w:cs="Times New Roman"/>
          <w:b/>
          <w:bCs/>
          <w:color w:val="000000" w:themeColor="text1"/>
          <w:sz w:val="22"/>
          <w:szCs w:val="22"/>
        </w:rPr>
        <w:t xml:space="preserve"> </w:t>
      </w:r>
    </w:p>
    <w:p w14:paraId="315231B4" w14:textId="518A7CA5" w:rsidR="004F3B7A" w:rsidRDefault="004F3B7A" w:rsidP="00B75EC5">
      <w:pPr>
        <w:pStyle w:val="Akapitzlist"/>
        <w:numPr>
          <w:ilvl w:val="1"/>
          <w:numId w:val="32"/>
        </w:numPr>
        <w:spacing w:after="0" w:line="276" w:lineRule="auto"/>
        <w:ind w:left="851"/>
        <w:jc w:val="both"/>
        <w:rPr>
          <w:rFonts w:ascii="Times New Roman" w:hAnsi="Times New Roman" w:cs="Times New Roman"/>
        </w:rPr>
      </w:pPr>
      <w:r w:rsidRPr="002D51B3">
        <w:rPr>
          <w:rFonts w:ascii="Times New Roman" w:hAnsi="Times New Roman" w:cs="Times New Roman"/>
          <w:i/>
          <w:iCs/>
        </w:rPr>
        <w:t>Plan Strategiczny dla Wspólnej Polityki Rolnej na lata 2023</w:t>
      </w:r>
      <w:r w:rsidR="001E060A">
        <w:rPr>
          <w:rFonts w:ascii="Times New Roman" w:hAnsi="Times New Roman" w:cs="Times New Roman"/>
          <w:i/>
          <w:iCs/>
        </w:rPr>
        <w:t>–</w:t>
      </w:r>
      <w:r w:rsidRPr="002D51B3">
        <w:rPr>
          <w:rFonts w:ascii="Times New Roman" w:hAnsi="Times New Roman" w:cs="Times New Roman"/>
          <w:i/>
          <w:iCs/>
        </w:rPr>
        <w:t xml:space="preserve">2027 </w:t>
      </w:r>
      <w:r w:rsidRPr="002D51B3">
        <w:rPr>
          <w:rFonts w:ascii="Times New Roman" w:hAnsi="Times New Roman" w:cs="Times New Roman"/>
        </w:rPr>
        <w:t>zatwierdzony przez komisję Europejską w dniu 31.08.2022 r.;</w:t>
      </w:r>
    </w:p>
    <w:p w14:paraId="3949854B" w14:textId="48DC9584" w:rsidR="004F3B7A" w:rsidRPr="002D51B3" w:rsidRDefault="004F3B7A" w:rsidP="00B75EC5">
      <w:pPr>
        <w:pStyle w:val="Akapitzlist"/>
        <w:numPr>
          <w:ilvl w:val="1"/>
          <w:numId w:val="32"/>
        </w:numPr>
        <w:spacing w:after="0" w:line="276" w:lineRule="auto"/>
        <w:ind w:left="851"/>
        <w:jc w:val="both"/>
        <w:rPr>
          <w:rFonts w:ascii="Times New Roman" w:hAnsi="Times New Roman" w:cs="Times New Roman"/>
          <w:i/>
          <w:iCs/>
        </w:rPr>
      </w:pPr>
      <w:r w:rsidRPr="002D51B3">
        <w:rPr>
          <w:rFonts w:ascii="Times New Roman" w:hAnsi="Times New Roman" w:cs="Times New Roman"/>
          <w:i/>
          <w:iCs/>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w:t>
      </w:r>
      <w:r w:rsidR="00B800C0">
        <w:rPr>
          <w:rFonts w:ascii="Times New Roman" w:hAnsi="Times New Roman" w:cs="Times New Roman"/>
          <w:i/>
          <w:iCs/>
        </w:rPr>
        <w:br/>
      </w:r>
      <w:r w:rsidRPr="002D51B3">
        <w:rPr>
          <w:rFonts w:ascii="Times New Roman" w:hAnsi="Times New Roman" w:cs="Times New Roman"/>
          <w:i/>
          <w:iCs/>
        </w:rPr>
        <w:t xml:space="preserve"> i Polityki Wizowej</w:t>
      </w:r>
      <w:r w:rsidRPr="002D51B3">
        <w:rPr>
          <w:rFonts w:ascii="Times New Roman" w:hAnsi="Times New Roman" w:cs="Times New Roman"/>
        </w:rPr>
        <w:t>;</w:t>
      </w:r>
    </w:p>
    <w:p w14:paraId="548B6799" w14:textId="078DFDE3" w:rsidR="004F3B7A" w:rsidRDefault="004F3B7A" w:rsidP="004F3B7A">
      <w:pPr>
        <w:pStyle w:val="Akapitzlist"/>
        <w:numPr>
          <w:ilvl w:val="1"/>
          <w:numId w:val="32"/>
        </w:numPr>
        <w:spacing w:before="240" w:line="276" w:lineRule="auto"/>
        <w:ind w:left="851"/>
        <w:jc w:val="both"/>
        <w:rPr>
          <w:rFonts w:ascii="Times New Roman" w:hAnsi="Times New Roman" w:cs="Times New Roman"/>
          <w:i/>
          <w:iCs/>
        </w:rPr>
      </w:pPr>
      <w:r w:rsidRPr="002D51B3">
        <w:rPr>
          <w:rFonts w:ascii="Times New Roman" w:hAnsi="Times New Roman" w:cs="Times New Roman"/>
          <w:i/>
          <w:iC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312368C" w14:textId="71A8F76D" w:rsidR="004F3B7A" w:rsidRPr="002D51B3" w:rsidRDefault="004F3B7A" w:rsidP="004F3B7A">
      <w:pPr>
        <w:pStyle w:val="Akapitzlist"/>
        <w:numPr>
          <w:ilvl w:val="1"/>
          <w:numId w:val="32"/>
        </w:numPr>
        <w:spacing w:before="240" w:line="276" w:lineRule="auto"/>
        <w:ind w:left="851"/>
        <w:jc w:val="both"/>
        <w:rPr>
          <w:rFonts w:ascii="Times New Roman" w:hAnsi="Times New Roman" w:cs="Times New Roman"/>
        </w:rPr>
      </w:pPr>
      <w:r w:rsidRPr="002D51B3">
        <w:rPr>
          <w:rFonts w:ascii="Times New Roman" w:hAnsi="Times New Roman" w:cs="Times New Roman"/>
          <w:i/>
          <w:iCs/>
        </w:rPr>
        <w:t>Rozporządzenie Parlamentu Europejskiego i Rady (UE) nr 1305/2013 z dnia 17 grudnia 2013 r. w sprawie wsparcia rozwoju obszarów wiejskich przez Europejski Fundusz Rolny na rzecz Rozwoju Obszarów Wiejskich (EFRROW) i uchylające rozporządzenie Rady (WE) nr 1698/2005</w:t>
      </w:r>
      <w:r w:rsidR="001E060A">
        <w:rPr>
          <w:rFonts w:ascii="Times New Roman" w:hAnsi="Times New Roman" w:cs="Times New Roman"/>
          <w:i/>
          <w:iCs/>
        </w:rPr>
        <w:t>;</w:t>
      </w:r>
    </w:p>
    <w:p w14:paraId="6CC343CA" w14:textId="77777777" w:rsidR="004F3B7A" w:rsidRDefault="004F3B7A" w:rsidP="004F3B7A">
      <w:pPr>
        <w:pStyle w:val="Akapitzlist"/>
        <w:numPr>
          <w:ilvl w:val="1"/>
          <w:numId w:val="32"/>
        </w:numPr>
        <w:spacing w:before="240" w:line="276" w:lineRule="auto"/>
        <w:ind w:left="851"/>
        <w:jc w:val="both"/>
        <w:rPr>
          <w:rFonts w:ascii="Times New Roman" w:hAnsi="Times New Roman" w:cs="Times New Roman"/>
        </w:rPr>
      </w:pPr>
      <w:r w:rsidRPr="002D51B3">
        <w:rPr>
          <w:rFonts w:ascii="Times New Roman" w:hAnsi="Times New Roman" w:cs="Times New Roman"/>
          <w:i/>
          <w:iCs/>
        </w:rPr>
        <w:t>Ustaw</w:t>
      </w:r>
      <w:r>
        <w:rPr>
          <w:rFonts w:ascii="Times New Roman" w:hAnsi="Times New Roman" w:cs="Times New Roman"/>
          <w:i/>
          <w:iCs/>
        </w:rPr>
        <w:t>a</w:t>
      </w:r>
      <w:r w:rsidRPr="002D51B3">
        <w:rPr>
          <w:rFonts w:ascii="Times New Roman" w:hAnsi="Times New Roman" w:cs="Times New Roman"/>
          <w:i/>
          <w:iCs/>
        </w:rPr>
        <w:t xml:space="preserve"> z dnia 20 lutego 2015 r. o rozwoju lokalnym z udziałem lokalnej społeczności</w:t>
      </w:r>
      <w:r w:rsidRPr="002D51B3">
        <w:rPr>
          <w:rFonts w:ascii="Times New Roman" w:hAnsi="Times New Roman" w:cs="Times New Roman"/>
        </w:rPr>
        <w:t xml:space="preserve"> (Dz. U. z 2022 r. poz. 943 z późn. zm.);</w:t>
      </w:r>
    </w:p>
    <w:p w14:paraId="1A0C9FAA" w14:textId="77777777" w:rsidR="004F3B7A" w:rsidRDefault="004F3B7A" w:rsidP="004F3B7A">
      <w:pPr>
        <w:pStyle w:val="Akapitzlist"/>
        <w:numPr>
          <w:ilvl w:val="1"/>
          <w:numId w:val="32"/>
        </w:numPr>
        <w:spacing w:before="240" w:line="276" w:lineRule="auto"/>
        <w:ind w:left="851"/>
        <w:jc w:val="both"/>
        <w:rPr>
          <w:rFonts w:ascii="Times New Roman" w:hAnsi="Times New Roman" w:cs="Times New Roman"/>
        </w:rPr>
      </w:pPr>
      <w:r w:rsidRPr="002D51B3">
        <w:rPr>
          <w:rFonts w:ascii="Times New Roman" w:hAnsi="Times New Roman" w:cs="Times New Roman"/>
          <w:i/>
          <w:iCs/>
        </w:rPr>
        <w:t>Ustaw</w:t>
      </w:r>
      <w:r>
        <w:rPr>
          <w:rFonts w:ascii="Times New Roman" w:hAnsi="Times New Roman" w:cs="Times New Roman"/>
          <w:i/>
          <w:iCs/>
        </w:rPr>
        <w:t>a</w:t>
      </w:r>
      <w:r w:rsidRPr="002D51B3">
        <w:rPr>
          <w:rFonts w:ascii="Times New Roman" w:hAnsi="Times New Roman" w:cs="Times New Roman"/>
          <w:i/>
          <w:iCs/>
        </w:rPr>
        <w:t xml:space="preserve"> z dnia 7 kwietnia 1989 r. Prawo o stowarzyszeniach</w:t>
      </w:r>
      <w:r w:rsidRPr="002D51B3">
        <w:rPr>
          <w:rFonts w:ascii="Times New Roman" w:hAnsi="Times New Roman" w:cs="Times New Roman"/>
        </w:rPr>
        <w:t xml:space="preserve"> (Dz. U. z 2020 r. poz. 2261);</w:t>
      </w:r>
    </w:p>
    <w:p w14:paraId="7155E9F0" w14:textId="7A28F320" w:rsidR="004F3B7A" w:rsidRDefault="004F3B7A" w:rsidP="004F3B7A">
      <w:pPr>
        <w:pStyle w:val="Akapitzlist"/>
        <w:numPr>
          <w:ilvl w:val="1"/>
          <w:numId w:val="32"/>
        </w:numPr>
        <w:spacing w:before="240" w:line="276" w:lineRule="auto"/>
        <w:ind w:left="851"/>
        <w:jc w:val="both"/>
        <w:rPr>
          <w:rFonts w:ascii="Times New Roman" w:hAnsi="Times New Roman" w:cs="Times New Roman"/>
        </w:rPr>
      </w:pPr>
      <w:r w:rsidRPr="002D51B3">
        <w:rPr>
          <w:rFonts w:ascii="Times New Roman" w:hAnsi="Times New Roman" w:cs="Times New Roman"/>
          <w:i/>
          <w:iCs/>
        </w:rPr>
        <w:t>Ustaw</w:t>
      </w:r>
      <w:r>
        <w:rPr>
          <w:rFonts w:ascii="Times New Roman" w:hAnsi="Times New Roman" w:cs="Times New Roman"/>
          <w:i/>
          <w:iCs/>
        </w:rPr>
        <w:t>a</w:t>
      </w:r>
      <w:r w:rsidRPr="002D51B3">
        <w:rPr>
          <w:rFonts w:ascii="Times New Roman" w:hAnsi="Times New Roman" w:cs="Times New Roman"/>
          <w:i/>
          <w:iCs/>
        </w:rPr>
        <w:t xml:space="preserve"> z dnia 20 lutego 2015 r. o wspieraniu rozwoju obszarów wiejskich z udziałem środków Europejskiego Funduszu Rolnego na rzecz Rozwoju Obszarów Wiejskich w ramach Programu Rozwoju Obszarów Wiejskich na lata 2014</w:t>
      </w:r>
      <w:r w:rsidR="001E060A">
        <w:rPr>
          <w:rFonts w:ascii="Times New Roman" w:hAnsi="Times New Roman" w:cs="Times New Roman"/>
          <w:i/>
          <w:iCs/>
        </w:rPr>
        <w:t>–</w:t>
      </w:r>
      <w:r w:rsidRPr="002D51B3">
        <w:rPr>
          <w:rFonts w:ascii="Times New Roman" w:hAnsi="Times New Roman" w:cs="Times New Roman"/>
          <w:i/>
          <w:iCs/>
        </w:rPr>
        <w:t>2020</w:t>
      </w:r>
      <w:r w:rsidRPr="002D51B3">
        <w:rPr>
          <w:rFonts w:ascii="Times New Roman" w:hAnsi="Times New Roman" w:cs="Times New Roman"/>
        </w:rPr>
        <w:t xml:space="preserve"> (Dz. U. z 2022 r. poz. 2422 z późn. zm.);</w:t>
      </w:r>
    </w:p>
    <w:p w14:paraId="07FC8A56" w14:textId="53C7D601" w:rsidR="004F3B7A" w:rsidRDefault="004F3B7A" w:rsidP="004F3B7A">
      <w:pPr>
        <w:pStyle w:val="Akapitzlist"/>
        <w:numPr>
          <w:ilvl w:val="1"/>
          <w:numId w:val="32"/>
        </w:numPr>
        <w:spacing w:before="240" w:line="276" w:lineRule="auto"/>
        <w:ind w:left="851"/>
        <w:jc w:val="both"/>
        <w:rPr>
          <w:rFonts w:ascii="Times New Roman" w:hAnsi="Times New Roman" w:cs="Times New Roman"/>
        </w:rPr>
      </w:pPr>
      <w:r w:rsidRPr="0066495C">
        <w:rPr>
          <w:rFonts w:ascii="Times New Roman" w:hAnsi="Times New Roman" w:cs="Times New Roman"/>
          <w:i/>
          <w:iCs/>
        </w:rPr>
        <w:t>Strategia Rozwoju Lokalnego Kierowanego przez Społeczność</w:t>
      </w:r>
      <w:r>
        <w:rPr>
          <w:rFonts w:ascii="Times New Roman" w:hAnsi="Times New Roman" w:cs="Times New Roman"/>
          <w:i/>
          <w:iCs/>
        </w:rPr>
        <w:t xml:space="preserve"> </w:t>
      </w:r>
      <w:r w:rsidRPr="0066495C">
        <w:rPr>
          <w:rFonts w:ascii="Times New Roman" w:hAnsi="Times New Roman" w:cs="Times New Roman"/>
          <w:i/>
          <w:iCs/>
        </w:rPr>
        <w:t>na lata 20</w:t>
      </w:r>
      <w:r>
        <w:rPr>
          <w:rFonts w:ascii="Times New Roman" w:hAnsi="Times New Roman" w:cs="Times New Roman"/>
          <w:i/>
          <w:iCs/>
        </w:rPr>
        <w:t>14</w:t>
      </w:r>
      <w:r w:rsidRPr="0066495C">
        <w:rPr>
          <w:rFonts w:ascii="Times New Roman" w:hAnsi="Times New Roman" w:cs="Times New Roman"/>
          <w:i/>
          <w:iCs/>
        </w:rPr>
        <w:t>–20</w:t>
      </w:r>
      <w:r>
        <w:rPr>
          <w:rFonts w:ascii="Times New Roman" w:hAnsi="Times New Roman" w:cs="Times New Roman"/>
          <w:i/>
          <w:iCs/>
        </w:rPr>
        <w:t>20</w:t>
      </w:r>
      <w:r w:rsidRPr="0066495C">
        <w:rPr>
          <w:rFonts w:ascii="Times New Roman" w:hAnsi="Times New Roman" w:cs="Times New Roman"/>
          <w:i/>
          <w:iCs/>
        </w:rPr>
        <w:t xml:space="preserve"> dla</w:t>
      </w:r>
      <w:r w:rsidR="0068213B">
        <w:rPr>
          <w:rFonts w:ascii="Times New Roman" w:hAnsi="Times New Roman" w:cs="Times New Roman"/>
          <w:i/>
          <w:iCs/>
        </w:rPr>
        <w:t xml:space="preserve"> Bialskopodlaskiej</w:t>
      </w:r>
      <w:r w:rsidRPr="0066495C">
        <w:rPr>
          <w:rFonts w:ascii="Times New Roman" w:hAnsi="Times New Roman" w:cs="Times New Roman"/>
          <w:i/>
          <w:iCs/>
        </w:rPr>
        <w:t xml:space="preserve"> Lokalnej Grupy Działania</w:t>
      </w:r>
      <w:r w:rsidRPr="0066495C">
        <w:rPr>
          <w:rFonts w:ascii="Times New Roman" w:hAnsi="Times New Roman" w:cs="Times New Roman"/>
        </w:rPr>
        <w:t xml:space="preserve">, </w:t>
      </w:r>
      <w:r w:rsidR="0068213B">
        <w:rPr>
          <w:rFonts w:ascii="Times New Roman" w:hAnsi="Times New Roman" w:cs="Times New Roman"/>
        </w:rPr>
        <w:t>Leśna Podlaska</w:t>
      </w:r>
      <w:r w:rsidRPr="0066495C">
        <w:rPr>
          <w:rFonts w:ascii="Times New Roman" w:hAnsi="Times New Roman" w:cs="Times New Roman"/>
        </w:rPr>
        <w:t xml:space="preserve"> 20</w:t>
      </w:r>
      <w:r>
        <w:rPr>
          <w:rFonts w:ascii="Times New Roman" w:hAnsi="Times New Roman" w:cs="Times New Roman"/>
        </w:rPr>
        <w:t>15;</w:t>
      </w:r>
    </w:p>
    <w:p w14:paraId="7E53B950" w14:textId="77777777" w:rsidR="004F3B7A" w:rsidRPr="0066495C" w:rsidRDefault="004F3B7A" w:rsidP="004F3B7A">
      <w:pPr>
        <w:pStyle w:val="Akapitzlist"/>
        <w:numPr>
          <w:ilvl w:val="1"/>
          <w:numId w:val="32"/>
        </w:numPr>
        <w:spacing w:before="240" w:line="276" w:lineRule="auto"/>
        <w:ind w:left="851"/>
        <w:jc w:val="both"/>
        <w:rPr>
          <w:rFonts w:ascii="Times New Roman" w:hAnsi="Times New Roman" w:cs="Times New Roman"/>
        </w:rPr>
      </w:pPr>
      <w:r w:rsidRPr="0066495C">
        <w:rPr>
          <w:rFonts w:ascii="Times New Roman" w:hAnsi="Times New Roman" w:cs="Times New Roman"/>
          <w:i/>
          <w:iCs/>
        </w:rPr>
        <w:t>Ustawa z dnia 13 listopada 2003 r. o dochodach jednostek samorządu terytorialnego</w:t>
      </w:r>
      <w:r w:rsidRPr="0066495C">
        <w:rPr>
          <w:rFonts w:ascii="Times New Roman" w:hAnsi="Times New Roman" w:cs="Times New Roman"/>
        </w:rPr>
        <w:t xml:space="preserve"> (Dz.U. z 2022 r. poz. 2267)</w:t>
      </w:r>
      <w:r>
        <w:rPr>
          <w:rFonts w:ascii="Times New Roman" w:hAnsi="Times New Roman" w:cs="Times New Roman"/>
        </w:rPr>
        <w:t>;</w:t>
      </w:r>
    </w:p>
    <w:p w14:paraId="2B5AFACC" w14:textId="243AEC83" w:rsidR="0068213B" w:rsidRPr="0068213B" w:rsidRDefault="004F3B7A" w:rsidP="0068213B">
      <w:pPr>
        <w:pStyle w:val="Akapitzlist"/>
        <w:numPr>
          <w:ilvl w:val="1"/>
          <w:numId w:val="32"/>
        </w:numPr>
        <w:spacing w:before="240" w:line="276" w:lineRule="auto"/>
        <w:ind w:left="851"/>
        <w:jc w:val="both"/>
        <w:rPr>
          <w:rFonts w:ascii="Times New Roman" w:hAnsi="Times New Roman" w:cs="Times New Roman"/>
        </w:rPr>
      </w:pPr>
      <w:r w:rsidRPr="0066495C">
        <w:rPr>
          <w:rFonts w:ascii="Times New Roman" w:hAnsi="Times New Roman" w:cs="Times New Roman"/>
          <w:i/>
          <w:iCs/>
        </w:rPr>
        <w:t xml:space="preserve">Plan Zagospodarowania Przestrzennego Województwa </w:t>
      </w:r>
      <w:r w:rsidR="0068213B">
        <w:rPr>
          <w:rFonts w:ascii="Times New Roman" w:hAnsi="Times New Roman" w:cs="Times New Roman"/>
          <w:i/>
          <w:iCs/>
        </w:rPr>
        <w:t>Lubelskiego</w:t>
      </w:r>
      <w:r w:rsidRPr="0066495C">
        <w:rPr>
          <w:rFonts w:ascii="Times New Roman" w:hAnsi="Times New Roman" w:cs="Times New Roman"/>
        </w:rPr>
        <w:t xml:space="preserve"> </w:t>
      </w:r>
      <w:r w:rsidR="0068213B">
        <w:rPr>
          <w:rFonts w:ascii="Times New Roman" w:hAnsi="Times New Roman" w:cs="Times New Roman"/>
        </w:rPr>
        <w:t xml:space="preserve">– </w:t>
      </w:r>
      <w:r w:rsidR="0068213B" w:rsidRPr="0068213B">
        <w:rPr>
          <w:rFonts w:ascii="Times New Roman" w:hAnsi="Times New Roman" w:cs="Times New Roman"/>
        </w:rPr>
        <w:t>Z</w:t>
      </w:r>
      <w:r w:rsidR="0068213B" w:rsidRPr="0068213B">
        <w:rPr>
          <w:rStyle w:val="markedcontent"/>
          <w:rFonts w:ascii="Times New Roman" w:hAnsi="Times New Roman" w:cs="Times New Roman"/>
        </w:rPr>
        <w:t>ałącznik Nr 1 do Uchwały Nr XI/162/2015 Sejmiku Województwa Lubelskiego z dnia 30 października 2015 r.</w:t>
      </w:r>
      <w:r w:rsidR="001E060A">
        <w:rPr>
          <w:rStyle w:val="markedcontent"/>
          <w:rFonts w:ascii="Times New Roman" w:hAnsi="Times New Roman" w:cs="Times New Roman"/>
        </w:rPr>
        <w:t>;</w:t>
      </w:r>
    </w:p>
    <w:p w14:paraId="302FD8A2" w14:textId="10040D70" w:rsidR="004F3B7A" w:rsidRPr="0066495C" w:rsidRDefault="004F3B7A" w:rsidP="004F3B7A">
      <w:pPr>
        <w:pStyle w:val="Akapitzlist"/>
        <w:numPr>
          <w:ilvl w:val="1"/>
          <w:numId w:val="32"/>
        </w:numPr>
        <w:spacing w:before="240" w:line="276" w:lineRule="auto"/>
        <w:ind w:left="851"/>
        <w:jc w:val="both"/>
        <w:rPr>
          <w:rFonts w:ascii="Times New Roman" w:hAnsi="Times New Roman" w:cs="Times New Roman"/>
        </w:rPr>
      </w:pPr>
      <w:r w:rsidRPr="0066495C">
        <w:rPr>
          <w:rFonts w:ascii="Times New Roman" w:hAnsi="Times New Roman" w:cs="Times New Roman"/>
          <w:i/>
          <w:iCs/>
        </w:rPr>
        <w:t xml:space="preserve">Strategia Rozwoju Województwa </w:t>
      </w:r>
      <w:r w:rsidR="0068213B">
        <w:rPr>
          <w:rFonts w:ascii="Times New Roman" w:hAnsi="Times New Roman" w:cs="Times New Roman"/>
          <w:i/>
          <w:iCs/>
        </w:rPr>
        <w:t>Lubelskiego</w:t>
      </w:r>
      <w:r w:rsidR="0098161B">
        <w:rPr>
          <w:rFonts w:ascii="Times New Roman" w:hAnsi="Times New Roman" w:cs="Times New Roman"/>
          <w:i/>
          <w:iCs/>
        </w:rPr>
        <w:t xml:space="preserve"> do roku</w:t>
      </w:r>
      <w:r w:rsidRPr="0066495C">
        <w:rPr>
          <w:rFonts w:ascii="Times New Roman" w:hAnsi="Times New Roman" w:cs="Times New Roman"/>
          <w:i/>
          <w:iCs/>
        </w:rPr>
        <w:t xml:space="preserve"> 2030</w:t>
      </w:r>
      <w:r w:rsidRPr="0066495C">
        <w:rPr>
          <w:rFonts w:ascii="Times New Roman" w:hAnsi="Times New Roman" w:cs="Times New Roman"/>
        </w:rPr>
        <w:t xml:space="preserve"> </w:t>
      </w:r>
      <w:r w:rsidR="0098161B">
        <w:rPr>
          <w:rFonts w:ascii="Times New Roman" w:hAnsi="Times New Roman" w:cs="Times New Roman"/>
        </w:rPr>
        <w:t>–</w:t>
      </w:r>
      <w:r w:rsidRPr="0066495C">
        <w:rPr>
          <w:rFonts w:ascii="Times New Roman" w:hAnsi="Times New Roman" w:cs="Times New Roman"/>
        </w:rPr>
        <w:t xml:space="preserve"> Załącznik do uchwały nr XX</w:t>
      </w:r>
      <w:r w:rsidR="0098161B">
        <w:rPr>
          <w:rFonts w:ascii="Times New Roman" w:hAnsi="Times New Roman" w:cs="Times New Roman"/>
        </w:rPr>
        <w:t>IV</w:t>
      </w:r>
      <w:r w:rsidRPr="0066495C">
        <w:rPr>
          <w:rFonts w:ascii="Times New Roman" w:hAnsi="Times New Roman" w:cs="Times New Roman"/>
        </w:rPr>
        <w:t>/406/</w:t>
      </w:r>
      <w:r w:rsidR="0098161B">
        <w:rPr>
          <w:rFonts w:ascii="Times New Roman" w:hAnsi="Times New Roman" w:cs="Times New Roman"/>
        </w:rPr>
        <w:t>20</w:t>
      </w:r>
      <w:r w:rsidRPr="0066495C">
        <w:rPr>
          <w:rFonts w:ascii="Times New Roman" w:hAnsi="Times New Roman" w:cs="Times New Roman"/>
        </w:rPr>
        <w:t xml:space="preserve">21 Sejmiku Województwa </w:t>
      </w:r>
      <w:r w:rsidR="0098161B">
        <w:rPr>
          <w:rFonts w:ascii="Times New Roman" w:hAnsi="Times New Roman" w:cs="Times New Roman"/>
        </w:rPr>
        <w:t>Lube</w:t>
      </w:r>
      <w:r w:rsidR="001E060A">
        <w:rPr>
          <w:rFonts w:ascii="Times New Roman" w:hAnsi="Times New Roman" w:cs="Times New Roman"/>
        </w:rPr>
        <w:t>ls</w:t>
      </w:r>
      <w:r w:rsidR="0098161B">
        <w:rPr>
          <w:rFonts w:ascii="Times New Roman" w:hAnsi="Times New Roman" w:cs="Times New Roman"/>
        </w:rPr>
        <w:t>kiego</w:t>
      </w:r>
      <w:r w:rsidRPr="0066495C">
        <w:rPr>
          <w:rFonts w:ascii="Times New Roman" w:hAnsi="Times New Roman" w:cs="Times New Roman"/>
        </w:rPr>
        <w:t xml:space="preserve"> z dnia 29 marca 2021 r.</w:t>
      </w:r>
      <w:r>
        <w:rPr>
          <w:rFonts w:ascii="Times New Roman" w:hAnsi="Times New Roman" w:cs="Times New Roman"/>
        </w:rPr>
        <w:t>;</w:t>
      </w:r>
    </w:p>
    <w:p w14:paraId="36969385" w14:textId="722362EF" w:rsidR="004F3B7A" w:rsidRPr="0066495C" w:rsidRDefault="004F3B7A" w:rsidP="004F3B7A">
      <w:pPr>
        <w:pStyle w:val="Akapitzlist"/>
        <w:numPr>
          <w:ilvl w:val="1"/>
          <w:numId w:val="32"/>
        </w:numPr>
        <w:spacing w:before="240" w:line="276" w:lineRule="auto"/>
        <w:ind w:left="851"/>
        <w:jc w:val="both"/>
        <w:rPr>
          <w:rFonts w:ascii="Times New Roman" w:hAnsi="Times New Roman" w:cs="Times New Roman"/>
        </w:rPr>
      </w:pPr>
      <w:r w:rsidRPr="0066495C">
        <w:rPr>
          <w:rFonts w:ascii="Times New Roman" w:hAnsi="Times New Roman" w:cs="Times New Roman"/>
        </w:rPr>
        <w:t xml:space="preserve">Urząd Komunikacji Elektronicznej, </w:t>
      </w:r>
      <w:r w:rsidRPr="008546D9">
        <w:rPr>
          <w:rFonts w:ascii="Times New Roman" w:hAnsi="Times New Roman" w:cs="Times New Roman"/>
          <w:i/>
          <w:iCs/>
        </w:rPr>
        <w:t>Raport o stanie rynku telekomunikacyjnego w Polsce w 2021 roku</w:t>
      </w:r>
      <w:r w:rsidR="001E060A">
        <w:rPr>
          <w:rFonts w:ascii="Times New Roman" w:hAnsi="Times New Roman" w:cs="Times New Roman"/>
        </w:rPr>
        <w:t>;</w:t>
      </w:r>
    </w:p>
    <w:p w14:paraId="08E19265" w14:textId="77777777" w:rsidR="004F3B7A" w:rsidRPr="0066495C" w:rsidRDefault="004F3B7A" w:rsidP="00B75EC5">
      <w:pPr>
        <w:pStyle w:val="Akapitzlist"/>
        <w:numPr>
          <w:ilvl w:val="1"/>
          <w:numId w:val="32"/>
        </w:numPr>
        <w:spacing w:before="120" w:after="120" w:line="276" w:lineRule="auto"/>
        <w:ind w:left="851"/>
        <w:jc w:val="both"/>
        <w:rPr>
          <w:rFonts w:ascii="Times New Roman" w:hAnsi="Times New Roman" w:cs="Times New Roman"/>
        </w:rPr>
      </w:pPr>
      <w:r w:rsidRPr="0066495C">
        <w:rPr>
          <w:rFonts w:ascii="Times New Roman" w:hAnsi="Times New Roman" w:cs="Times New Roman"/>
        </w:rPr>
        <w:t xml:space="preserve">Kondracki J., </w:t>
      </w:r>
      <w:r w:rsidRPr="0066495C">
        <w:rPr>
          <w:rFonts w:ascii="Times New Roman" w:hAnsi="Times New Roman" w:cs="Times New Roman"/>
          <w:i/>
          <w:iCs/>
        </w:rPr>
        <w:t>Geografia regionalna Polski</w:t>
      </w:r>
      <w:r w:rsidRPr="0066495C">
        <w:rPr>
          <w:rFonts w:ascii="Times New Roman" w:hAnsi="Times New Roman" w:cs="Times New Roman"/>
        </w:rPr>
        <w:t>, PWN, Warszawa 2000.</w:t>
      </w:r>
    </w:p>
    <w:p w14:paraId="04C1BEC4" w14:textId="77777777" w:rsidR="0068213B" w:rsidRPr="00000148" w:rsidRDefault="0068213B" w:rsidP="0068213B">
      <w:pPr>
        <w:pStyle w:val="Nagwek2"/>
        <w:ind w:firstLine="360"/>
        <w:rPr>
          <w:rFonts w:ascii="Times New Roman" w:hAnsi="Times New Roman" w:cs="Times New Roman"/>
          <w:b/>
          <w:bCs/>
          <w:color w:val="000000" w:themeColor="text1"/>
          <w:sz w:val="22"/>
          <w:szCs w:val="22"/>
        </w:rPr>
      </w:pPr>
      <w:bookmarkStart w:id="131" w:name="_Toc133484502"/>
      <w:bookmarkStart w:id="132" w:name="_Toc135896913"/>
      <w:r w:rsidRPr="00000148">
        <w:rPr>
          <w:rFonts w:ascii="Times New Roman" w:hAnsi="Times New Roman" w:cs="Times New Roman"/>
          <w:b/>
          <w:bCs/>
          <w:color w:val="000000" w:themeColor="text1"/>
          <w:sz w:val="22"/>
          <w:szCs w:val="22"/>
        </w:rPr>
        <w:t>Załączniki do LSR</w:t>
      </w:r>
      <w:bookmarkEnd w:id="131"/>
      <w:bookmarkEnd w:id="132"/>
      <w:r w:rsidRPr="00000148">
        <w:rPr>
          <w:rFonts w:ascii="Times New Roman" w:hAnsi="Times New Roman" w:cs="Times New Roman"/>
          <w:b/>
          <w:bCs/>
          <w:color w:val="000000" w:themeColor="text1"/>
          <w:sz w:val="22"/>
          <w:szCs w:val="22"/>
        </w:rPr>
        <w:t xml:space="preserve"> </w:t>
      </w:r>
    </w:p>
    <w:p w14:paraId="17C024F8" w14:textId="77777777" w:rsidR="0068213B" w:rsidRPr="00EB4D10" w:rsidRDefault="0068213B" w:rsidP="0068213B">
      <w:pPr>
        <w:pStyle w:val="Akapitzlist"/>
        <w:numPr>
          <w:ilvl w:val="0"/>
          <w:numId w:val="60"/>
        </w:numPr>
        <w:spacing w:line="276" w:lineRule="auto"/>
        <w:rPr>
          <w:rFonts w:ascii="Times New Roman" w:hAnsi="Times New Roman" w:cs="Times New Roman"/>
        </w:rPr>
      </w:pPr>
      <w:r w:rsidRPr="00EB4D10">
        <w:rPr>
          <w:rFonts w:ascii="Times New Roman" w:hAnsi="Times New Roman" w:cs="Times New Roman"/>
        </w:rPr>
        <w:t xml:space="preserve">Cele i </w:t>
      </w:r>
      <w:r>
        <w:rPr>
          <w:rFonts w:ascii="Times New Roman" w:hAnsi="Times New Roman" w:cs="Times New Roman"/>
        </w:rPr>
        <w:t>przedsięwzięcia</w:t>
      </w:r>
    </w:p>
    <w:p w14:paraId="415707AC" w14:textId="77777777" w:rsidR="0068213B" w:rsidRPr="00EB4D10" w:rsidRDefault="0068213B" w:rsidP="0068213B">
      <w:pPr>
        <w:pStyle w:val="Akapitzlist"/>
        <w:numPr>
          <w:ilvl w:val="0"/>
          <w:numId w:val="60"/>
        </w:numPr>
        <w:spacing w:line="276" w:lineRule="auto"/>
        <w:rPr>
          <w:rFonts w:ascii="Times New Roman" w:hAnsi="Times New Roman" w:cs="Times New Roman"/>
        </w:rPr>
      </w:pPr>
      <w:r w:rsidRPr="00EB4D10">
        <w:rPr>
          <w:rFonts w:ascii="Times New Roman" w:hAnsi="Times New Roman" w:cs="Times New Roman"/>
        </w:rPr>
        <w:t xml:space="preserve">Plan działania </w:t>
      </w:r>
    </w:p>
    <w:p w14:paraId="42CE398F" w14:textId="77777777" w:rsidR="0068213B" w:rsidRDefault="0068213B" w:rsidP="0068213B">
      <w:pPr>
        <w:pStyle w:val="Akapitzlist"/>
        <w:numPr>
          <w:ilvl w:val="0"/>
          <w:numId w:val="60"/>
        </w:numPr>
        <w:spacing w:line="276" w:lineRule="auto"/>
        <w:jc w:val="both"/>
        <w:rPr>
          <w:rFonts w:ascii="Times New Roman" w:hAnsi="Times New Roman" w:cs="Times New Roman"/>
        </w:rPr>
      </w:pPr>
      <w:r w:rsidRPr="00142E63">
        <w:rPr>
          <w:rFonts w:ascii="Times New Roman" w:hAnsi="Times New Roman" w:cs="Times New Roman"/>
        </w:rPr>
        <w:t xml:space="preserve">Budżet LSR </w:t>
      </w:r>
    </w:p>
    <w:p w14:paraId="7C830840" w14:textId="77777777" w:rsidR="0068213B" w:rsidRPr="00142E63" w:rsidRDefault="0068213B" w:rsidP="0068213B">
      <w:pPr>
        <w:pStyle w:val="Akapitzlist"/>
        <w:numPr>
          <w:ilvl w:val="0"/>
          <w:numId w:val="60"/>
        </w:numPr>
        <w:spacing w:line="276" w:lineRule="auto"/>
        <w:jc w:val="both"/>
        <w:rPr>
          <w:rFonts w:ascii="Times New Roman" w:hAnsi="Times New Roman" w:cs="Times New Roman"/>
        </w:rPr>
      </w:pPr>
      <w:r>
        <w:rPr>
          <w:rFonts w:ascii="Times New Roman" w:hAnsi="Times New Roman" w:cs="Times New Roman"/>
        </w:rPr>
        <w:t>Plan wykorzystania budżetu</w:t>
      </w:r>
    </w:p>
    <w:bookmarkEnd w:id="130"/>
    <w:p w14:paraId="3F2E8EAE" w14:textId="77777777" w:rsidR="00A17173" w:rsidRDefault="00A17173" w:rsidP="00A17173">
      <w:pPr>
        <w:pStyle w:val="Gwne"/>
        <w:numPr>
          <w:ilvl w:val="0"/>
          <w:numId w:val="0"/>
        </w:numPr>
        <w:ind w:left="360" w:hanging="360"/>
        <w:outlineLvl w:val="9"/>
        <w:rPr>
          <w:b w:val="0"/>
          <w:bCs w:val="0"/>
          <w:sz w:val="22"/>
          <w:szCs w:val="22"/>
        </w:rPr>
        <w:sectPr w:rsidR="00A17173" w:rsidSect="003B3C57">
          <w:pgSz w:w="11906" w:h="16838"/>
          <w:pgMar w:top="851" w:right="851" w:bottom="851" w:left="851" w:header="709" w:footer="709" w:gutter="0"/>
          <w:cols w:space="708"/>
          <w:docGrid w:linePitch="360"/>
        </w:sectPr>
      </w:pPr>
    </w:p>
    <w:p w14:paraId="7824751C" w14:textId="1DC677AB" w:rsidR="00A17173" w:rsidRDefault="00A17173" w:rsidP="00A17173">
      <w:pPr>
        <w:pStyle w:val="Gwne"/>
        <w:numPr>
          <w:ilvl w:val="0"/>
          <w:numId w:val="0"/>
        </w:numPr>
        <w:ind w:left="1077"/>
        <w:outlineLvl w:val="9"/>
        <w:rPr>
          <w:b w:val="0"/>
          <w:bCs w:val="0"/>
          <w:sz w:val="22"/>
          <w:szCs w:val="22"/>
        </w:rPr>
      </w:pPr>
      <w:r>
        <w:rPr>
          <w:b w:val="0"/>
          <w:bCs w:val="0"/>
          <w:sz w:val="22"/>
          <w:szCs w:val="22"/>
        </w:rPr>
        <w:lastRenderedPageBreak/>
        <w:t xml:space="preserve">Załącznik nr 1 Cele i </w:t>
      </w:r>
      <w:r w:rsidR="000F4A13">
        <w:rPr>
          <w:b w:val="0"/>
          <w:bCs w:val="0"/>
          <w:sz w:val="22"/>
          <w:szCs w:val="22"/>
        </w:rPr>
        <w:t>przedsi</w:t>
      </w:r>
      <w:r w:rsidR="00E860C3">
        <w:rPr>
          <w:b w:val="0"/>
          <w:bCs w:val="0"/>
          <w:sz w:val="22"/>
          <w:szCs w:val="22"/>
        </w:rPr>
        <w:t>ę</w:t>
      </w:r>
      <w:r w:rsidR="000F4A13">
        <w:rPr>
          <w:b w:val="0"/>
          <w:bCs w:val="0"/>
          <w:sz w:val="22"/>
          <w:szCs w:val="22"/>
        </w:rPr>
        <w:t>wzi</w:t>
      </w:r>
      <w:r w:rsidR="00E860C3">
        <w:rPr>
          <w:b w:val="0"/>
          <w:bCs w:val="0"/>
          <w:sz w:val="22"/>
          <w:szCs w:val="22"/>
        </w:rPr>
        <w:t>ę</w:t>
      </w:r>
      <w:r w:rsidR="000F4A13">
        <w:rPr>
          <w:b w:val="0"/>
          <w:bCs w:val="0"/>
          <w:sz w:val="22"/>
          <w:szCs w:val="22"/>
        </w:rPr>
        <w:t>cia</w:t>
      </w:r>
    </w:p>
    <w:tbl>
      <w:tblPr>
        <w:tblW w:w="5000" w:type="pct"/>
        <w:tblCellMar>
          <w:left w:w="70" w:type="dxa"/>
          <w:right w:w="70" w:type="dxa"/>
        </w:tblCellMar>
        <w:tblLook w:val="04A0" w:firstRow="1" w:lastRow="0" w:firstColumn="1" w:lastColumn="0" w:noHBand="0" w:noVBand="1"/>
      </w:tblPr>
      <w:tblGrid>
        <w:gridCol w:w="1344"/>
        <w:gridCol w:w="532"/>
        <w:gridCol w:w="6622"/>
        <w:gridCol w:w="2798"/>
        <w:gridCol w:w="3830"/>
      </w:tblGrid>
      <w:tr w:rsidR="000F4A13" w:rsidRPr="00E860C3" w14:paraId="55A75390" w14:textId="77777777" w:rsidTr="00E860C3">
        <w:trPr>
          <w:trHeight w:val="454"/>
        </w:trPr>
        <w:tc>
          <w:tcPr>
            <w:tcW w:w="4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7CFA0B" w14:textId="1EE97CCD" w:rsidR="000F4A13" w:rsidRPr="00E860C3" w:rsidRDefault="000F4A13" w:rsidP="000F4A13">
            <w:pPr>
              <w:spacing w:after="0" w:line="240" w:lineRule="auto"/>
              <w:jc w:val="center"/>
              <w:rPr>
                <w:rFonts w:ascii="Times New Roman" w:eastAsia="Times New Roman" w:hAnsi="Times New Roman" w:cs="Times New Roman"/>
                <w:b/>
                <w:bCs/>
                <w:color w:val="000000"/>
                <w:sz w:val="18"/>
                <w:szCs w:val="18"/>
                <w:lang w:eastAsia="pl-PL"/>
              </w:rPr>
            </w:pPr>
            <w:bookmarkStart w:id="133" w:name="_Hlk134057664"/>
            <w:r w:rsidRPr="00E860C3">
              <w:rPr>
                <w:rFonts w:ascii="Times New Roman" w:eastAsia="Times New Roman" w:hAnsi="Times New Roman" w:cs="Times New Roman"/>
                <w:b/>
                <w:bCs/>
                <w:color w:val="000000"/>
                <w:sz w:val="18"/>
                <w:szCs w:val="18"/>
                <w:lang w:eastAsia="pl-PL"/>
              </w:rPr>
              <w:t xml:space="preserve">Budżet </w:t>
            </w:r>
            <w:r w:rsidR="007B67F3">
              <w:rPr>
                <w:rFonts w:ascii="Times New Roman" w:eastAsia="Times New Roman" w:hAnsi="Times New Roman" w:cs="Times New Roman"/>
                <w:b/>
                <w:bCs/>
                <w:color w:val="000000"/>
                <w:sz w:val="18"/>
                <w:szCs w:val="18"/>
                <w:lang w:eastAsia="pl-PL"/>
              </w:rPr>
              <w:br/>
            </w:r>
            <w:r w:rsidRPr="00E860C3">
              <w:rPr>
                <w:rFonts w:ascii="Times New Roman" w:eastAsia="Times New Roman" w:hAnsi="Times New Roman" w:cs="Times New Roman"/>
                <w:b/>
                <w:bCs/>
                <w:color w:val="000000"/>
                <w:sz w:val="18"/>
                <w:szCs w:val="18"/>
                <w:lang w:eastAsia="pl-PL"/>
              </w:rPr>
              <w:t>(w EUR)</w:t>
            </w:r>
          </w:p>
        </w:tc>
        <w:tc>
          <w:tcPr>
            <w:tcW w:w="2365" w:type="pct"/>
            <w:gridSpan w:val="2"/>
            <w:tcBorders>
              <w:top w:val="single" w:sz="4" w:space="0" w:color="auto"/>
              <w:left w:val="nil"/>
              <w:bottom w:val="single" w:sz="4" w:space="0" w:color="auto"/>
              <w:right w:val="single" w:sz="4" w:space="0" w:color="auto"/>
            </w:tcBorders>
            <w:shd w:val="clear" w:color="auto" w:fill="auto"/>
            <w:vAlign w:val="center"/>
            <w:hideMark/>
          </w:tcPr>
          <w:p w14:paraId="6C9139C8" w14:textId="77777777" w:rsidR="000F4A13" w:rsidRPr="00E860C3" w:rsidRDefault="000F4A13" w:rsidP="000F4A13">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Przedsięwzięcia w ramach celu</w:t>
            </w:r>
          </w:p>
        </w:tc>
        <w:tc>
          <w:tcPr>
            <w:tcW w:w="9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6299EE" w14:textId="77777777" w:rsidR="000F4A13" w:rsidRPr="00E860C3" w:rsidRDefault="000F4A13" w:rsidP="000F4A13">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 xml:space="preserve">Grupy docelowe </w:t>
            </w:r>
          </w:p>
        </w:tc>
        <w:tc>
          <w:tcPr>
            <w:tcW w:w="12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B80512" w14:textId="77777777" w:rsidR="000F4A13" w:rsidRPr="00E860C3" w:rsidRDefault="000F4A13" w:rsidP="000F4A13">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Sposób realizacji (konkurs, projekt grantowy, operacja własna, animacja itp.)</w:t>
            </w:r>
          </w:p>
        </w:tc>
      </w:tr>
      <w:tr w:rsidR="000F4A13" w:rsidRPr="00E860C3" w14:paraId="1E7A6710" w14:textId="77777777" w:rsidTr="00E860C3">
        <w:trPr>
          <w:trHeight w:val="454"/>
        </w:trPr>
        <w:tc>
          <w:tcPr>
            <w:tcW w:w="444" w:type="pct"/>
            <w:vMerge/>
            <w:tcBorders>
              <w:top w:val="single" w:sz="4" w:space="0" w:color="auto"/>
              <w:left w:val="single" w:sz="4" w:space="0" w:color="auto"/>
              <w:bottom w:val="single" w:sz="4" w:space="0" w:color="000000"/>
              <w:right w:val="single" w:sz="4" w:space="0" w:color="auto"/>
            </w:tcBorders>
            <w:vAlign w:val="center"/>
            <w:hideMark/>
          </w:tcPr>
          <w:p w14:paraId="0F3D94DB" w14:textId="77777777" w:rsidR="000F4A13" w:rsidRPr="00E860C3" w:rsidRDefault="000F4A13" w:rsidP="000F4A13">
            <w:pPr>
              <w:spacing w:after="0" w:line="240" w:lineRule="auto"/>
              <w:rPr>
                <w:rFonts w:ascii="Times New Roman" w:eastAsia="Times New Roman" w:hAnsi="Times New Roman" w:cs="Times New Roman"/>
                <w:b/>
                <w:bCs/>
                <w:color w:val="000000"/>
                <w:sz w:val="18"/>
                <w:szCs w:val="18"/>
                <w:lang w:eastAsia="pl-PL"/>
              </w:rPr>
            </w:pPr>
          </w:p>
        </w:tc>
        <w:tc>
          <w:tcPr>
            <w:tcW w:w="2365" w:type="pct"/>
            <w:gridSpan w:val="2"/>
            <w:tcBorders>
              <w:top w:val="single" w:sz="4" w:space="0" w:color="auto"/>
              <w:left w:val="nil"/>
              <w:bottom w:val="single" w:sz="4" w:space="0" w:color="auto"/>
              <w:right w:val="single" w:sz="4" w:space="0" w:color="000000"/>
            </w:tcBorders>
            <w:shd w:val="clear" w:color="auto" w:fill="auto"/>
            <w:vAlign w:val="center"/>
            <w:hideMark/>
          </w:tcPr>
          <w:p w14:paraId="48844B5B" w14:textId="77777777" w:rsidR="000F4A13" w:rsidRPr="008546D9" w:rsidRDefault="000F4A13" w:rsidP="000F4A13">
            <w:pPr>
              <w:spacing w:after="0" w:line="240" w:lineRule="auto"/>
              <w:jc w:val="center"/>
              <w:rPr>
                <w:rFonts w:ascii="Times New Roman" w:eastAsia="Times New Roman" w:hAnsi="Times New Roman" w:cs="Times New Roman"/>
                <w:b/>
                <w:bCs/>
                <w:i/>
                <w:iCs/>
                <w:color w:val="000000"/>
                <w:sz w:val="18"/>
                <w:szCs w:val="18"/>
                <w:lang w:eastAsia="pl-PL"/>
              </w:rPr>
            </w:pPr>
            <w:r w:rsidRPr="008546D9">
              <w:rPr>
                <w:rFonts w:ascii="Times New Roman" w:eastAsia="Times New Roman" w:hAnsi="Times New Roman" w:cs="Times New Roman"/>
                <w:b/>
                <w:bCs/>
                <w:i/>
                <w:iCs/>
                <w:color w:val="000000"/>
                <w:sz w:val="18"/>
                <w:szCs w:val="18"/>
                <w:lang w:eastAsia="pl-PL"/>
              </w:rPr>
              <w:t>Zbudowanie Bialskopodlaskiego kapitału społecznego</w:t>
            </w:r>
          </w:p>
        </w:tc>
        <w:tc>
          <w:tcPr>
            <w:tcW w:w="925" w:type="pct"/>
            <w:vMerge/>
            <w:tcBorders>
              <w:top w:val="single" w:sz="4" w:space="0" w:color="auto"/>
              <w:left w:val="single" w:sz="4" w:space="0" w:color="auto"/>
              <w:bottom w:val="single" w:sz="4" w:space="0" w:color="000000"/>
              <w:right w:val="single" w:sz="4" w:space="0" w:color="auto"/>
            </w:tcBorders>
            <w:vAlign w:val="center"/>
            <w:hideMark/>
          </w:tcPr>
          <w:p w14:paraId="164BCBEF" w14:textId="77777777" w:rsidR="000F4A13" w:rsidRPr="00E860C3" w:rsidRDefault="000F4A13" w:rsidP="000F4A13">
            <w:pPr>
              <w:spacing w:after="0" w:line="240" w:lineRule="auto"/>
              <w:rPr>
                <w:rFonts w:ascii="Times New Roman" w:eastAsia="Times New Roman" w:hAnsi="Times New Roman" w:cs="Times New Roman"/>
                <w:b/>
                <w:bCs/>
                <w:color w:val="000000"/>
                <w:sz w:val="18"/>
                <w:szCs w:val="18"/>
                <w:lang w:eastAsia="pl-PL"/>
              </w:rPr>
            </w:pPr>
          </w:p>
        </w:tc>
        <w:tc>
          <w:tcPr>
            <w:tcW w:w="1266" w:type="pct"/>
            <w:vMerge/>
            <w:tcBorders>
              <w:top w:val="single" w:sz="4" w:space="0" w:color="auto"/>
              <w:left w:val="single" w:sz="4" w:space="0" w:color="auto"/>
              <w:bottom w:val="single" w:sz="4" w:space="0" w:color="000000"/>
              <w:right w:val="single" w:sz="4" w:space="0" w:color="auto"/>
            </w:tcBorders>
            <w:vAlign w:val="center"/>
            <w:hideMark/>
          </w:tcPr>
          <w:p w14:paraId="74DB5C8C" w14:textId="77777777" w:rsidR="000F4A13" w:rsidRPr="00E860C3" w:rsidRDefault="000F4A13" w:rsidP="000F4A13">
            <w:pPr>
              <w:spacing w:after="0" w:line="240" w:lineRule="auto"/>
              <w:rPr>
                <w:rFonts w:ascii="Times New Roman" w:eastAsia="Times New Roman" w:hAnsi="Times New Roman" w:cs="Times New Roman"/>
                <w:b/>
                <w:bCs/>
                <w:color w:val="000000"/>
                <w:sz w:val="18"/>
                <w:szCs w:val="18"/>
                <w:lang w:eastAsia="pl-PL"/>
              </w:rPr>
            </w:pPr>
          </w:p>
        </w:tc>
      </w:tr>
      <w:tr w:rsidR="00F35EB5" w:rsidRPr="00E860C3" w14:paraId="2D3A5BB7"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8D0A28F" w14:textId="6513400F"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€ 1 200 000 </w:t>
            </w:r>
          </w:p>
        </w:tc>
        <w:tc>
          <w:tcPr>
            <w:tcW w:w="176" w:type="pct"/>
            <w:tcBorders>
              <w:top w:val="nil"/>
              <w:left w:val="nil"/>
              <w:bottom w:val="single" w:sz="4" w:space="0" w:color="auto"/>
              <w:right w:val="single" w:sz="4" w:space="0" w:color="auto"/>
            </w:tcBorders>
            <w:shd w:val="clear" w:color="auto" w:fill="auto"/>
            <w:vAlign w:val="center"/>
            <w:hideMark/>
          </w:tcPr>
          <w:p w14:paraId="56F9284E"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w:t>
            </w:r>
          </w:p>
        </w:tc>
        <w:tc>
          <w:tcPr>
            <w:tcW w:w="2189" w:type="pct"/>
            <w:tcBorders>
              <w:top w:val="nil"/>
              <w:left w:val="nil"/>
              <w:bottom w:val="single" w:sz="4" w:space="0" w:color="auto"/>
              <w:right w:val="single" w:sz="4" w:space="0" w:color="auto"/>
            </w:tcBorders>
            <w:shd w:val="clear" w:color="auto" w:fill="auto"/>
            <w:vAlign w:val="center"/>
            <w:hideMark/>
          </w:tcPr>
          <w:p w14:paraId="2F8C28CE"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Ogólnodostępna infrastruktura publiczna rekreacyjna i sportowa dostosowana do potrzeb osób z niepełnosprawnościami</w:t>
            </w:r>
          </w:p>
        </w:tc>
        <w:tc>
          <w:tcPr>
            <w:tcW w:w="925" w:type="pct"/>
            <w:tcBorders>
              <w:top w:val="nil"/>
              <w:left w:val="nil"/>
              <w:bottom w:val="single" w:sz="4" w:space="0" w:color="auto"/>
              <w:right w:val="single" w:sz="4" w:space="0" w:color="auto"/>
            </w:tcBorders>
            <w:shd w:val="clear" w:color="auto" w:fill="auto"/>
            <w:vAlign w:val="center"/>
            <w:hideMark/>
          </w:tcPr>
          <w:p w14:paraId="2F0632F7" w14:textId="043FD4A8"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Mieszkańcy, osoby </w:t>
            </w:r>
            <w:r w:rsidR="007B67F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z niepełnosprawnościami i ich opiekunowie</w:t>
            </w:r>
          </w:p>
        </w:tc>
        <w:tc>
          <w:tcPr>
            <w:tcW w:w="1266" w:type="pct"/>
            <w:tcBorders>
              <w:top w:val="nil"/>
              <w:left w:val="nil"/>
              <w:bottom w:val="single" w:sz="4" w:space="0" w:color="auto"/>
              <w:right w:val="single" w:sz="4" w:space="0" w:color="auto"/>
            </w:tcBorders>
            <w:shd w:val="clear" w:color="auto" w:fill="auto"/>
            <w:vAlign w:val="center"/>
            <w:hideMark/>
          </w:tcPr>
          <w:p w14:paraId="1BDDF630"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Projekty wnioskodawców innych niż LGD</w:t>
            </w:r>
          </w:p>
        </w:tc>
      </w:tr>
      <w:tr w:rsidR="00F35EB5" w:rsidRPr="00E860C3" w14:paraId="3A8E8E1D"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2DD51E0" w14:textId="04B4C35D"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c>
          <w:tcPr>
            <w:tcW w:w="176" w:type="pct"/>
            <w:tcBorders>
              <w:top w:val="nil"/>
              <w:left w:val="nil"/>
              <w:bottom w:val="single" w:sz="4" w:space="0" w:color="auto"/>
              <w:right w:val="single" w:sz="4" w:space="0" w:color="auto"/>
            </w:tcBorders>
            <w:shd w:val="clear" w:color="auto" w:fill="auto"/>
            <w:vAlign w:val="center"/>
            <w:hideMark/>
          </w:tcPr>
          <w:p w14:paraId="6F9AC268"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1.2</w:t>
            </w:r>
          </w:p>
        </w:tc>
        <w:tc>
          <w:tcPr>
            <w:tcW w:w="2189" w:type="pct"/>
            <w:tcBorders>
              <w:top w:val="nil"/>
              <w:left w:val="nil"/>
              <w:bottom w:val="single" w:sz="4" w:space="0" w:color="auto"/>
              <w:right w:val="single" w:sz="4" w:space="0" w:color="auto"/>
            </w:tcBorders>
            <w:shd w:val="clear" w:color="auto" w:fill="auto"/>
            <w:vAlign w:val="center"/>
            <w:hideMark/>
          </w:tcPr>
          <w:p w14:paraId="1F210D4A"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Rozwój pasji i talentów</w:t>
            </w:r>
          </w:p>
        </w:tc>
        <w:tc>
          <w:tcPr>
            <w:tcW w:w="925" w:type="pct"/>
            <w:tcBorders>
              <w:top w:val="nil"/>
              <w:left w:val="nil"/>
              <w:bottom w:val="single" w:sz="4" w:space="0" w:color="auto"/>
              <w:right w:val="single" w:sz="4" w:space="0" w:color="auto"/>
            </w:tcBorders>
            <w:shd w:val="clear" w:color="auto" w:fill="auto"/>
            <w:vAlign w:val="center"/>
            <w:hideMark/>
          </w:tcPr>
          <w:p w14:paraId="52078CF3" w14:textId="13BD0B9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do 25</w:t>
            </w:r>
            <w:r w:rsidR="007B67F3">
              <w:rPr>
                <w:rFonts w:ascii="Times New Roman" w:eastAsia="Times New Roman" w:hAnsi="Times New Roman" w:cs="Times New Roman"/>
                <w:color w:val="000000"/>
                <w:sz w:val="18"/>
                <w:szCs w:val="18"/>
                <w:lang w:eastAsia="pl-PL"/>
              </w:rPr>
              <w:t>.</w:t>
            </w:r>
            <w:r w:rsidRPr="00E860C3">
              <w:rPr>
                <w:rFonts w:ascii="Times New Roman" w:eastAsia="Times New Roman" w:hAnsi="Times New Roman" w:cs="Times New Roman"/>
                <w:color w:val="000000"/>
                <w:sz w:val="18"/>
                <w:szCs w:val="18"/>
                <w:lang w:eastAsia="pl-PL"/>
              </w:rPr>
              <w:t xml:space="preserve"> roku życia</w:t>
            </w:r>
          </w:p>
        </w:tc>
        <w:tc>
          <w:tcPr>
            <w:tcW w:w="1266" w:type="pct"/>
            <w:tcBorders>
              <w:top w:val="nil"/>
              <w:left w:val="nil"/>
              <w:bottom w:val="single" w:sz="4" w:space="0" w:color="auto"/>
              <w:right w:val="single" w:sz="4" w:space="0" w:color="auto"/>
            </w:tcBorders>
            <w:shd w:val="clear" w:color="auto" w:fill="auto"/>
            <w:vAlign w:val="center"/>
            <w:hideMark/>
          </w:tcPr>
          <w:p w14:paraId="06B7218B"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r>
      <w:tr w:rsidR="00F35EB5" w:rsidRPr="00E860C3" w14:paraId="5908E768"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9EEC65B" w14:textId="08D4C54B"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c>
          <w:tcPr>
            <w:tcW w:w="176" w:type="pct"/>
            <w:tcBorders>
              <w:top w:val="nil"/>
              <w:left w:val="nil"/>
              <w:bottom w:val="single" w:sz="4" w:space="0" w:color="auto"/>
              <w:right w:val="single" w:sz="4" w:space="0" w:color="auto"/>
            </w:tcBorders>
            <w:shd w:val="clear" w:color="auto" w:fill="auto"/>
            <w:vAlign w:val="center"/>
            <w:hideMark/>
          </w:tcPr>
          <w:p w14:paraId="283C400A"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1.3</w:t>
            </w:r>
          </w:p>
        </w:tc>
        <w:tc>
          <w:tcPr>
            <w:tcW w:w="2189" w:type="pct"/>
            <w:tcBorders>
              <w:top w:val="nil"/>
              <w:left w:val="nil"/>
              <w:bottom w:val="single" w:sz="4" w:space="0" w:color="auto"/>
              <w:right w:val="single" w:sz="4" w:space="0" w:color="auto"/>
            </w:tcBorders>
            <w:shd w:val="clear" w:color="auto" w:fill="auto"/>
            <w:vAlign w:val="center"/>
            <w:hideMark/>
          </w:tcPr>
          <w:p w14:paraId="2A719534"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Integracja oraz wykorzystanie cyfryzacji w życiu codziennym i rozwoju</w:t>
            </w:r>
          </w:p>
        </w:tc>
        <w:tc>
          <w:tcPr>
            <w:tcW w:w="925" w:type="pct"/>
            <w:tcBorders>
              <w:top w:val="nil"/>
              <w:left w:val="nil"/>
              <w:bottom w:val="single" w:sz="4" w:space="0" w:color="auto"/>
              <w:right w:val="single" w:sz="4" w:space="0" w:color="auto"/>
            </w:tcBorders>
            <w:shd w:val="clear" w:color="auto" w:fill="auto"/>
            <w:vAlign w:val="center"/>
            <w:hideMark/>
          </w:tcPr>
          <w:p w14:paraId="6275B000" w14:textId="1389E238"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powyżej 60</w:t>
            </w:r>
            <w:r w:rsidR="007B67F3">
              <w:rPr>
                <w:rFonts w:ascii="Times New Roman" w:eastAsia="Times New Roman" w:hAnsi="Times New Roman" w:cs="Times New Roman"/>
                <w:color w:val="000000"/>
                <w:sz w:val="18"/>
                <w:szCs w:val="18"/>
                <w:lang w:eastAsia="pl-PL"/>
              </w:rPr>
              <w:t>.</w:t>
            </w:r>
            <w:r w:rsidRPr="00E860C3">
              <w:rPr>
                <w:rFonts w:ascii="Times New Roman" w:eastAsia="Times New Roman" w:hAnsi="Times New Roman" w:cs="Times New Roman"/>
                <w:color w:val="000000"/>
                <w:sz w:val="18"/>
                <w:szCs w:val="18"/>
                <w:lang w:eastAsia="pl-PL"/>
              </w:rPr>
              <w:t xml:space="preserve"> roku życia</w:t>
            </w:r>
          </w:p>
        </w:tc>
        <w:tc>
          <w:tcPr>
            <w:tcW w:w="1266" w:type="pct"/>
            <w:tcBorders>
              <w:top w:val="nil"/>
              <w:left w:val="nil"/>
              <w:bottom w:val="single" w:sz="4" w:space="0" w:color="auto"/>
              <w:right w:val="single" w:sz="4" w:space="0" w:color="auto"/>
            </w:tcBorders>
            <w:shd w:val="clear" w:color="auto" w:fill="auto"/>
            <w:vAlign w:val="center"/>
            <w:hideMark/>
          </w:tcPr>
          <w:p w14:paraId="57EDCE1C"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r>
      <w:tr w:rsidR="00F35EB5" w:rsidRPr="00E860C3" w14:paraId="02B895AA"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5A25573" w14:textId="01D7926A"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€ 200 000 </w:t>
            </w:r>
          </w:p>
        </w:tc>
        <w:tc>
          <w:tcPr>
            <w:tcW w:w="176" w:type="pct"/>
            <w:tcBorders>
              <w:top w:val="nil"/>
              <w:left w:val="nil"/>
              <w:bottom w:val="single" w:sz="4" w:space="0" w:color="auto"/>
              <w:right w:val="single" w:sz="4" w:space="0" w:color="auto"/>
            </w:tcBorders>
            <w:shd w:val="clear" w:color="auto" w:fill="auto"/>
            <w:vAlign w:val="center"/>
            <w:hideMark/>
          </w:tcPr>
          <w:p w14:paraId="7FB5005A"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1.4</w:t>
            </w:r>
          </w:p>
        </w:tc>
        <w:tc>
          <w:tcPr>
            <w:tcW w:w="2189" w:type="pct"/>
            <w:tcBorders>
              <w:top w:val="nil"/>
              <w:left w:val="nil"/>
              <w:bottom w:val="single" w:sz="4" w:space="0" w:color="auto"/>
              <w:right w:val="single" w:sz="4" w:space="0" w:color="auto"/>
            </w:tcBorders>
            <w:shd w:val="clear" w:color="auto" w:fill="auto"/>
            <w:vAlign w:val="center"/>
            <w:hideMark/>
          </w:tcPr>
          <w:p w14:paraId="5DDB8C42"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Kształtowanie zdrowego i aktywnego trybu życia mieszkańców </w:t>
            </w:r>
          </w:p>
        </w:tc>
        <w:tc>
          <w:tcPr>
            <w:tcW w:w="925" w:type="pct"/>
            <w:tcBorders>
              <w:top w:val="nil"/>
              <w:left w:val="nil"/>
              <w:bottom w:val="single" w:sz="4" w:space="0" w:color="auto"/>
              <w:right w:val="single" w:sz="4" w:space="0" w:color="auto"/>
            </w:tcBorders>
            <w:shd w:val="clear" w:color="auto" w:fill="auto"/>
            <w:vAlign w:val="center"/>
            <w:hideMark/>
          </w:tcPr>
          <w:p w14:paraId="4AA09AB7"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1266" w:type="pct"/>
            <w:tcBorders>
              <w:top w:val="nil"/>
              <w:left w:val="nil"/>
              <w:bottom w:val="single" w:sz="4" w:space="0" w:color="auto"/>
              <w:right w:val="single" w:sz="4" w:space="0" w:color="auto"/>
            </w:tcBorders>
            <w:shd w:val="clear" w:color="auto" w:fill="auto"/>
            <w:vAlign w:val="center"/>
            <w:hideMark/>
          </w:tcPr>
          <w:p w14:paraId="0E5C370D"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r>
      <w:tr w:rsidR="00F35EB5" w:rsidRPr="00E860C3" w14:paraId="405BCCB0"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E52471D" w14:textId="3AA44DE0"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€ 200 000 </w:t>
            </w:r>
          </w:p>
        </w:tc>
        <w:tc>
          <w:tcPr>
            <w:tcW w:w="176" w:type="pct"/>
            <w:tcBorders>
              <w:top w:val="nil"/>
              <w:left w:val="nil"/>
              <w:bottom w:val="single" w:sz="4" w:space="0" w:color="auto"/>
              <w:right w:val="single" w:sz="4" w:space="0" w:color="auto"/>
            </w:tcBorders>
            <w:shd w:val="clear" w:color="auto" w:fill="auto"/>
            <w:vAlign w:val="center"/>
            <w:hideMark/>
          </w:tcPr>
          <w:p w14:paraId="357F11C2"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1.5</w:t>
            </w:r>
          </w:p>
        </w:tc>
        <w:tc>
          <w:tcPr>
            <w:tcW w:w="2189" w:type="pct"/>
            <w:tcBorders>
              <w:top w:val="nil"/>
              <w:left w:val="nil"/>
              <w:bottom w:val="single" w:sz="4" w:space="0" w:color="auto"/>
              <w:right w:val="single" w:sz="4" w:space="0" w:color="auto"/>
            </w:tcBorders>
            <w:shd w:val="clear" w:color="auto" w:fill="auto"/>
            <w:vAlign w:val="center"/>
            <w:hideMark/>
          </w:tcPr>
          <w:p w14:paraId="66D9115F"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Wzmocnienie potencjału organizacji pozarządowych</w:t>
            </w:r>
          </w:p>
        </w:tc>
        <w:tc>
          <w:tcPr>
            <w:tcW w:w="925" w:type="pct"/>
            <w:tcBorders>
              <w:top w:val="nil"/>
              <w:left w:val="nil"/>
              <w:bottom w:val="single" w:sz="4" w:space="0" w:color="auto"/>
              <w:right w:val="single" w:sz="4" w:space="0" w:color="auto"/>
            </w:tcBorders>
            <w:shd w:val="clear" w:color="auto" w:fill="auto"/>
            <w:vAlign w:val="center"/>
            <w:hideMark/>
          </w:tcPr>
          <w:p w14:paraId="307C57CF"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organizacje pozarządowe</w:t>
            </w:r>
          </w:p>
        </w:tc>
        <w:tc>
          <w:tcPr>
            <w:tcW w:w="1266" w:type="pct"/>
            <w:tcBorders>
              <w:top w:val="nil"/>
              <w:left w:val="nil"/>
              <w:bottom w:val="single" w:sz="4" w:space="0" w:color="auto"/>
              <w:right w:val="single" w:sz="4" w:space="0" w:color="auto"/>
            </w:tcBorders>
            <w:shd w:val="clear" w:color="auto" w:fill="auto"/>
            <w:vAlign w:val="center"/>
            <w:hideMark/>
          </w:tcPr>
          <w:p w14:paraId="2D416210"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r>
      <w:tr w:rsidR="00F35EB5" w:rsidRPr="00E860C3" w14:paraId="10601ED6"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CC863B7" w14:textId="29A4C40B"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c>
          <w:tcPr>
            <w:tcW w:w="176" w:type="pct"/>
            <w:tcBorders>
              <w:top w:val="nil"/>
              <w:left w:val="nil"/>
              <w:bottom w:val="single" w:sz="4" w:space="0" w:color="auto"/>
              <w:right w:val="single" w:sz="4" w:space="0" w:color="auto"/>
            </w:tcBorders>
            <w:shd w:val="clear" w:color="auto" w:fill="auto"/>
            <w:vAlign w:val="center"/>
            <w:hideMark/>
          </w:tcPr>
          <w:p w14:paraId="4EA62CE9"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1.6</w:t>
            </w:r>
          </w:p>
        </w:tc>
        <w:tc>
          <w:tcPr>
            <w:tcW w:w="2189" w:type="pct"/>
            <w:tcBorders>
              <w:top w:val="nil"/>
              <w:left w:val="nil"/>
              <w:bottom w:val="single" w:sz="4" w:space="0" w:color="auto"/>
              <w:right w:val="single" w:sz="4" w:space="0" w:color="auto"/>
            </w:tcBorders>
            <w:shd w:val="clear" w:color="auto" w:fill="auto"/>
            <w:vAlign w:val="center"/>
            <w:hideMark/>
          </w:tcPr>
          <w:p w14:paraId="5815C0C8" w14:textId="6089F6C9"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Wsparcie innowacyjnych inicjatyw oddolnych mieszkańców</w:t>
            </w:r>
          </w:p>
        </w:tc>
        <w:tc>
          <w:tcPr>
            <w:tcW w:w="925" w:type="pct"/>
            <w:tcBorders>
              <w:top w:val="nil"/>
              <w:left w:val="nil"/>
              <w:bottom w:val="single" w:sz="4" w:space="0" w:color="auto"/>
              <w:right w:val="single" w:sz="4" w:space="0" w:color="auto"/>
            </w:tcBorders>
            <w:shd w:val="clear" w:color="auto" w:fill="auto"/>
            <w:vAlign w:val="center"/>
            <w:hideMark/>
          </w:tcPr>
          <w:p w14:paraId="5591A633"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organizacje pozarządowe</w:t>
            </w:r>
          </w:p>
        </w:tc>
        <w:tc>
          <w:tcPr>
            <w:tcW w:w="1266" w:type="pct"/>
            <w:tcBorders>
              <w:top w:val="nil"/>
              <w:left w:val="nil"/>
              <w:bottom w:val="single" w:sz="4" w:space="0" w:color="auto"/>
              <w:right w:val="single" w:sz="4" w:space="0" w:color="auto"/>
            </w:tcBorders>
            <w:shd w:val="clear" w:color="auto" w:fill="auto"/>
            <w:vAlign w:val="center"/>
            <w:hideMark/>
          </w:tcPr>
          <w:p w14:paraId="4FA1E1CC"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r>
      <w:tr w:rsidR="00F35EB5" w:rsidRPr="00E860C3" w14:paraId="68CA231F"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28BB568" w14:textId="25663811"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c>
          <w:tcPr>
            <w:tcW w:w="176" w:type="pct"/>
            <w:tcBorders>
              <w:top w:val="nil"/>
              <w:left w:val="nil"/>
              <w:bottom w:val="single" w:sz="4" w:space="0" w:color="auto"/>
              <w:right w:val="single" w:sz="4" w:space="0" w:color="auto"/>
            </w:tcBorders>
            <w:shd w:val="clear" w:color="auto" w:fill="auto"/>
            <w:vAlign w:val="center"/>
            <w:hideMark/>
          </w:tcPr>
          <w:p w14:paraId="54BB436D"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1.7</w:t>
            </w:r>
          </w:p>
        </w:tc>
        <w:tc>
          <w:tcPr>
            <w:tcW w:w="2189" w:type="pct"/>
            <w:tcBorders>
              <w:top w:val="nil"/>
              <w:left w:val="nil"/>
              <w:bottom w:val="single" w:sz="4" w:space="0" w:color="auto"/>
              <w:right w:val="single" w:sz="4" w:space="0" w:color="auto"/>
            </w:tcBorders>
            <w:shd w:val="clear" w:color="auto" w:fill="auto"/>
            <w:vAlign w:val="center"/>
            <w:hideMark/>
          </w:tcPr>
          <w:p w14:paraId="2F1694F9" w14:textId="586A10A9"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Integracja i rozwój osób w niekorzystnej sytuacji – osoby </w:t>
            </w:r>
            <w:r w:rsidRPr="00E860C3">
              <w:rPr>
                <w:rFonts w:ascii="Times New Roman" w:eastAsia="Times New Roman" w:hAnsi="Times New Roman" w:cs="Times New Roman"/>
                <w:color w:val="000000"/>
                <w:sz w:val="18"/>
                <w:szCs w:val="18"/>
                <w:lang w:eastAsia="pl-PL"/>
              </w:rPr>
              <w:br/>
              <w:t>z niepełnosprawnościami i ich opiekunowie</w:t>
            </w:r>
          </w:p>
        </w:tc>
        <w:tc>
          <w:tcPr>
            <w:tcW w:w="925" w:type="pct"/>
            <w:tcBorders>
              <w:top w:val="nil"/>
              <w:left w:val="nil"/>
              <w:bottom w:val="single" w:sz="4" w:space="0" w:color="auto"/>
              <w:right w:val="single" w:sz="4" w:space="0" w:color="auto"/>
            </w:tcBorders>
            <w:shd w:val="clear" w:color="auto" w:fill="auto"/>
            <w:vAlign w:val="center"/>
            <w:hideMark/>
          </w:tcPr>
          <w:p w14:paraId="105DEF46" w14:textId="27CD778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Mieszkańcy w niekorzystnej sytuacji </w:t>
            </w:r>
            <w:r w:rsidR="007B67F3">
              <w:rPr>
                <w:rFonts w:ascii="Times New Roman" w:eastAsia="Times New Roman" w:hAnsi="Times New Roman" w:cs="Times New Roman"/>
                <w:color w:val="000000"/>
                <w:sz w:val="18"/>
                <w:szCs w:val="18"/>
                <w:lang w:eastAsia="pl-PL"/>
              </w:rPr>
              <w:t>–</w:t>
            </w:r>
            <w:r w:rsidRPr="00E860C3">
              <w:rPr>
                <w:rFonts w:ascii="Times New Roman" w:eastAsia="Times New Roman" w:hAnsi="Times New Roman" w:cs="Times New Roman"/>
                <w:color w:val="000000"/>
                <w:sz w:val="18"/>
                <w:szCs w:val="18"/>
                <w:lang w:eastAsia="pl-PL"/>
              </w:rPr>
              <w:t xml:space="preserve"> osoby </w:t>
            </w:r>
            <w:r w:rsidRPr="00E860C3">
              <w:rPr>
                <w:rFonts w:ascii="Times New Roman" w:eastAsia="Times New Roman" w:hAnsi="Times New Roman" w:cs="Times New Roman"/>
                <w:color w:val="000000"/>
                <w:sz w:val="18"/>
                <w:szCs w:val="18"/>
                <w:lang w:eastAsia="pl-PL"/>
              </w:rPr>
              <w:br/>
              <w:t>z niepełnosprawnościami i ich opiekunowie</w:t>
            </w:r>
          </w:p>
        </w:tc>
        <w:tc>
          <w:tcPr>
            <w:tcW w:w="1266" w:type="pct"/>
            <w:tcBorders>
              <w:top w:val="nil"/>
              <w:left w:val="nil"/>
              <w:bottom w:val="single" w:sz="4" w:space="0" w:color="auto"/>
              <w:right w:val="single" w:sz="4" w:space="0" w:color="auto"/>
            </w:tcBorders>
            <w:shd w:val="clear" w:color="auto" w:fill="auto"/>
            <w:vAlign w:val="center"/>
            <w:hideMark/>
          </w:tcPr>
          <w:p w14:paraId="7EB10999"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własny LGD</w:t>
            </w:r>
          </w:p>
        </w:tc>
      </w:tr>
      <w:tr w:rsidR="00F35EB5" w:rsidRPr="00E860C3" w14:paraId="541DF368"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DB255DF" w14:textId="54DC5734"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€ 180 000 </w:t>
            </w:r>
          </w:p>
        </w:tc>
        <w:tc>
          <w:tcPr>
            <w:tcW w:w="176" w:type="pct"/>
            <w:tcBorders>
              <w:top w:val="nil"/>
              <w:left w:val="nil"/>
              <w:bottom w:val="single" w:sz="4" w:space="0" w:color="auto"/>
              <w:right w:val="single" w:sz="4" w:space="0" w:color="auto"/>
            </w:tcBorders>
            <w:shd w:val="clear" w:color="auto" w:fill="auto"/>
            <w:vAlign w:val="center"/>
            <w:hideMark/>
          </w:tcPr>
          <w:p w14:paraId="2D951E49"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1.8</w:t>
            </w:r>
          </w:p>
        </w:tc>
        <w:tc>
          <w:tcPr>
            <w:tcW w:w="2189" w:type="pct"/>
            <w:tcBorders>
              <w:top w:val="nil"/>
              <w:left w:val="nil"/>
              <w:bottom w:val="single" w:sz="4" w:space="0" w:color="auto"/>
              <w:right w:val="single" w:sz="4" w:space="0" w:color="auto"/>
            </w:tcBorders>
            <w:shd w:val="clear" w:color="auto" w:fill="auto"/>
            <w:vAlign w:val="center"/>
            <w:hideMark/>
          </w:tcPr>
          <w:p w14:paraId="4CB79AEE" w14:textId="106F4F36"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Zbudowanie oferty rozwoju, spędzania czasu wolnego i rekreacji dla mieszkańców LGD </w:t>
            </w:r>
            <w:r w:rsidR="007B67F3">
              <w:rPr>
                <w:rFonts w:ascii="Times New Roman" w:eastAsia="Times New Roman" w:hAnsi="Times New Roman" w:cs="Times New Roman"/>
                <w:color w:val="000000"/>
                <w:sz w:val="18"/>
                <w:szCs w:val="18"/>
                <w:lang w:eastAsia="pl-PL"/>
              </w:rPr>
              <w:t>–</w:t>
            </w:r>
            <w:r w:rsidRPr="00E860C3">
              <w:rPr>
                <w:rFonts w:ascii="Times New Roman" w:eastAsia="Times New Roman" w:hAnsi="Times New Roman" w:cs="Times New Roman"/>
                <w:color w:val="000000"/>
                <w:sz w:val="18"/>
                <w:szCs w:val="18"/>
                <w:lang w:eastAsia="pl-PL"/>
              </w:rPr>
              <w:t xml:space="preserve"> podejmowanie działalności gospodarczej</w:t>
            </w:r>
          </w:p>
        </w:tc>
        <w:tc>
          <w:tcPr>
            <w:tcW w:w="925" w:type="pct"/>
            <w:tcBorders>
              <w:top w:val="nil"/>
              <w:left w:val="nil"/>
              <w:bottom w:val="single" w:sz="4" w:space="0" w:color="auto"/>
              <w:right w:val="single" w:sz="4" w:space="0" w:color="auto"/>
            </w:tcBorders>
            <w:shd w:val="clear" w:color="auto" w:fill="auto"/>
            <w:vAlign w:val="center"/>
            <w:hideMark/>
          </w:tcPr>
          <w:p w14:paraId="3ABF7015"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1266" w:type="pct"/>
            <w:tcBorders>
              <w:top w:val="nil"/>
              <w:left w:val="nil"/>
              <w:bottom w:val="single" w:sz="4" w:space="0" w:color="auto"/>
              <w:right w:val="single" w:sz="4" w:space="0" w:color="auto"/>
            </w:tcBorders>
            <w:shd w:val="clear" w:color="auto" w:fill="auto"/>
            <w:vAlign w:val="center"/>
            <w:hideMark/>
          </w:tcPr>
          <w:p w14:paraId="5D3BA461"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Projekty wnioskodawców innych niż LGD</w:t>
            </w:r>
          </w:p>
        </w:tc>
      </w:tr>
      <w:tr w:rsidR="00F35EB5" w:rsidRPr="00E860C3" w14:paraId="79EBA1A1"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C0FB247" w14:textId="38725826"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€ 180 000 </w:t>
            </w:r>
          </w:p>
        </w:tc>
        <w:tc>
          <w:tcPr>
            <w:tcW w:w="176" w:type="pct"/>
            <w:tcBorders>
              <w:top w:val="nil"/>
              <w:left w:val="nil"/>
              <w:bottom w:val="single" w:sz="4" w:space="0" w:color="auto"/>
              <w:right w:val="single" w:sz="4" w:space="0" w:color="auto"/>
            </w:tcBorders>
            <w:shd w:val="clear" w:color="auto" w:fill="auto"/>
            <w:vAlign w:val="center"/>
            <w:hideMark/>
          </w:tcPr>
          <w:p w14:paraId="21370AF0"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1.9</w:t>
            </w:r>
          </w:p>
        </w:tc>
        <w:tc>
          <w:tcPr>
            <w:tcW w:w="2189" w:type="pct"/>
            <w:tcBorders>
              <w:top w:val="nil"/>
              <w:left w:val="nil"/>
              <w:bottom w:val="single" w:sz="4" w:space="0" w:color="auto"/>
              <w:right w:val="single" w:sz="4" w:space="0" w:color="auto"/>
            </w:tcBorders>
            <w:shd w:val="clear" w:color="auto" w:fill="auto"/>
            <w:vAlign w:val="center"/>
            <w:hideMark/>
          </w:tcPr>
          <w:p w14:paraId="57AB550E" w14:textId="193E83F1"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Zbudowanie oferty rozwoju, spędzania czasu wolnego i rekreacji dla mieszkańców LGD </w:t>
            </w:r>
            <w:r w:rsidR="007B67F3">
              <w:rPr>
                <w:rFonts w:ascii="Times New Roman" w:eastAsia="Times New Roman" w:hAnsi="Times New Roman" w:cs="Times New Roman"/>
                <w:color w:val="000000"/>
                <w:sz w:val="18"/>
                <w:szCs w:val="18"/>
                <w:lang w:eastAsia="pl-PL"/>
              </w:rPr>
              <w:t>–</w:t>
            </w:r>
            <w:r w:rsidRPr="00E860C3">
              <w:rPr>
                <w:rFonts w:ascii="Times New Roman" w:eastAsia="Times New Roman" w:hAnsi="Times New Roman" w:cs="Times New Roman"/>
                <w:color w:val="000000"/>
                <w:sz w:val="18"/>
                <w:szCs w:val="18"/>
                <w:lang w:eastAsia="pl-PL"/>
              </w:rPr>
              <w:t xml:space="preserve"> rozwój działalności gospodarczej</w:t>
            </w:r>
          </w:p>
        </w:tc>
        <w:tc>
          <w:tcPr>
            <w:tcW w:w="925" w:type="pct"/>
            <w:tcBorders>
              <w:top w:val="nil"/>
              <w:left w:val="nil"/>
              <w:bottom w:val="single" w:sz="4" w:space="0" w:color="auto"/>
              <w:right w:val="single" w:sz="4" w:space="0" w:color="auto"/>
            </w:tcBorders>
            <w:shd w:val="clear" w:color="auto" w:fill="auto"/>
            <w:vAlign w:val="center"/>
            <w:hideMark/>
          </w:tcPr>
          <w:p w14:paraId="62EAD8F1"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1266" w:type="pct"/>
            <w:tcBorders>
              <w:top w:val="nil"/>
              <w:left w:val="nil"/>
              <w:bottom w:val="single" w:sz="4" w:space="0" w:color="auto"/>
              <w:right w:val="single" w:sz="4" w:space="0" w:color="auto"/>
            </w:tcBorders>
            <w:shd w:val="clear" w:color="auto" w:fill="auto"/>
            <w:vAlign w:val="center"/>
            <w:hideMark/>
          </w:tcPr>
          <w:p w14:paraId="6691941A"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Projekty wnioskodawców innych niż LGD</w:t>
            </w:r>
          </w:p>
        </w:tc>
      </w:tr>
      <w:tr w:rsidR="00F35EB5" w:rsidRPr="00E860C3" w14:paraId="0DE0004D"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FA484D0" w14:textId="15F5861C"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€ 90 000 </w:t>
            </w:r>
          </w:p>
        </w:tc>
        <w:tc>
          <w:tcPr>
            <w:tcW w:w="176" w:type="pct"/>
            <w:tcBorders>
              <w:top w:val="nil"/>
              <w:left w:val="nil"/>
              <w:bottom w:val="single" w:sz="4" w:space="0" w:color="auto"/>
              <w:right w:val="single" w:sz="4" w:space="0" w:color="auto"/>
            </w:tcBorders>
            <w:shd w:val="clear" w:color="auto" w:fill="auto"/>
            <w:vAlign w:val="center"/>
            <w:hideMark/>
          </w:tcPr>
          <w:p w14:paraId="45880BFC"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1.10</w:t>
            </w:r>
          </w:p>
        </w:tc>
        <w:tc>
          <w:tcPr>
            <w:tcW w:w="2189" w:type="pct"/>
            <w:tcBorders>
              <w:top w:val="nil"/>
              <w:left w:val="nil"/>
              <w:bottom w:val="single" w:sz="4" w:space="0" w:color="auto"/>
              <w:right w:val="single" w:sz="4" w:space="0" w:color="auto"/>
            </w:tcBorders>
            <w:shd w:val="clear" w:color="auto" w:fill="auto"/>
            <w:vAlign w:val="center"/>
            <w:hideMark/>
          </w:tcPr>
          <w:p w14:paraId="0F409605"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Utworzenie lub rozwój gospodarstwa agroturystycznego</w:t>
            </w:r>
          </w:p>
        </w:tc>
        <w:tc>
          <w:tcPr>
            <w:tcW w:w="925" w:type="pct"/>
            <w:tcBorders>
              <w:top w:val="nil"/>
              <w:left w:val="nil"/>
              <w:bottom w:val="single" w:sz="4" w:space="0" w:color="auto"/>
              <w:right w:val="single" w:sz="4" w:space="0" w:color="auto"/>
            </w:tcBorders>
            <w:shd w:val="clear" w:color="auto" w:fill="auto"/>
            <w:vAlign w:val="center"/>
            <w:hideMark/>
          </w:tcPr>
          <w:p w14:paraId="3BC7FEA1"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1266" w:type="pct"/>
            <w:tcBorders>
              <w:top w:val="nil"/>
              <w:left w:val="nil"/>
              <w:bottom w:val="single" w:sz="4" w:space="0" w:color="auto"/>
              <w:right w:val="single" w:sz="4" w:space="0" w:color="auto"/>
            </w:tcBorders>
            <w:shd w:val="clear" w:color="auto" w:fill="auto"/>
            <w:vAlign w:val="center"/>
            <w:hideMark/>
          </w:tcPr>
          <w:p w14:paraId="028044E7"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Projekty wnioskodawców innych niż LGD</w:t>
            </w:r>
          </w:p>
        </w:tc>
      </w:tr>
      <w:tr w:rsidR="00F35EB5" w:rsidRPr="00E860C3" w14:paraId="15F39AA2"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5784E28" w14:textId="6D574058"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€ 90 000 </w:t>
            </w:r>
          </w:p>
        </w:tc>
        <w:tc>
          <w:tcPr>
            <w:tcW w:w="176" w:type="pct"/>
            <w:tcBorders>
              <w:top w:val="nil"/>
              <w:left w:val="nil"/>
              <w:bottom w:val="single" w:sz="4" w:space="0" w:color="auto"/>
              <w:right w:val="single" w:sz="4" w:space="0" w:color="auto"/>
            </w:tcBorders>
            <w:shd w:val="clear" w:color="auto" w:fill="auto"/>
            <w:vAlign w:val="center"/>
            <w:hideMark/>
          </w:tcPr>
          <w:p w14:paraId="535B509D"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1.11</w:t>
            </w:r>
          </w:p>
        </w:tc>
        <w:tc>
          <w:tcPr>
            <w:tcW w:w="2189" w:type="pct"/>
            <w:tcBorders>
              <w:top w:val="nil"/>
              <w:left w:val="nil"/>
              <w:bottom w:val="single" w:sz="4" w:space="0" w:color="auto"/>
              <w:right w:val="single" w:sz="4" w:space="0" w:color="auto"/>
            </w:tcBorders>
            <w:shd w:val="clear" w:color="auto" w:fill="auto"/>
            <w:vAlign w:val="center"/>
            <w:hideMark/>
          </w:tcPr>
          <w:p w14:paraId="71306914"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Utworzenia lub rozwój zagrody edukacyjnej</w:t>
            </w:r>
          </w:p>
        </w:tc>
        <w:tc>
          <w:tcPr>
            <w:tcW w:w="925" w:type="pct"/>
            <w:tcBorders>
              <w:top w:val="nil"/>
              <w:left w:val="nil"/>
              <w:bottom w:val="single" w:sz="4" w:space="0" w:color="auto"/>
              <w:right w:val="single" w:sz="4" w:space="0" w:color="auto"/>
            </w:tcBorders>
            <w:shd w:val="clear" w:color="auto" w:fill="auto"/>
            <w:vAlign w:val="center"/>
            <w:hideMark/>
          </w:tcPr>
          <w:p w14:paraId="693C207F"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1266" w:type="pct"/>
            <w:tcBorders>
              <w:top w:val="nil"/>
              <w:left w:val="nil"/>
              <w:bottom w:val="single" w:sz="4" w:space="0" w:color="auto"/>
              <w:right w:val="single" w:sz="4" w:space="0" w:color="auto"/>
            </w:tcBorders>
            <w:shd w:val="clear" w:color="auto" w:fill="auto"/>
            <w:vAlign w:val="center"/>
            <w:hideMark/>
          </w:tcPr>
          <w:p w14:paraId="42B78845"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Projekty wnioskodawców innych niż LGD</w:t>
            </w:r>
          </w:p>
        </w:tc>
      </w:tr>
      <w:tr w:rsidR="00F35EB5" w:rsidRPr="00E860C3" w14:paraId="0A852480"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D7FEAFB" w14:textId="5B1BF249"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€ 60 000 </w:t>
            </w:r>
          </w:p>
        </w:tc>
        <w:tc>
          <w:tcPr>
            <w:tcW w:w="176" w:type="pct"/>
            <w:tcBorders>
              <w:top w:val="nil"/>
              <w:left w:val="nil"/>
              <w:bottom w:val="single" w:sz="4" w:space="0" w:color="auto"/>
              <w:right w:val="single" w:sz="4" w:space="0" w:color="auto"/>
            </w:tcBorders>
            <w:shd w:val="clear" w:color="auto" w:fill="auto"/>
            <w:vAlign w:val="center"/>
            <w:hideMark/>
          </w:tcPr>
          <w:p w14:paraId="6F666683"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1.12</w:t>
            </w:r>
          </w:p>
        </w:tc>
        <w:tc>
          <w:tcPr>
            <w:tcW w:w="2189" w:type="pct"/>
            <w:tcBorders>
              <w:top w:val="nil"/>
              <w:left w:val="nil"/>
              <w:bottom w:val="single" w:sz="4" w:space="0" w:color="auto"/>
              <w:right w:val="single" w:sz="4" w:space="0" w:color="auto"/>
            </w:tcBorders>
            <w:shd w:val="clear" w:color="auto" w:fill="auto"/>
            <w:vAlign w:val="center"/>
            <w:hideMark/>
          </w:tcPr>
          <w:p w14:paraId="4677ACCC"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Działania marketingowe na rzecz spójności i budowania wspólnoty obszaru</w:t>
            </w:r>
          </w:p>
        </w:tc>
        <w:tc>
          <w:tcPr>
            <w:tcW w:w="925" w:type="pct"/>
            <w:tcBorders>
              <w:top w:val="nil"/>
              <w:left w:val="nil"/>
              <w:bottom w:val="single" w:sz="4" w:space="0" w:color="auto"/>
              <w:right w:val="single" w:sz="4" w:space="0" w:color="auto"/>
            </w:tcBorders>
            <w:shd w:val="clear" w:color="auto" w:fill="auto"/>
            <w:vAlign w:val="center"/>
            <w:hideMark/>
          </w:tcPr>
          <w:p w14:paraId="782CD5AA"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organizacje pozarządowe</w:t>
            </w:r>
          </w:p>
        </w:tc>
        <w:tc>
          <w:tcPr>
            <w:tcW w:w="1266" w:type="pct"/>
            <w:tcBorders>
              <w:top w:val="nil"/>
              <w:left w:val="nil"/>
              <w:bottom w:val="single" w:sz="4" w:space="0" w:color="auto"/>
              <w:right w:val="single" w:sz="4" w:space="0" w:color="auto"/>
            </w:tcBorders>
            <w:shd w:val="clear" w:color="auto" w:fill="auto"/>
            <w:vAlign w:val="center"/>
            <w:hideMark/>
          </w:tcPr>
          <w:p w14:paraId="6B0DC681"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własny LGD</w:t>
            </w:r>
          </w:p>
        </w:tc>
      </w:tr>
      <w:tr w:rsidR="00F35EB5" w:rsidRPr="00E860C3" w14:paraId="7C7D68CA"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0D5E9B0" w14:textId="328FA805"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c>
          <w:tcPr>
            <w:tcW w:w="176" w:type="pct"/>
            <w:tcBorders>
              <w:top w:val="nil"/>
              <w:left w:val="nil"/>
              <w:bottom w:val="single" w:sz="4" w:space="0" w:color="auto"/>
              <w:right w:val="single" w:sz="4" w:space="0" w:color="auto"/>
            </w:tcBorders>
            <w:shd w:val="clear" w:color="auto" w:fill="auto"/>
            <w:vAlign w:val="center"/>
            <w:hideMark/>
          </w:tcPr>
          <w:p w14:paraId="1972DEB4"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1.13</w:t>
            </w:r>
          </w:p>
        </w:tc>
        <w:tc>
          <w:tcPr>
            <w:tcW w:w="2189" w:type="pct"/>
            <w:tcBorders>
              <w:top w:val="nil"/>
              <w:left w:val="nil"/>
              <w:bottom w:val="single" w:sz="4" w:space="0" w:color="auto"/>
              <w:right w:val="single" w:sz="4" w:space="0" w:color="auto"/>
            </w:tcBorders>
            <w:shd w:val="clear" w:color="auto" w:fill="auto"/>
            <w:vAlign w:val="center"/>
            <w:hideMark/>
          </w:tcPr>
          <w:p w14:paraId="66D66A18"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Zwiększenie oferty kultury </w:t>
            </w:r>
          </w:p>
        </w:tc>
        <w:tc>
          <w:tcPr>
            <w:tcW w:w="925" w:type="pct"/>
            <w:tcBorders>
              <w:top w:val="nil"/>
              <w:left w:val="nil"/>
              <w:bottom w:val="single" w:sz="4" w:space="0" w:color="auto"/>
              <w:right w:val="single" w:sz="4" w:space="0" w:color="auto"/>
            </w:tcBorders>
            <w:shd w:val="clear" w:color="auto" w:fill="auto"/>
            <w:vAlign w:val="center"/>
            <w:hideMark/>
          </w:tcPr>
          <w:p w14:paraId="4AB0F83B"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1266" w:type="pct"/>
            <w:tcBorders>
              <w:top w:val="nil"/>
              <w:left w:val="nil"/>
              <w:bottom w:val="single" w:sz="4" w:space="0" w:color="auto"/>
              <w:right w:val="single" w:sz="4" w:space="0" w:color="auto"/>
            </w:tcBorders>
            <w:shd w:val="clear" w:color="auto" w:fill="auto"/>
            <w:vAlign w:val="center"/>
            <w:hideMark/>
          </w:tcPr>
          <w:p w14:paraId="022FBD4A"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grantowy</w:t>
            </w:r>
          </w:p>
        </w:tc>
      </w:tr>
      <w:tr w:rsidR="00F35EB5" w:rsidRPr="00E860C3" w14:paraId="2C5ACCF0"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22A1454" w14:textId="0A2D0369"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c>
          <w:tcPr>
            <w:tcW w:w="176" w:type="pct"/>
            <w:tcBorders>
              <w:top w:val="nil"/>
              <w:left w:val="nil"/>
              <w:bottom w:val="single" w:sz="4" w:space="0" w:color="auto"/>
              <w:right w:val="single" w:sz="4" w:space="0" w:color="auto"/>
            </w:tcBorders>
            <w:shd w:val="clear" w:color="auto" w:fill="auto"/>
            <w:vAlign w:val="center"/>
            <w:hideMark/>
          </w:tcPr>
          <w:p w14:paraId="535AD087"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1.14</w:t>
            </w:r>
          </w:p>
        </w:tc>
        <w:tc>
          <w:tcPr>
            <w:tcW w:w="2189" w:type="pct"/>
            <w:tcBorders>
              <w:top w:val="nil"/>
              <w:left w:val="nil"/>
              <w:bottom w:val="single" w:sz="4" w:space="0" w:color="auto"/>
              <w:right w:val="single" w:sz="4" w:space="0" w:color="auto"/>
            </w:tcBorders>
            <w:shd w:val="clear" w:color="auto" w:fill="auto"/>
            <w:vAlign w:val="center"/>
            <w:hideMark/>
          </w:tcPr>
          <w:p w14:paraId="5DFEA82D"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Utworzenie akademii liderów społecznych</w:t>
            </w:r>
          </w:p>
        </w:tc>
        <w:tc>
          <w:tcPr>
            <w:tcW w:w="925" w:type="pct"/>
            <w:tcBorders>
              <w:top w:val="nil"/>
              <w:left w:val="nil"/>
              <w:bottom w:val="single" w:sz="4" w:space="0" w:color="auto"/>
              <w:right w:val="single" w:sz="4" w:space="0" w:color="auto"/>
            </w:tcBorders>
            <w:shd w:val="clear" w:color="auto" w:fill="auto"/>
            <w:vAlign w:val="center"/>
            <w:hideMark/>
          </w:tcPr>
          <w:p w14:paraId="0D86BE16"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organizacje pozarządowe</w:t>
            </w:r>
          </w:p>
        </w:tc>
        <w:tc>
          <w:tcPr>
            <w:tcW w:w="1266" w:type="pct"/>
            <w:tcBorders>
              <w:top w:val="nil"/>
              <w:left w:val="nil"/>
              <w:bottom w:val="single" w:sz="4" w:space="0" w:color="auto"/>
              <w:right w:val="single" w:sz="4" w:space="0" w:color="auto"/>
            </w:tcBorders>
            <w:shd w:val="clear" w:color="auto" w:fill="auto"/>
            <w:vAlign w:val="center"/>
            <w:hideMark/>
          </w:tcPr>
          <w:p w14:paraId="05370F83"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własny LGD</w:t>
            </w:r>
          </w:p>
        </w:tc>
      </w:tr>
      <w:tr w:rsidR="00F35EB5" w:rsidRPr="00E860C3" w14:paraId="00582BF3"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274DD71" w14:textId="225075A2"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c>
          <w:tcPr>
            <w:tcW w:w="176" w:type="pct"/>
            <w:tcBorders>
              <w:top w:val="nil"/>
              <w:left w:val="nil"/>
              <w:bottom w:val="single" w:sz="4" w:space="0" w:color="auto"/>
              <w:right w:val="single" w:sz="4" w:space="0" w:color="auto"/>
            </w:tcBorders>
            <w:shd w:val="clear" w:color="auto" w:fill="auto"/>
            <w:vAlign w:val="center"/>
            <w:hideMark/>
          </w:tcPr>
          <w:p w14:paraId="4860121D"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1.15</w:t>
            </w:r>
          </w:p>
        </w:tc>
        <w:tc>
          <w:tcPr>
            <w:tcW w:w="2189" w:type="pct"/>
            <w:tcBorders>
              <w:top w:val="nil"/>
              <w:left w:val="nil"/>
              <w:bottom w:val="single" w:sz="4" w:space="0" w:color="auto"/>
              <w:right w:val="single" w:sz="4" w:space="0" w:color="auto"/>
            </w:tcBorders>
            <w:shd w:val="clear" w:color="auto" w:fill="auto"/>
            <w:vAlign w:val="center"/>
            <w:hideMark/>
          </w:tcPr>
          <w:p w14:paraId="28A3C91D"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Wsparcie rozwoju kompetencji mieszkańców w zakresie pracy, usług i nauki zdalnej</w:t>
            </w:r>
          </w:p>
        </w:tc>
        <w:tc>
          <w:tcPr>
            <w:tcW w:w="925" w:type="pct"/>
            <w:tcBorders>
              <w:top w:val="nil"/>
              <w:left w:val="nil"/>
              <w:bottom w:val="single" w:sz="4" w:space="0" w:color="auto"/>
              <w:right w:val="single" w:sz="4" w:space="0" w:color="auto"/>
            </w:tcBorders>
            <w:shd w:val="clear" w:color="auto" w:fill="auto"/>
            <w:vAlign w:val="center"/>
            <w:hideMark/>
          </w:tcPr>
          <w:p w14:paraId="2E672A90"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w:t>
            </w:r>
          </w:p>
        </w:tc>
        <w:tc>
          <w:tcPr>
            <w:tcW w:w="1266" w:type="pct"/>
            <w:tcBorders>
              <w:top w:val="nil"/>
              <w:left w:val="nil"/>
              <w:bottom w:val="single" w:sz="4" w:space="0" w:color="auto"/>
              <w:right w:val="single" w:sz="4" w:space="0" w:color="auto"/>
            </w:tcBorders>
            <w:shd w:val="clear" w:color="auto" w:fill="auto"/>
            <w:vAlign w:val="center"/>
            <w:hideMark/>
          </w:tcPr>
          <w:p w14:paraId="46D8A5A9"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własny LGD</w:t>
            </w:r>
          </w:p>
        </w:tc>
      </w:tr>
      <w:tr w:rsidR="00F35EB5" w:rsidRPr="00E860C3" w14:paraId="473C3F4D" w14:textId="77777777" w:rsidTr="00E860C3">
        <w:trPr>
          <w:trHeight w:val="45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19ABDCD" w14:textId="1BE2A122" w:rsidR="000F4A13" w:rsidRPr="00E860C3" w:rsidRDefault="000F4A13" w:rsidP="000F4A13">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 € 100 000 </w:t>
            </w:r>
          </w:p>
        </w:tc>
        <w:tc>
          <w:tcPr>
            <w:tcW w:w="176" w:type="pct"/>
            <w:tcBorders>
              <w:top w:val="nil"/>
              <w:left w:val="nil"/>
              <w:bottom w:val="single" w:sz="4" w:space="0" w:color="auto"/>
              <w:right w:val="single" w:sz="4" w:space="0" w:color="auto"/>
            </w:tcBorders>
            <w:shd w:val="clear" w:color="auto" w:fill="auto"/>
            <w:vAlign w:val="center"/>
            <w:hideMark/>
          </w:tcPr>
          <w:p w14:paraId="387047FA"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1.16</w:t>
            </w:r>
          </w:p>
        </w:tc>
        <w:tc>
          <w:tcPr>
            <w:tcW w:w="2189" w:type="pct"/>
            <w:tcBorders>
              <w:top w:val="nil"/>
              <w:left w:val="nil"/>
              <w:bottom w:val="single" w:sz="4" w:space="0" w:color="auto"/>
              <w:right w:val="single" w:sz="4" w:space="0" w:color="auto"/>
            </w:tcBorders>
            <w:shd w:val="clear" w:color="auto" w:fill="auto"/>
            <w:vAlign w:val="center"/>
            <w:hideMark/>
          </w:tcPr>
          <w:p w14:paraId="46861644"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Kreowanie projektów partnerskich</w:t>
            </w:r>
          </w:p>
        </w:tc>
        <w:tc>
          <w:tcPr>
            <w:tcW w:w="925" w:type="pct"/>
            <w:tcBorders>
              <w:top w:val="nil"/>
              <w:left w:val="nil"/>
              <w:bottom w:val="single" w:sz="4" w:space="0" w:color="auto"/>
              <w:right w:val="single" w:sz="4" w:space="0" w:color="auto"/>
            </w:tcBorders>
            <w:shd w:val="clear" w:color="auto" w:fill="auto"/>
            <w:vAlign w:val="center"/>
            <w:hideMark/>
          </w:tcPr>
          <w:p w14:paraId="2110FD61"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Mieszkańcy, organizacje pozarządowe</w:t>
            </w:r>
          </w:p>
        </w:tc>
        <w:tc>
          <w:tcPr>
            <w:tcW w:w="1266" w:type="pct"/>
            <w:tcBorders>
              <w:top w:val="nil"/>
              <w:left w:val="nil"/>
              <w:bottom w:val="single" w:sz="4" w:space="0" w:color="auto"/>
              <w:right w:val="single" w:sz="4" w:space="0" w:color="auto"/>
            </w:tcBorders>
            <w:shd w:val="clear" w:color="auto" w:fill="auto"/>
            <w:vAlign w:val="center"/>
            <w:hideMark/>
          </w:tcPr>
          <w:p w14:paraId="23D54171" w14:textId="77777777" w:rsidR="000F4A13" w:rsidRPr="00E860C3" w:rsidRDefault="000F4A13" w:rsidP="000F4A13">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Projekt własny LGD</w:t>
            </w:r>
          </w:p>
        </w:tc>
      </w:tr>
    </w:tbl>
    <w:p w14:paraId="79C2B6AA" w14:textId="2D260BDE" w:rsidR="00A17173" w:rsidRPr="00FB27CB" w:rsidRDefault="00FB27CB" w:rsidP="00FB27CB">
      <w:pPr>
        <w:pStyle w:val="Gwne"/>
        <w:numPr>
          <w:ilvl w:val="0"/>
          <w:numId w:val="0"/>
        </w:numPr>
        <w:ind w:left="1077"/>
        <w:jc w:val="center"/>
        <w:outlineLvl w:val="9"/>
        <w:rPr>
          <w:b w:val="0"/>
          <w:bCs w:val="0"/>
          <w:sz w:val="22"/>
          <w:szCs w:val="22"/>
        </w:rPr>
      </w:pPr>
      <w:r w:rsidRPr="00FB27CB">
        <w:rPr>
          <w:b w:val="0"/>
          <w:bCs w:val="0"/>
          <w:i/>
          <w:iCs/>
          <w:sz w:val="20"/>
          <w:szCs w:val="20"/>
        </w:rPr>
        <w:t>Źródło: Opracowanie własne</w:t>
      </w:r>
    </w:p>
    <w:p w14:paraId="33D7B9AD" w14:textId="77777777" w:rsidR="00A17173" w:rsidRPr="00676D9C" w:rsidRDefault="00A17173" w:rsidP="005F7666">
      <w:pPr>
        <w:pStyle w:val="Gwne"/>
        <w:numPr>
          <w:ilvl w:val="0"/>
          <w:numId w:val="0"/>
        </w:numPr>
        <w:ind w:left="360" w:hanging="360"/>
        <w:outlineLvl w:val="9"/>
        <w:rPr>
          <w:b w:val="0"/>
          <w:bCs w:val="0"/>
          <w:sz w:val="22"/>
          <w:szCs w:val="22"/>
        </w:rPr>
      </w:pPr>
      <w:bookmarkStart w:id="134" w:name="_Toc133484358"/>
      <w:bookmarkEnd w:id="133"/>
      <w:r w:rsidRPr="00676D9C">
        <w:rPr>
          <w:b w:val="0"/>
          <w:bCs w:val="0"/>
          <w:sz w:val="22"/>
          <w:szCs w:val="22"/>
        </w:rPr>
        <w:lastRenderedPageBreak/>
        <w:t>Załącznik nr 2 Plan działania</w:t>
      </w:r>
      <w:bookmarkEnd w:id="134"/>
    </w:p>
    <w:tbl>
      <w:tblPr>
        <w:tblW w:w="5000" w:type="pct"/>
        <w:tblCellMar>
          <w:left w:w="70" w:type="dxa"/>
          <w:right w:w="70" w:type="dxa"/>
        </w:tblCellMar>
        <w:tblLook w:val="04A0" w:firstRow="1" w:lastRow="0" w:firstColumn="1" w:lastColumn="0" w:noHBand="0" w:noVBand="1"/>
      </w:tblPr>
      <w:tblGrid>
        <w:gridCol w:w="570"/>
        <w:gridCol w:w="2137"/>
        <w:gridCol w:w="2264"/>
        <w:gridCol w:w="762"/>
        <w:gridCol w:w="759"/>
        <w:gridCol w:w="802"/>
        <w:gridCol w:w="765"/>
        <w:gridCol w:w="756"/>
        <w:gridCol w:w="765"/>
        <w:gridCol w:w="756"/>
        <w:gridCol w:w="765"/>
        <w:gridCol w:w="756"/>
        <w:gridCol w:w="765"/>
        <w:gridCol w:w="756"/>
        <w:gridCol w:w="765"/>
        <w:gridCol w:w="983"/>
      </w:tblGrid>
      <w:tr w:rsidR="004C5D15" w:rsidRPr="00E860C3" w14:paraId="2C838388" w14:textId="77777777" w:rsidTr="004C5D15">
        <w:trPr>
          <w:trHeight w:val="300"/>
        </w:trPr>
        <w:tc>
          <w:tcPr>
            <w:tcW w:w="89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90815" w14:textId="77777777" w:rsidR="004C5D15" w:rsidRPr="00E860C3"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 xml:space="preserve">CEL </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14:paraId="74F7C3A6" w14:textId="77777777" w:rsidR="004C5D15" w:rsidRPr="00E860C3"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Lata</w:t>
            </w:r>
          </w:p>
        </w:tc>
        <w:tc>
          <w:tcPr>
            <w:tcW w:w="503" w:type="pct"/>
            <w:gridSpan w:val="2"/>
            <w:tcBorders>
              <w:top w:val="single" w:sz="4" w:space="0" w:color="auto"/>
              <w:left w:val="nil"/>
              <w:bottom w:val="single" w:sz="4" w:space="0" w:color="auto"/>
              <w:right w:val="single" w:sz="4" w:space="0" w:color="auto"/>
            </w:tcBorders>
            <w:shd w:val="clear" w:color="auto" w:fill="auto"/>
            <w:vAlign w:val="center"/>
            <w:hideMark/>
          </w:tcPr>
          <w:p w14:paraId="6019B615" w14:textId="77777777" w:rsidR="004C5D15" w:rsidRPr="00E860C3"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Do 31.12.2024</w:t>
            </w:r>
          </w:p>
        </w:tc>
        <w:tc>
          <w:tcPr>
            <w:tcW w:w="518" w:type="pct"/>
            <w:gridSpan w:val="2"/>
            <w:tcBorders>
              <w:top w:val="single" w:sz="4" w:space="0" w:color="auto"/>
              <w:left w:val="nil"/>
              <w:bottom w:val="single" w:sz="4" w:space="0" w:color="auto"/>
              <w:right w:val="single" w:sz="4" w:space="0" w:color="auto"/>
            </w:tcBorders>
            <w:shd w:val="clear" w:color="auto" w:fill="auto"/>
            <w:vAlign w:val="center"/>
            <w:hideMark/>
          </w:tcPr>
          <w:p w14:paraId="556B2A5B" w14:textId="77777777" w:rsidR="004C5D15" w:rsidRPr="00E860C3"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Do 31.12.2025</w:t>
            </w:r>
          </w:p>
        </w:tc>
        <w:tc>
          <w:tcPr>
            <w:tcW w:w="503" w:type="pct"/>
            <w:gridSpan w:val="2"/>
            <w:tcBorders>
              <w:top w:val="single" w:sz="4" w:space="0" w:color="auto"/>
              <w:left w:val="nil"/>
              <w:bottom w:val="single" w:sz="4" w:space="0" w:color="auto"/>
              <w:right w:val="single" w:sz="4" w:space="0" w:color="auto"/>
            </w:tcBorders>
            <w:shd w:val="clear" w:color="auto" w:fill="auto"/>
            <w:vAlign w:val="center"/>
            <w:hideMark/>
          </w:tcPr>
          <w:p w14:paraId="0B44C006" w14:textId="77777777" w:rsidR="004C5D15" w:rsidRPr="00E860C3"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Do 31.12.2026</w:t>
            </w:r>
          </w:p>
        </w:tc>
        <w:tc>
          <w:tcPr>
            <w:tcW w:w="503" w:type="pct"/>
            <w:gridSpan w:val="2"/>
            <w:tcBorders>
              <w:top w:val="single" w:sz="4" w:space="0" w:color="auto"/>
              <w:left w:val="nil"/>
              <w:bottom w:val="single" w:sz="4" w:space="0" w:color="auto"/>
              <w:right w:val="single" w:sz="4" w:space="0" w:color="auto"/>
            </w:tcBorders>
            <w:shd w:val="clear" w:color="auto" w:fill="auto"/>
            <w:vAlign w:val="center"/>
            <w:hideMark/>
          </w:tcPr>
          <w:p w14:paraId="67876D49" w14:textId="77777777" w:rsidR="004C5D15" w:rsidRPr="00E860C3"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Do 31.12.2027</w:t>
            </w:r>
          </w:p>
        </w:tc>
        <w:tc>
          <w:tcPr>
            <w:tcW w:w="503" w:type="pct"/>
            <w:gridSpan w:val="2"/>
            <w:tcBorders>
              <w:top w:val="single" w:sz="4" w:space="0" w:color="auto"/>
              <w:left w:val="nil"/>
              <w:bottom w:val="single" w:sz="4" w:space="0" w:color="auto"/>
              <w:right w:val="single" w:sz="4" w:space="0" w:color="auto"/>
            </w:tcBorders>
            <w:shd w:val="clear" w:color="auto" w:fill="auto"/>
            <w:vAlign w:val="center"/>
            <w:hideMark/>
          </w:tcPr>
          <w:p w14:paraId="517871D2" w14:textId="77777777" w:rsidR="004C5D15" w:rsidRPr="00E860C3"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Do 31.12.2028</w:t>
            </w:r>
          </w:p>
        </w:tc>
        <w:tc>
          <w:tcPr>
            <w:tcW w:w="503" w:type="pct"/>
            <w:gridSpan w:val="2"/>
            <w:tcBorders>
              <w:top w:val="single" w:sz="4" w:space="0" w:color="auto"/>
              <w:left w:val="nil"/>
              <w:bottom w:val="single" w:sz="4" w:space="0" w:color="auto"/>
              <w:right w:val="single" w:sz="4" w:space="0" w:color="auto"/>
            </w:tcBorders>
            <w:shd w:val="clear" w:color="auto" w:fill="auto"/>
            <w:vAlign w:val="center"/>
            <w:hideMark/>
          </w:tcPr>
          <w:p w14:paraId="14B35923" w14:textId="77777777" w:rsidR="004C5D15" w:rsidRPr="00E860C3"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Do 31.12.2029</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3F6F5102" w14:textId="77777777" w:rsidR="004C5D15" w:rsidRPr="00E860C3"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E860C3">
              <w:rPr>
                <w:rFonts w:ascii="Times New Roman" w:eastAsia="Times New Roman" w:hAnsi="Times New Roman" w:cs="Times New Roman"/>
                <w:b/>
                <w:bCs/>
                <w:color w:val="000000"/>
                <w:sz w:val="18"/>
                <w:szCs w:val="18"/>
                <w:lang w:eastAsia="pl-PL"/>
              </w:rPr>
              <w:t>Program</w:t>
            </w:r>
          </w:p>
        </w:tc>
      </w:tr>
      <w:tr w:rsidR="004C5D15" w:rsidRPr="00E860C3" w14:paraId="2649E62A" w14:textId="77777777" w:rsidTr="004C5D15">
        <w:trPr>
          <w:trHeight w:val="1620"/>
        </w:trPr>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4C59CF06" w14:textId="77777777" w:rsidR="004C5D15" w:rsidRPr="00E860C3" w:rsidRDefault="004C5D15" w:rsidP="004C5D15">
            <w:pPr>
              <w:spacing w:after="0" w:line="240" w:lineRule="auto"/>
              <w:rPr>
                <w:rFonts w:ascii="Times New Roman" w:eastAsia="Times New Roman" w:hAnsi="Times New Roman" w:cs="Times New Roman"/>
                <w:b/>
                <w:bCs/>
                <w:color w:val="000000"/>
                <w:sz w:val="18"/>
                <w:szCs w:val="18"/>
                <w:lang w:eastAsia="pl-PL"/>
              </w:rPr>
            </w:pPr>
          </w:p>
        </w:tc>
        <w:tc>
          <w:tcPr>
            <w:tcW w:w="748" w:type="pct"/>
            <w:tcBorders>
              <w:top w:val="nil"/>
              <w:left w:val="nil"/>
              <w:bottom w:val="single" w:sz="4" w:space="0" w:color="auto"/>
              <w:right w:val="single" w:sz="4" w:space="0" w:color="auto"/>
            </w:tcBorders>
            <w:shd w:val="clear" w:color="000000" w:fill="FFFFFF"/>
            <w:textDirection w:val="btLr"/>
            <w:vAlign w:val="center"/>
            <w:hideMark/>
          </w:tcPr>
          <w:p w14:paraId="2C67F21F"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Nazwa wskaźnika</w:t>
            </w:r>
          </w:p>
        </w:tc>
        <w:tc>
          <w:tcPr>
            <w:tcW w:w="252" w:type="pct"/>
            <w:tcBorders>
              <w:top w:val="nil"/>
              <w:left w:val="nil"/>
              <w:bottom w:val="single" w:sz="4" w:space="0" w:color="auto"/>
              <w:right w:val="single" w:sz="4" w:space="0" w:color="auto"/>
            </w:tcBorders>
            <w:shd w:val="clear" w:color="auto" w:fill="auto"/>
            <w:textDirection w:val="btLr"/>
            <w:vAlign w:val="center"/>
            <w:hideMark/>
          </w:tcPr>
          <w:p w14:paraId="2AC05A0B"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Wartość z jednostką miary</w:t>
            </w:r>
          </w:p>
        </w:tc>
        <w:tc>
          <w:tcPr>
            <w:tcW w:w="251" w:type="pct"/>
            <w:tcBorders>
              <w:top w:val="nil"/>
              <w:left w:val="nil"/>
              <w:bottom w:val="single" w:sz="4" w:space="0" w:color="auto"/>
              <w:right w:val="single" w:sz="4" w:space="0" w:color="auto"/>
            </w:tcBorders>
            <w:shd w:val="clear" w:color="auto" w:fill="auto"/>
            <w:textDirection w:val="btLr"/>
            <w:vAlign w:val="center"/>
            <w:hideMark/>
          </w:tcPr>
          <w:p w14:paraId="304B161D"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realizacji wskaźnika narastająco</w:t>
            </w:r>
          </w:p>
        </w:tc>
        <w:tc>
          <w:tcPr>
            <w:tcW w:w="265" w:type="pct"/>
            <w:tcBorders>
              <w:top w:val="nil"/>
              <w:left w:val="nil"/>
              <w:bottom w:val="single" w:sz="4" w:space="0" w:color="auto"/>
              <w:right w:val="single" w:sz="4" w:space="0" w:color="auto"/>
            </w:tcBorders>
            <w:shd w:val="clear" w:color="auto" w:fill="auto"/>
            <w:textDirection w:val="btLr"/>
            <w:vAlign w:val="center"/>
            <w:hideMark/>
          </w:tcPr>
          <w:p w14:paraId="4B9C2044"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Wartość z jednostką miary</w:t>
            </w:r>
          </w:p>
        </w:tc>
        <w:tc>
          <w:tcPr>
            <w:tcW w:w="253" w:type="pct"/>
            <w:tcBorders>
              <w:top w:val="nil"/>
              <w:left w:val="nil"/>
              <w:bottom w:val="single" w:sz="4" w:space="0" w:color="auto"/>
              <w:right w:val="single" w:sz="4" w:space="0" w:color="auto"/>
            </w:tcBorders>
            <w:shd w:val="clear" w:color="auto" w:fill="auto"/>
            <w:textDirection w:val="btLr"/>
            <w:vAlign w:val="center"/>
            <w:hideMark/>
          </w:tcPr>
          <w:p w14:paraId="3F8EA05A"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realizacji wskaźnika narastająco</w:t>
            </w:r>
          </w:p>
        </w:tc>
        <w:tc>
          <w:tcPr>
            <w:tcW w:w="250" w:type="pct"/>
            <w:tcBorders>
              <w:top w:val="nil"/>
              <w:left w:val="nil"/>
              <w:bottom w:val="single" w:sz="4" w:space="0" w:color="auto"/>
              <w:right w:val="single" w:sz="4" w:space="0" w:color="auto"/>
            </w:tcBorders>
            <w:shd w:val="clear" w:color="auto" w:fill="auto"/>
            <w:textDirection w:val="btLr"/>
            <w:vAlign w:val="center"/>
            <w:hideMark/>
          </w:tcPr>
          <w:p w14:paraId="5DAA79C1"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Wartość z jednostką miary</w:t>
            </w:r>
          </w:p>
        </w:tc>
        <w:tc>
          <w:tcPr>
            <w:tcW w:w="253" w:type="pct"/>
            <w:tcBorders>
              <w:top w:val="nil"/>
              <w:left w:val="nil"/>
              <w:bottom w:val="single" w:sz="4" w:space="0" w:color="auto"/>
              <w:right w:val="single" w:sz="4" w:space="0" w:color="auto"/>
            </w:tcBorders>
            <w:shd w:val="clear" w:color="auto" w:fill="auto"/>
            <w:textDirection w:val="btLr"/>
            <w:vAlign w:val="center"/>
            <w:hideMark/>
          </w:tcPr>
          <w:p w14:paraId="700DD1E1"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realizacji wskaźnika narastająco</w:t>
            </w:r>
          </w:p>
        </w:tc>
        <w:tc>
          <w:tcPr>
            <w:tcW w:w="250" w:type="pct"/>
            <w:tcBorders>
              <w:top w:val="nil"/>
              <w:left w:val="nil"/>
              <w:bottom w:val="single" w:sz="4" w:space="0" w:color="auto"/>
              <w:right w:val="single" w:sz="4" w:space="0" w:color="auto"/>
            </w:tcBorders>
            <w:shd w:val="clear" w:color="auto" w:fill="auto"/>
            <w:textDirection w:val="btLr"/>
            <w:vAlign w:val="center"/>
            <w:hideMark/>
          </w:tcPr>
          <w:p w14:paraId="5D398CBD"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Wartość z jednostką miary</w:t>
            </w:r>
          </w:p>
        </w:tc>
        <w:tc>
          <w:tcPr>
            <w:tcW w:w="253" w:type="pct"/>
            <w:tcBorders>
              <w:top w:val="nil"/>
              <w:left w:val="nil"/>
              <w:bottom w:val="single" w:sz="4" w:space="0" w:color="auto"/>
              <w:right w:val="single" w:sz="4" w:space="0" w:color="auto"/>
            </w:tcBorders>
            <w:shd w:val="clear" w:color="auto" w:fill="auto"/>
            <w:textDirection w:val="btLr"/>
            <w:vAlign w:val="center"/>
            <w:hideMark/>
          </w:tcPr>
          <w:p w14:paraId="03D90D00"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realizacji wskaźnika narastająco</w:t>
            </w:r>
          </w:p>
        </w:tc>
        <w:tc>
          <w:tcPr>
            <w:tcW w:w="250" w:type="pct"/>
            <w:tcBorders>
              <w:top w:val="nil"/>
              <w:left w:val="nil"/>
              <w:bottom w:val="single" w:sz="4" w:space="0" w:color="auto"/>
              <w:right w:val="single" w:sz="4" w:space="0" w:color="auto"/>
            </w:tcBorders>
            <w:shd w:val="clear" w:color="auto" w:fill="auto"/>
            <w:textDirection w:val="btLr"/>
            <w:vAlign w:val="center"/>
            <w:hideMark/>
          </w:tcPr>
          <w:p w14:paraId="38D4606A"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Wartość z jednostką miary</w:t>
            </w:r>
          </w:p>
        </w:tc>
        <w:tc>
          <w:tcPr>
            <w:tcW w:w="253" w:type="pct"/>
            <w:tcBorders>
              <w:top w:val="nil"/>
              <w:left w:val="nil"/>
              <w:bottom w:val="single" w:sz="4" w:space="0" w:color="auto"/>
              <w:right w:val="single" w:sz="4" w:space="0" w:color="auto"/>
            </w:tcBorders>
            <w:shd w:val="clear" w:color="auto" w:fill="auto"/>
            <w:textDirection w:val="btLr"/>
            <w:vAlign w:val="center"/>
            <w:hideMark/>
          </w:tcPr>
          <w:p w14:paraId="46838AD0"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realizacji wskaźnika narastająco</w:t>
            </w:r>
          </w:p>
        </w:tc>
        <w:tc>
          <w:tcPr>
            <w:tcW w:w="250" w:type="pct"/>
            <w:tcBorders>
              <w:top w:val="nil"/>
              <w:left w:val="nil"/>
              <w:bottom w:val="single" w:sz="4" w:space="0" w:color="auto"/>
              <w:right w:val="single" w:sz="4" w:space="0" w:color="auto"/>
            </w:tcBorders>
            <w:shd w:val="clear" w:color="auto" w:fill="auto"/>
            <w:textDirection w:val="btLr"/>
            <w:vAlign w:val="center"/>
            <w:hideMark/>
          </w:tcPr>
          <w:p w14:paraId="3F713244"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Wartość z jednostką miary</w:t>
            </w:r>
          </w:p>
        </w:tc>
        <w:tc>
          <w:tcPr>
            <w:tcW w:w="253" w:type="pct"/>
            <w:tcBorders>
              <w:top w:val="nil"/>
              <w:left w:val="nil"/>
              <w:bottom w:val="single" w:sz="4" w:space="0" w:color="auto"/>
              <w:right w:val="single" w:sz="4" w:space="0" w:color="auto"/>
            </w:tcBorders>
            <w:shd w:val="clear" w:color="auto" w:fill="auto"/>
            <w:textDirection w:val="btLr"/>
            <w:vAlign w:val="center"/>
            <w:hideMark/>
          </w:tcPr>
          <w:p w14:paraId="74A23956"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realizacji wskaźnika narastająco</w:t>
            </w: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0E7E81E5" w14:textId="77777777" w:rsidR="004C5D15" w:rsidRPr="00E860C3" w:rsidRDefault="004C5D15" w:rsidP="004C5D15">
            <w:pPr>
              <w:spacing w:after="0" w:line="240" w:lineRule="auto"/>
              <w:rPr>
                <w:rFonts w:ascii="Times New Roman" w:eastAsia="Times New Roman" w:hAnsi="Times New Roman" w:cs="Times New Roman"/>
                <w:b/>
                <w:bCs/>
                <w:color w:val="000000"/>
                <w:sz w:val="18"/>
                <w:szCs w:val="18"/>
                <w:lang w:eastAsia="pl-PL"/>
              </w:rPr>
            </w:pPr>
          </w:p>
        </w:tc>
      </w:tr>
      <w:tr w:rsidR="004C5D15" w:rsidRPr="00E860C3" w14:paraId="17C0082F" w14:textId="77777777" w:rsidTr="004C5D15">
        <w:trPr>
          <w:trHeight w:val="300"/>
        </w:trPr>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FA708"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C.1</w:t>
            </w:r>
          </w:p>
        </w:tc>
        <w:tc>
          <w:tcPr>
            <w:tcW w:w="4106" w:type="pct"/>
            <w:gridSpan w:val="14"/>
            <w:tcBorders>
              <w:top w:val="single" w:sz="4" w:space="0" w:color="auto"/>
              <w:left w:val="nil"/>
              <w:bottom w:val="single" w:sz="4" w:space="0" w:color="auto"/>
              <w:right w:val="single" w:sz="4" w:space="0" w:color="auto"/>
            </w:tcBorders>
            <w:shd w:val="clear" w:color="auto" w:fill="auto"/>
            <w:vAlign w:val="center"/>
            <w:hideMark/>
          </w:tcPr>
          <w:p w14:paraId="7F87CC92"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 Zbudowanie Bialskopodlaskiego kapitału społecznego</w:t>
            </w:r>
          </w:p>
        </w:tc>
      </w:tr>
      <w:tr w:rsidR="004C5D15" w:rsidRPr="00E860C3" w14:paraId="03E30205" w14:textId="77777777" w:rsidTr="003F32D7">
        <w:trPr>
          <w:trHeight w:val="1309"/>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3D06B26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w:t>
            </w:r>
          </w:p>
        </w:tc>
        <w:tc>
          <w:tcPr>
            <w:tcW w:w="705" w:type="pct"/>
            <w:tcBorders>
              <w:top w:val="nil"/>
              <w:left w:val="nil"/>
              <w:bottom w:val="single" w:sz="4" w:space="0" w:color="auto"/>
              <w:right w:val="single" w:sz="4" w:space="0" w:color="auto"/>
            </w:tcBorders>
            <w:shd w:val="clear" w:color="auto" w:fill="auto"/>
            <w:vAlign w:val="center"/>
            <w:hideMark/>
          </w:tcPr>
          <w:p w14:paraId="44F66C76"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Ogólnodostępna infrastruktura publiczna rekreacyjna i sportowa dostosowana do potrzeb osób z niepełnosprawnościami</w:t>
            </w:r>
          </w:p>
        </w:tc>
        <w:tc>
          <w:tcPr>
            <w:tcW w:w="748" w:type="pct"/>
            <w:tcBorders>
              <w:top w:val="nil"/>
              <w:left w:val="nil"/>
              <w:bottom w:val="single" w:sz="4" w:space="0" w:color="auto"/>
              <w:right w:val="single" w:sz="4" w:space="0" w:color="auto"/>
            </w:tcBorders>
            <w:shd w:val="clear" w:color="000000" w:fill="FFFFFF"/>
            <w:vAlign w:val="center"/>
            <w:hideMark/>
          </w:tcPr>
          <w:p w14:paraId="3CABC54E" w14:textId="46FFB525"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Liczba doposażony</w:t>
            </w:r>
            <w:r w:rsidR="007B67F3">
              <w:rPr>
                <w:rFonts w:ascii="Times New Roman" w:eastAsia="Times New Roman" w:hAnsi="Times New Roman" w:cs="Times New Roman"/>
                <w:color w:val="000000"/>
                <w:sz w:val="18"/>
                <w:szCs w:val="18"/>
                <w:lang w:eastAsia="pl-PL"/>
              </w:rPr>
              <w:t>ch</w:t>
            </w:r>
            <w:r w:rsidRPr="00E860C3">
              <w:rPr>
                <w:rFonts w:ascii="Times New Roman" w:eastAsia="Times New Roman" w:hAnsi="Times New Roman" w:cs="Times New Roman"/>
                <w:color w:val="000000"/>
                <w:sz w:val="18"/>
                <w:szCs w:val="18"/>
                <w:lang w:eastAsia="pl-PL"/>
              </w:rPr>
              <w:t xml:space="preserve"> instytucji kultury, zbudowanej lub rozbudowanej infrastruktury publicznej </w:t>
            </w:r>
          </w:p>
        </w:tc>
        <w:tc>
          <w:tcPr>
            <w:tcW w:w="252" w:type="pct"/>
            <w:tcBorders>
              <w:top w:val="nil"/>
              <w:left w:val="nil"/>
              <w:bottom w:val="single" w:sz="4" w:space="0" w:color="auto"/>
              <w:right w:val="single" w:sz="4" w:space="0" w:color="auto"/>
            </w:tcBorders>
            <w:shd w:val="clear" w:color="auto" w:fill="auto"/>
            <w:vAlign w:val="center"/>
            <w:hideMark/>
          </w:tcPr>
          <w:p w14:paraId="24BD246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0729EF1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6EC6FCC1"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w:t>
            </w:r>
          </w:p>
        </w:tc>
        <w:tc>
          <w:tcPr>
            <w:tcW w:w="253" w:type="pct"/>
            <w:tcBorders>
              <w:top w:val="nil"/>
              <w:left w:val="nil"/>
              <w:bottom w:val="single" w:sz="4" w:space="0" w:color="auto"/>
              <w:right w:val="single" w:sz="4" w:space="0" w:color="auto"/>
            </w:tcBorders>
            <w:shd w:val="clear" w:color="auto" w:fill="auto"/>
            <w:vAlign w:val="center"/>
            <w:hideMark/>
          </w:tcPr>
          <w:p w14:paraId="62DB746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80E13E6" w14:textId="482BE814" w:rsidR="004C5D15" w:rsidRPr="00E860C3" w:rsidRDefault="003F32D7" w:rsidP="004C5D15">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6F1E2F0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73FEFC8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82AB0E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38D1F42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69911CC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7F0A654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CDCEE5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14:paraId="52B1A3BA"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PS WPR</w:t>
            </w:r>
          </w:p>
        </w:tc>
      </w:tr>
      <w:tr w:rsidR="004C5D15" w:rsidRPr="00E860C3" w14:paraId="564FAC59" w14:textId="77777777" w:rsidTr="003776ED">
        <w:trPr>
          <w:trHeight w:val="81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36D13F6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1.2</w:t>
            </w:r>
          </w:p>
        </w:tc>
        <w:tc>
          <w:tcPr>
            <w:tcW w:w="705" w:type="pct"/>
            <w:tcBorders>
              <w:top w:val="nil"/>
              <w:left w:val="nil"/>
              <w:bottom w:val="single" w:sz="4" w:space="0" w:color="auto"/>
              <w:right w:val="single" w:sz="4" w:space="0" w:color="auto"/>
            </w:tcBorders>
            <w:shd w:val="clear" w:color="auto" w:fill="auto"/>
            <w:vAlign w:val="center"/>
            <w:hideMark/>
          </w:tcPr>
          <w:p w14:paraId="147B08A0"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Rozwój pasji i talentów</w:t>
            </w:r>
          </w:p>
        </w:tc>
        <w:tc>
          <w:tcPr>
            <w:tcW w:w="748" w:type="pct"/>
            <w:tcBorders>
              <w:top w:val="nil"/>
              <w:left w:val="nil"/>
              <w:bottom w:val="single" w:sz="4" w:space="0" w:color="auto"/>
              <w:right w:val="single" w:sz="4" w:space="0" w:color="auto"/>
            </w:tcBorders>
            <w:shd w:val="clear" w:color="000000" w:fill="FFFFFF"/>
            <w:vAlign w:val="center"/>
            <w:hideMark/>
          </w:tcPr>
          <w:p w14:paraId="4F06954D"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Liczba nowych ofert zagospodarowania czasu wolnego </w:t>
            </w:r>
          </w:p>
        </w:tc>
        <w:tc>
          <w:tcPr>
            <w:tcW w:w="252" w:type="pct"/>
            <w:tcBorders>
              <w:top w:val="nil"/>
              <w:left w:val="nil"/>
              <w:bottom w:val="single" w:sz="4" w:space="0" w:color="auto"/>
              <w:right w:val="single" w:sz="4" w:space="0" w:color="auto"/>
            </w:tcBorders>
            <w:shd w:val="clear" w:color="auto" w:fill="auto"/>
            <w:vAlign w:val="center"/>
            <w:hideMark/>
          </w:tcPr>
          <w:p w14:paraId="4A9A872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253F0D3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7EEB36C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w:t>
            </w:r>
          </w:p>
        </w:tc>
        <w:tc>
          <w:tcPr>
            <w:tcW w:w="253" w:type="pct"/>
            <w:tcBorders>
              <w:top w:val="nil"/>
              <w:left w:val="nil"/>
              <w:bottom w:val="single" w:sz="4" w:space="0" w:color="auto"/>
              <w:right w:val="single" w:sz="4" w:space="0" w:color="auto"/>
            </w:tcBorders>
            <w:shd w:val="clear" w:color="auto" w:fill="auto"/>
            <w:vAlign w:val="center"/>
            <w:hideMark/>
          </w:tcPr>
          <w:p w14:paraId="20A209F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0364810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1B6A38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6ACAF3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79CB834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0F78765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B60B3F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67E49B5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829251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6D7FAE54"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2A7E3929" w14:textId="77777777" w:rsidTr="003776ED">
        <w:trPr>
          <w:trHeight w:val="827"/>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4993B87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1.3</w:t>
            </w:r>
          </w:p>
        </w:tc>
        <w:tc>
          <w:tcPr>
            <w:tcW w:w="705" w:type="pct"/>
            <w:tcBorders>
              <w:top w:val="nil"/>
              <w:left w:val="nil"/>
              <w:bottom w:val="single" w:sz="4" w:space="0" w:color="auto"/>
              <w:right w:val="single" w:sz="4" w:space="0" w:color="auto"/>
            </w:tcBorders>
            <w:shd w:val="clear" w:color="auto" w:fill="auto"/>
            <w:vAlign w:val="center"/>
            <w:hideMark/>
          </w:tcPr>
          <w:p w14:paraId="43185072"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Integracja oraz wykorzystanie cyfryzacji w życiu codziennym i rozwoju</w:t>
            </w:r>
          </w:p>
        </w:tc>
        <w:tc>
          <w:tcPr>
            <w:tcW w:w="748" w:type="pct"/>
            <w:tcBorders>
              <w:top w:val="nil"/>
              <w:left w:val="nil"/>
              <w:bottom w:val="single" w:sz="4" w:space="0" w:color="auto"/>
              <w:right w:val="single" w:sz="4" w:space="0" w:color="auto"/>
            </w:tcBorders>
            <w:shd w:val="clear" w:color="000000" w:fill="FFFFFF"/>
            <w:vAlign w:val="center"/>
            <w:hideMark/>
          </w:tcPr>
          <w:p w14:paraId="16D30D7E"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Liczba nowych ofert zagospodarowania czasu wolnego </w:t>
            </w:r>
          </w:p>
        </w:tc>
        <w:tc>
          <w:tcPr>
            <w:tcW w:w="252" w:type="pct"/>
            <w:tcBorders>
              <w:top w:val="nil"/>
              <w:left w:val="nil"/>
              <w:bottom w:val="single" w:sz="4" w:space="0" w:color="auto"/>
              <w:right w:val="single" w:sz="4" w:space="0" w:color="auto"/>
            </w:tcBorders>
            <w:shd w:val="clear" w:color="auto" w:fill="auto"/>
            <w:vAlign w:val="center"/>
            <w:hideMark/>
          </w:tcPr>
          <w:p w14:paraId="39B959B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16B38B2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00ED866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w:t>
            </w:r>
          </w:p>
        </w:tc>
        <w:tc>
          <w:tcPr>
            <w:tcW w:w="253" w:type="pct"/>
            <w:tcBorders>
              <w:top w:val="nil"/>
              <w:left w:val="nil"/>
              <w:bottom w:val="single" w:sz="4" w:space="0" w:color="auto"/>
              <w:right w:val="single" w:sz="4" w:space="0" w:color="auto"/>
            </w:tcBorders>
            <w:shd w:val="clear" w:color="auto" w:fill="auto"/>
            <w:vAlign w:val="center"/>
            <w:hideMark/>
          </w:tcPr>
          <w:p w14:paraId="3349B1E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2D39A86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7FE6E7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6DFC04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0E0301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53A268D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89DE1C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7BEC733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390C63C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2B5D0464"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1214002C" w14:textId="77777777" w:rsidTr="003776ED">
        <w:trPr>
          <w:trHeight w:val="413"/>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4763A2A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1.4</w:t>
            </w:r>
          </w:p>
        </w:tc>
        <w:tc>
          <w:tcPr>
            <w:tcW w:w="705" w:type="pct"/>
            <w:tcBorders>
              <w:top w:val="nil"/>
              <w:left w:val="nil"/>
              <w:bottom w:val="single" w:sz="4" w:space="0" w:color="auto"/>
              <w:right w:val="single" w:sz="4" w:space="0" w:color="auto"/>
            </w:tcBorders>
            <w:shd w:val="clear" w:color="auto" w:fill="auto"/>
            <w:vAlign w:val="center"/>
            <w:hideMark/>
          </w:tcPr>
          <w:p w14:paraId="5463A274"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Kształtowanie zdrowego i aktywnego trybu życia mieszkańców </w:t>
            </w:r>
          </w:p>
        </w:tc>
        <w:tc>
          <w:tcPr>
            <w:tcW w:w="748" w:type="pct"/>
            <w:tcBorders>
              <w:top w:val="nil"/>
              <w:left w:val="nil"/>
              <w:bottom w:val="single" w:sz="4" w:space="0" w:color="auto"/>
              <w:right w:val="single" w:sz="4" w:space="0" w:color="auto"/>
            </w:tcBorders>
            <w:shd w:val="clear" w:color="000000" w:fill="FFFFFF"/>
            <w:vAlign w:val="center"/>
            <w:hideMark/>
          </w:tcPr>
          <w:p w14:paraId="0D5C286A"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Liczba nowych ofert zagospodarowania czasu wolnego </w:t>
            </w:r>
          </w:p>
        </w:tc>
        <w:tc>
          <w:tcPr>
            <w:tcW w:w="252" w:type="pct"/>
            <w:tcBorders>
              <w:top w:val="nil"/>
              <w:left w:val="nil"/>
              <w:bottom w:val="single" w:sz="4" w:space="0" w:color="auto"/>
              <w:right w:val="single" w:sz="4" w:space="0" w:color="auto"/>
            </w:tcBorders>
            <w:shd w:val="clear" w:color="auto" w:fill="auto"/>
            <w:vAlign w:val="center"/>
            <w:hideMark/>
          </w:tcPr>
          <w:p w14:paraId="2387300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144ADF0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175BD36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38C93264" w14:textId="2389D6A1" w:rsidR="004C5D15" w:rsidRPr="00E860C3" w:rsidRDefault="003F32D7" w:rsidP="004C5D15">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r w:rsidR="004C5D15" w:rsidRPr="00E860C3">
              <w:rPr>
                <w:rFonts w:ascii="Times New Roman" w:eastAsia="Times New Roman" w:hAnsi="Times New Roman" w:cs="Times New Roman"/>
                <w:color w:val="000000"/>
                <w:sz w:val="18"/>
                <w:szCs w:val="18"/>
                <w:lang w:eastAsia="pl-PL"/>
              </w:rPr>
              <w:t>%</w:t>
            </w:r>
          </w:p>
        </w:tc>
        <w:tc>
          <w:tcPr>
            <w:tcW w:w="250" w:type="pct"/>
            <w:tcBorders>
              <w:top w:val="nil"/>
              <w:left w:val="nil"/>
              <w:bottom w:val="single" w:sz="4" w:space="0" w:color="auto"/>
              <w:right w:val="single" w:sz="4" w:space="0" w:color="auto"/>
            </w:tcBorders>
            <w:shd w:val="clear" w:color="auto" w:fill="auto"/>
            <w:vAlign w:val="center"/>
            <w:hideMark/>
          </w:tcPr>
          <w:p w14:paraId="199EED5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20</w:t>
            </w:r>
          </w:p>
        </w:tc>
        <w:tc>
          <w:tcPr>
            <w:tcW w:w="253" w:type="pct"/>
            <w:tcBorders>
              <w:top w:val="nil"/>
              <w:left w:val="nil"/>
              <w:bottom w:val="single" w:sz="4" w:space="0" w:color="auto"/>
              <w:right w:val="single" w:sz="4" w:space="0" w:color="auto"/>
            </w:tcBorders>
            <w:shd w:val="clear" w:color="auto" w:fill="auto"/>
            <w:vAlign w:val="center"/>
            <w:hideMark/>
          </w:tcPr>
          <w:p w14:paraId="0104C3C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2ED69B1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7A08318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2761A0B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675E537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28B583D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568F364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4F232374"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42BFDADE" w14:textId="77777777" w:rsidTr="003776ED">
        <w:trPr>
          <w:trHeight w:val="566"/>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2457421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1.5</w:t>
            </w:r>
          </w:p>
        </w:tc>
        <w:tc>
          <w:tcPr>
            <w:tcW w:w="705" w:type="pct"/>
            <w:tcBorders>
              <w:top w:val="nil"/>
              <w:left w:val="nil"/>
              <w:bottom w:val="single" w:sz="4" w:space="0" w:color="auto"/>
              <w:right w:val="single" w:sz="4" w:space="0" w:color="auto"/>
            </w:tcBorders>
            <w:shd w:val="clear" w:color="auto" w:fill="auto"/>
            <w:vAlign w:val="center"/>
            <w:hideMark/>
          </w:tcPr>
          <w:p w14:paraId="428F6FB4"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Wzmocnienie potencjału organizacji pozarządowych</w:t>
            </w:r>
          </w:p>
        </w:tc>
        <w:tc>
          <w:tcPr>
            <w:tcW w:w="748" w:type="pct"/>
            <w:tcBorders>
              <w:top w:val="nil"/>
              <w:left w:val="nil"/>
              <w:bottom w:val="single" w:sz="4" w:space="0" w:color="auto"/>
              <w:right w:val="single" w:sz="4" w:space="0" w:color="auto"/>
            </w:tcBorders>
            <w:shd w:val="clear" w:color="000000" w:fill="FFFFFF"/>
            <w:vAlign w:val="center"/>
            <w:hideMark/>
          </w:tcPr>
          <w:p w14:paraId="13BD3631"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Liczba inicjatyw</w:t>
            </w:r>
          </w:p>
        </w:tc>
        <w:tc>
          <w:tcPr>
            <w:tcW w:w="252" w:type="pct"/>
            <w:tcBorders>
              <w:top w:val="nil"/>
              <w:left w:val="nil"/>
              <w:bottom w:val="single" w:sz="4" w:space="0" w:color="auto"/>
              <w:right w:val="single" w:sz="4" w:space="0" w:color="auto"/>
            </w:tcBorders>
            <w:shd w:val="clear" w:color="auto" w:fill="auto"/>
            <w:vAlign w:val="center"/>
            <w:hideMark/>
          </w:tcPr>
          <w:p w14:paraId="5CD4BB8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682C3AE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03DCCDF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8D57376" w14:textId="53D5B9A3" w:rsidR="004C5D15" w:rsidRPr="00E860C3" w:rsidRDefault="003F32D7" w:rsidP="004C5D15">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r w:rsidR="004C5D15" w:rsidRPr="00E860C3">
              <w:rPr>
                <w:rFonts w:ascii="Times New Roman" w:eastAsia="Times New Roman" w:hAnsi="Times New Roman" w:cs="Times New Roman"/>
                <w:color w:val="000000"/>
                <w:sz w:val="18"/>
                <w:szCs w:val="18"/>
                <w:lang w:eastAsia="pl-PL"/>
              </w:rPr>
              <w:t>%</w:t>
            </w:r>
          </w:p>
        </w:tc>
        <w:tc>
          <w:tcPr>
            <w:tcW w:w="250" w:type="pct"/>
            <w:tcBorders>
              <w:top w:val="nil"/>
              <w:left w:val="nil"/>
              <w:bottom w:val="single" w:sz="4" w:space="0" w:color="auto"/>
              <w:right w:val="single" w:sz="4" w:space="0" w:color="auto"/>
            </w:tcBorders>
            <w:shd w:val="clear" w:color="auto" w:fill="auto"/>
            <w:vAlign w:val="center"/>
            <w:hideMark/>
          </w:tcPr>
          <w:p w14:paraId="3FBB58B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20</w:t>
            </w:r>
          </w:p>
        </w:tc>
        <w:tc>
          <w:tcPr>
            <w:tcW w:w="253" w:type="pct"/>
            <w:tcBorders>
              <w:top w:val="nil"/>
              <w:left w:val="nil"/>
              <w:bottom w:val="single" w:sz="4" w:space="0" w:color="auto"/>
              <w:right w:val="single" w:sz="4" w:space="0" w:color="auto"/>
            </w:tcBorders>
            <w:shd w:val="clear" w:color="auto" w:fill="auto"/>
            <w:vAlign w:val="center"/>
            <w:hideMark/>
          </w:tcPr>
          <w:p w14:paraId="114694E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5BCB65D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50FCA7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69D728B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7E43085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6CA3F37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68BFA11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1A9434F2"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4C73DAAC" w14:textId="77777777" w:rsidTr="003776ED">
        <w:trPr>
          <w:trHeight w:val="547"/>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553C3DE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1.6</w:t>
            </w:r>
          </w:p>
        </w:tc>
        <w:tc>
          <w:tcPr>
            <w:tcW w:w="705" w:type="pct"/>
            <w:tcBorders>
              <w:top w:val="nil"/>
              <w:left w:val="nil"/>
              <w:bottom w:val="single" w:sz="4" w:space="0" w:color="auto"/>
              <w:right w:val="single" w:sz="4" w:space="0" w:color="auto"/>
            </w:tcBorders>
            <w:shd w:val="clear" w:color="auto" w:fill="auto"/>
            <w:vAlign w:val="center"/>
            <w:hideMark/>
          </w:tcPr>
          <w:p w14:paraId="031FBD29" w14:textId="00A23D1C"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Wsparcie innowacyjnych inicjatyw oddolnych mieszkańców</w:t>
            </w:r>
          </w:p>
        </w:tc>
        <w:tc>
          <w:tcPr>
            <w:tcW w:w="748" w:type="pct"/>
            <w:tcBorders>
              <w:top w:val="nil"/>
              <w:left w:val="nil"/>
              <w:bottom w:val="single" w:sz="4" w:space="0" w:color="auto"/>
              <w:right w:val="single" w:sz="4" w:space="0" w:color="auto"/>
            </w:tcBorders>
            <w:shd w:val="clear" w:color="000000" w:fill="FFFFFF"/>
            <w:vAlign w:val="center"/>
            <w:hideMark/>
          </w:tcPr>
          <w:p w14:paraId="73A87322"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Liczba inicjatyw</w:t>
            </w:r>
          </w:p>
        </w:tc>
        <w:tc>
          <w:tcPr>
            <w:tcW w:w="252" w:type="pct"/>
            <w:tcBorders>
              <w:top w:val="nil"/>
              <w:left w:val="nil"/>
              <w:bottom w:val="single" w:sz="4" w:space="0" w:color="auto"/>
              <w:right w:val="single" w:sz="4" w:space="0" w:color="auto"/>
            </w:tcBorders>
            <w:shd w:val="clear" w:color="auto" w:fill="auto"/>
            <w:vAlign w:val="center"/>
            <w:hideMark/>
          </w:tcPr>
          <w:p w14:paraId="2055C3C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1543C35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63A8CC1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w:t>
            </w:r>
          </w:p>
        </w:tc>
        <w:tc>
          <w:tcPr>
            <w:tcW w:w="253" w:type="pct"/>
            <w:tcBorders>
              <w:top w:val="nil"/>
              <w:left w:val="nil"/>
              <w:bottom w:val="single" w:sz="4" w:space="0" w:color="auto"/>
              <w:right w:val="single" w:sz="4" w:space="0" w:color="auto"/>
            </w:tcBorders>
            <w:shd w:val="clear" w:color="auto" w:fill="auto"/>
            <w:vAlign w:val="center"/>
            <w:hideMark/>
          </w:tcPr>
          <w:p w14:paraId="5DAAB47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78DA542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6ADC5AD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2295431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533ACB1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18E7BD1"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230AC7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4054F2C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5F3645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355D041F"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7D8449FB" w14:textId="77777777" w:rsidTr="003776ED">
        <w:trPr>
          <w:trHeight w:val="566"/>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1398E84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1.7</w:t>
            </w:r>
          </w:p>
        </w:tc>
        <w:tc>
          <w:tcPr>
            <w:tcW w:w="705" w:type="pct"/>
            <w:tcBorders>
              <w:top w:val="nil"/>
              <w:left w:val="nil"/>
              <w:bottom w:val="single" w:sz="4" w:space="0" w:color="auto"/>
              <w:right w:val="single" w:sz="4" w:space="0" w:color="auto"/>
            </w:tcBorders>
            <w:shd w:val="clear" w:color="auto" w:fill="auto"/>
            <w:vAlign w:val="center"/>
            <w:hideMark/>
          </w:tcPr>
          <w:p w14:paraId="6C13C5EE"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Integracja i rozwój osób w niekorzystnej sytuacji - osoby z niepełnosprawnościami i ich opiekunowie</w:t>
            </w:r>
          </w:p>
        </w:tc>
        <w:tc>
          <w:tcPr>
            <w:tcW w:w="748" w:type="pct"/>
            <w:tcBorders>
              <w:top w:val="nil"/>
              <w:left w:val="nil"/>
              <w:bottom w:val="single" w:sz="4" w:space="0" w:color="auto"/>
              <w:right w:val="single" w:sz="4" w:space="0" w:color="auto"/>
            </w:tcBorders>
            <w:shd w:val="clear" w:color="000000" w:fill="FFFFFF"/>
            <w:vAlign w:val="center"/>
            <w:hideMark/>
          </w:tcPr>
          <w:p w14:paraId="4D9D2901"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Liczba inicjatyw</w:t>
            </w:r>
          </w:p>
        </w:tc>
        <w:tc>
          <w:tcPr>
            <w:tcW w:w="252" w:type="pct"/>
            <w:tcBorders>
              <w:top w:val="nil"/>
              <w:left w:val="nil"/>
              <w:bottom w:val="single" w:sz="4" w:space="0" w:color="auto"/>
              <w:right w:val="single" w:sz="4" w:space="0" w:color="auto"/>
            </w:tcBorders>
            <w:shd w:val="clear" w:color="auto" w:fill="auto"/>
            <w:vAlign w:val="center"/>
            <w:hideMark/>
          </w:tcPr>
          <w:p w14:paraId="213AFAC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6EB3A85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7D4D073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0F1A901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0" w:type="pct"/>
            <w:tcBorders>
              <w:top w:val="nil"/>
              <w:left w:val="nil"/>
              <w:bottom w:val="single" w:sz="4" w:space="0" w:color="auto"/>
              <w:right w:val="single" w:sz="4" w:space="0" w:color="auto"/>
            </w:tcBorders>
            <w:shd w:val="clear" w:color="auto" w:fill="auto"/>
            <w:vAlign w:val="center"/>
            <w:hideMark/>
          </w:tcPr>
          <w:p w14:paraId="0916845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w:t>
            </w:r>
          </w:p>
        </w:tc>
        <w:tc>
          <w:tcPr>
            <w:tcW w:w="253" w:type="pct"/>
            <w:tcBorders>
              <w:top w:val="nil"/>
              <w:left w:val="nil"/>
              <w:bottom w:val="single" w:sz="4" w:space="0" w:color="auto"/>
              <w:right w:val="single" w:sz="4" w:space="0" w:color="auto"/>
            </w:tcBorders>
            <w:shd w:val="clear" w:color="auto" w:fill="auto"/>
            <w:vAlign w:val="center"/>
            <w:hideMark/>
          </w:tcPr>
          <w:p w14:paraId="3FE0E4F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31BC90E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A0FB81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38166A2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EF42B0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0824380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70859DF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5109BC29"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05185F01" w14:textId="77777777" w:rsidTr="003776ED">
        <w:trPr>
          <w:trHeight w:val="98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5717214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1.8</w:t>
            </w:r>
          </w:p>
        </w:tc>
        <w:tc>
          <w:tcPr>
            <w:tcW w:w="705" w:type="pct"/>
            <w:tcBorders>
              <w:top w:val="nil"/>
              <w:left w:val="nil"/>
              <w:bottom w:val="single" w:sz="4" w:space="0" w:color="auto"/>
              <w:right w:val="single" w:sz="4" w:space="0" w:color="auto"/>
            </w:tcBorders>
            <w:shd w:val="clear" w:color="auto" w:fill="auto"/>
            <w:vAlign w:val="center"/>
            <w:hideMark/>
          </w:tcPr>
          <w:p w14:paraId="2D63E394" w14:textId="77777777" w:rsidR="004C5D15" w:rsidRPr="003776ED" w:rsidRDefault="004C5D15" w:rsidP="004C5D15">
            <w:pPr>
              <w:spacing w:after="0" w:line="240" w:lineRule="auto"/>
              <w:jc w:val="center"/>
              <w:rPr>
                <w:rFonts w:ascii="Times New Roman" w:eastAsia="Times New Roman" w:hAnsi="Times New Roman" w:cs="Times New Roman"/>
                <w:color w:val="000000"/>
                <w:sz w:val="16"/>
                <w:szCs w:val="16"/>
                <w:lang w:eastAsia="pl-PL"/>
              </w:rPr>
            </w:pPr>
            <w:r w:rsidRPr="003776ED">
              <w:rPr>
                <w:rFonts w:ascii="Times New Roman" w:eastAsia="Times New Roman" w:hAnsi="Times New Roman" w:cs="Times New Roman"/>
                <w:color w:val="000000"/>
                <w:sz w:val="16"/>
                <w:szCs w:val="16"/>
                <w:lang w:eastAsia="pl-PL"/>
              </w:rPr>
              <w:t>Zbudowanie oferty rozwoju, spędzania czasu wolnego i rekreacji dla mieszkańców LGD - podejmowanie działalności gospodarczej</w:t>
            </w:r>
          </w:p>
        </w:tc>
        <w:tc>
          <w:tcPr>
            <w:tcW w:w="748" w:type="pct"/>
            <w:tcBorders>
              <w:top w:val="nil"/>
              <w:left w:val="nil"/>
              <w:bottom w:val="single" w:sz="4" w:space="0" w:color="auto"/>
              <w:right w:val="single" w:sz="4" w:space="0" w:color="auto"/>
            </w:tcBorders>
            <w:shd w:val="clear" w:color="000000" w:fill="FFFFFF"/>
            <w:vAlign w:val="center"/>
            <w:hideMark/>
          </w:tcPr>
          <w:p w14:paraId="6C1E6F3E"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Liczba nowych ofert zagospodarowania czasu wolnego </w:t>
            </w:r>
          </w:p>
        </w:tc>
        <w:tc>
          <w:tcPr>
            <w:tcW w:w="252" w:type="pct"/>
            <w:tcBorders>
              <w:top w:val="nil"/>
              <w:left w:val="nil"/>
              <w:bottom w:val="single" w:sz="4" w:space="0" w:color="auto"/>
              <w:right w:val="single" w:sz="4" w:space="0" w:color="auto"/>
            </w:tcBorders>
            <w:shd w:val="clear" w:color="auto" w:fill="auto"/>
            <w:vAlign w:val="center"/>
            <w:hideMark/>
          </w:tcPr>
          <w:p w14:paraId="669E8C7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6B80980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3F5672E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6</w:t>
            </w:r>
          </w:p>
        </w:tc>
        <w:tc>
          <w:tcPr>
            <w:tcW w:w="253" w:type="pct"/>
            <w:tcBorders>
              <w:top w:val="nil"/>
              <w:left w:val="nil"/>
              <w:bottom w:val="single" w:sz="4" w:space="0" w:color="auto"/>
              <w:right w:val="single" w:sz="4" w:space="0" w:color="auto"/>
            </w:tcBorders>
            <w:shd w:val="clear" w:color="auto" w:fill="auto"/>
            <w:vAlign w:val="center"/>
            <w:hideMark/>
          </w:tcPr>
          <w:p w14:paraId="7283FB7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4C53BAE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3354D3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6EE0EE8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62BBB4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6BCBE4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61DD878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0AA64EE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92D67C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4DF32D29"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279EA43F" w14:textId="77777777" w:rsidTr="003776ED">
        <w:trPr>
          <w:trHeight w:val="418"/>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13016C6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lastRenderedPageBreak/>
              <w:t>1.9</w:t>
            </w:r>
          </w:p>
        </w:tc>
        <w:tc>
          <w:tcPr>
            <w:tcW w:w="705" w:type="pct"/>
            <w:tcBorders>
              <w:top w:val="nil"/>
              <w:left w:val="nil"/>
              <w:bottom w:val="single" w:sz="4" w:space="0" w:color="auto"/>
              <w:right w:val="single" w:sz="4" w:space="0" w:color="auto"/>
            </w:tcBorders>
            <w:shd w:val="clear" w:color="auto" w:fill="auto"/>
            <w:vAlign w:val="center"/>
            <w:hideMark/>
          </w:tcPr>
          <w:p w14:paraId="38A95AE1" w14:textId="77777777" w:rsidR="004C5D15" w:rsidRPr="003776ED" w:rsidRDefault="004C5D15" w:rsidP="004C5D15">
            <w:pPr>
              <w:spacing w:after="0" w:line="240" w:lineRule="auto"/>
              <w:jc w:val="center"/>
              <w:rPr>
                <w:rFonts w:ascii="Times New Roman" w:eastAsia="Times New Roman" w:hAnsi="Times New Roman" w:cs="Times New Roman"/>
                <w:color w:val="000000"/>
                <w:sz w:val="16"/>
                <w:szCs w:val="16"/>
                <w:lang w:eastAsia="pl-PL"/>
              </w:rPr>
            </w:pPr>
            <w:r w:rsidRPr="003776ED">
              <w:rPr>
                <w:rFonts w:ascii="Times New Roman" w:eastAsia="Times New Roman" w:hAnsi="Times New Roman" w:cs="Times New Roman"/>
                <w:color w:val="000000"/>
                <w:sz w:val="16"/>
                <w:szCs w:val="16"/>
                <w:lang w:eastAsia="pl-PL"/>
              </w:rPr>
              <w:t>Zbudowanie oferty rozwoju, spędzania czasu wolnego i rekreacji dla mieszkańców LGD - rozwój działalności gospodarczej</w:t>
            </w:r>
          </w:p>
        </w:tc>
        <w:tc>
          <w:tcPr>
            <w:tcW w:w="748" w:type="pct"/>
            <w:tcBorders>
              <w:top w:val="nil"/>
              <w:left w:val="nil"/>
              <w:bottom w:val="single" w:sz="4" w:space="0" w:color="auto"/>
              <w:right w:val="single" w:sz="4" w:space="0" w:color="auto"/>
            </w:tcBorders>
            <w:shd w:val="clear" w:color="000000" w:fill="FFFFFF"/>
            <w:vAlign w:val="center"/>
            <w:hideMark/>
          </w:tcPr>
          <w:p w14:paraId="541035F1"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Liczba nowych ofert zagospodarowania czasu wolnego </w:t>
            </w:r>
          </w:p>
        </w:tc>
        <w:tc>
          <w:tcPr>
            <w:tcW w:w="252" w:type="pct"/>
            <w:tcBorders>
              <w:top w:val="nil"/>
              <w:left w:val="nil"/>
              <w:bottom w:val="single" w:sz="4" w:space="0" w:color="auto"/>
              <w:right w:val="single" w:sz="4" w:space="0" w:color="auto"/>
            </w:tcBorders>
            <w:shd w:val="clear" w:color="auto" w:fill="auto"/>
            <w:vAlign w:val="center"/>
            <w:hideMark/>
          </w:tcPr>
          <w:p w14:paraId="0CF22DF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41DA97F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7A05289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3</w:t>
            </w:r>
          </w:p>
        </w:tc>
        <w:tc>
          <w:tcPr>
            <w:tcW w:w="253" w:type="pct"/>
            <w:tcBorders>
              <w:top w:val="nil"/>
              <w:left w:val="nil"/>
              <w:bottom w:val="single" w:sz="4" w:space="0" w:color="auto"/>
              <w:right w:val="single" w:sz="4" w:space="0" w:color="auto"/>
            </w:tcBorders>
            <w:shd w:val="clear" w:color="auto" w:fill="auto"/>
            <w:vAlign w:val="center"/>
            <w:hideMark/>
          </w:tcPr>
          <w:p w14:paraId="32F2E95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2BEFA42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378257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5341DE6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0FF1581"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74E8ACC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D397A5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4116C42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16FEBA1"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5DAF42B3"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7C0A95F4" w14:textId="77777777" w:rsidTr="003776ED">
        <w:trPr>
          <w:trHeight w:val="34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0C0FC8D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1.10</w:t>
            </w:r>
          </w:p>
        </w:tc>
        <w:tc>
          <w:tcPr>
            <w:tcW w:w="705" w:type="pct"/>
            <w:tcBorders>
              <w:top w:val="nil"/>
              <w:left w:val="nil"/>
              <w:bottom w:val="single" w:sz="4" w:space="0" w:color="auto"/>
              <w:right w:val="single" w:sz="4" w:space="0" w:color="auto"/>
            </w:tcBorders>
            <w:shd w:val="clear" w:color="auto" w:fill="auto"/>
            <w:vAlign w:val="center"/>
            <w:hideMark/>
          </w:tcPr>
          <w:p w14:paraId="5498FD01"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Utworzenie lub rozwój gospodarstwa agroturystycznego</w:t>
            </w:r>
          </w:p>
        </w:tc>
        <w:tc>
          <w:tcPr>
            <w:tcW w:w="748" w:type="pct"/>
            <w:tcBorders>
              <w:top w:val="nil"/>
              <w:left w:val="nil"/>
              <w:bottom w:val="single" w:sz="4" w:space="0" w:color="auto"/>
              <w:right w:val="single" w:sz="4" w:space="0" w:color="auto"/>
            </w:tcBorders>
            <w:shd w:val="clear" w:color="000000" w:fill="FFFFFF"/>
            <w:vAlign w:val="center"/>
            <w:hideMark/>
          </w:tcPr>
          <w:p w14:paraId="0C2EF6D8"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Liczba nowych ofert zagospodarowania czasu wolnego </w:t>
            </w:r>
          </w:p>
        </w:tc>
        <w:tc>
          <w:tcPr>
            <w:tcW w:w="252" w:type="pct"/>
            <w:tcBorders>
              <w:top w:val="nil"/>
              <w:left w:val="nil"/>
              <w:bottom w:val="single" w:sz="4" w:space="0" w:color="auto"/>
              <w:right w:val="single" w:sz="4" w:space="0" w:color="auto"/>
            </w:tcBorders>
            <w:shd w:val="clear" w:color="auto" w:fill="auto"/>
            <w:vAlign w:val="center"/>
            <w:hideMark/>
          </w:tcPr>
          <w:p w14:paraId="00C06A0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70B052C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37656E8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2</w:t>
            </w:r>
          </w:p>
        </w:tc>
        <w:tc>
          <w:tcPr>
            <w:tcW w:w="253" w:type="pct"/>
            <w:tcBorders>
              <w:top w:val="nil"/>
              <w:left w:val="nil"/>
              <w:bottom w:val="single" w:sz="4" w:space="0" w:color="auto"/>
              <w:right w:val="single" w:sz="4" w:space="0" w:color="auto"/>
            </w:tcBorders>
            <w:shd w:val="clear" w:color="auto" w:fill="auto"/>
            <w:vAlign w:val="center"/>
            <w:hideMark/>
          </w:tcPr>
          <w:p w14:paraId="494DC6D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47D2473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69025D9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ACD89E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5A303C2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0780B13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6F1A2C11"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5A1979C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E613C2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134C955C"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0348A330" w14:textId="77777777" w:rsidTr="003776ED">
        <w:trPr>
          <w:trHeight w:val="567"/>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3D279FF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1.11</w:t>
            </w:r>
          </w:p>
        </w:tc>
        <w:tc>
          <w:tcPr>
            <w:tcW w:w="705" w:type="pct"/>
            <w:tcBorders>
              <w:top w:val="nil"/>
              <w:left w:val="nil"/>
              <w:bottom w:val="single" w:sz="4" w:space="0" w:color="auto"/>
              <w:right w:val="single" w:sz="4" w:space="0" w:color="auto"/>
            </w:tcBorders>
            <w:shd w:val="clear" w:color="auto" w:fill="auto"/>
            <w:vAlign w:val="center"/>
            <w:hideMark/>
          </w:tcPr>
          <w:p w14:paraId="342F7C0D"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Utworzenia lub rozwój zagrody edukacyjnej</w:t>
            </w:r>
          </w:p>
        </w:tc>
        <w:tc>
          <w:tcPr>
            <w:tcW w:w="748" w:type="pct"/>
            <w:tcBorders>
              <w:top w:val="nil"/>
              <w:left w:val="nil"/>
              <w:bottom w:val="single" w:sz="4" w:space="0" w:color="auto"/>
              <w:right w:val="single" w:sz="4" w:space="0" w:color="auto"/>
            </w:tcBorders>
            <w:shd w:val="clear" w:color="000000" w:fill="FFFFFF"/>
            <w:vAlign w:val="center"/>
            <w:hideMark/>
          </w:tcPr>
          <w:p w14:paraId="1CB6CB9A"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Liczba nowych ofert zagospodarowania czasu wolnego </w:t>
            </w:r>
          </w:p>
        </w:tc>
        <w:tc>
          <w:tcPr>
            <w:tcW w:w="252" w:type="pct"/>
            <w:tcBorders>
              <w:top w:val="nil"/>
              <w:left w:val="nil"/>
              <w:bottom w:val="single" w:sz="4" w:space="0" w:color="auto"/>
              <w:right w:val="single" w:sz="4" w:space="0" w:color="auto"/>
            </w:tcBorders>
            <w:shd w:val="clear" w:color="auto" w:fill="auto"/>
            <w:vAlign w:val="center"/>
            <w:hideMark/>
          </w:tcPr>
          <w:p w14:paraId="2BAD945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3D2156D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430DC35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2</w:t>
            </w:r>
          </w:p>
        </w:tc>
        <w:tc>
          <w:tcPr>
            <w:tcW w:w="253" w:type="pct"/>
            <w:tcBorders>
              <w:top w:val="nil"/>
              <w:left w:val="nil"/>
              <w:bottom w:val="single" w:sz="4" w:space="0" w:color="auto"/>
              <w:right w:val="single" w:sz="4" w:space="0" w:color="auto"/>
            </w:tcBorders>
            <w:shd w:val="clear" w:color="auto" w:fill="auto"/>
            <w:vAlign w:val="center"/>
            <w:hideMark/>
          </w:tcPr>
          <w:p w14:paraId="020B816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0E70FB8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F6D539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402C9C8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0A7DA44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113612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F83D61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6FB8E28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2D8564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6071A80B"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7362841E" w14:textId="77777777" w:rsidTr="003776ED">
        <w:trPr>
          <w:trHeight w:val="221"/>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14A91F3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1.12</w:t>
            </w:r>
          </w:p>
        </w:tc>
        <w:tc>
          <w:tcPr>
            <w:tcW w:w="705" w:type="pct"/>
            <w:tcBorders>
              <w:top w:val="nil"/>
              <w:left w:val="nil"/>
              <w:bottom w:val="single" w:sz="4" w:space="0" w:color="auto"/>
              <w:right w:val="single" w:sz="4" w:space="0" w:color="auto"/>
            </w:tcBorders>
            <w:shd w:val="clear" w:color="auto" w:fill="auto"/>
            <w:vAlign w:val="center"/>
            <w:hideMark/>
          </w:tcPr>
          <w:p w14:paraId="371F2BFE"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Działania marketingowe na rzecz spójności i budowania wspólnoty obszaru</w:t>
            </w:r>
          </w:p>
        </w:tc>
        <w:tc>
          <w:tcPr>
            <w:tcW w:w="748" w:type="pct"/>
            <w:tcBorders>
              <w:top w:val="nil"/>
              <w:left w:val="nil"/>
              <w:bottom w:val="single" w:sz="4" w:space="0" w:color="auto"/>
              <w:right w:val="single" w:sz="4" w:space="0" w:color="auto"/>
            </w:tcBorders>
            <w:shd w:val="clear" w:color="000000" w:fill="FFFFFF"/>
            <w:vAlign w:val="center"/>
            <w:hideMark/>
          </w:tcPr>
          <w:p w14:paraId="41E783CB"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Liczba inicjatyw</w:t>
            </w:r>
          </w:p>
        </w:tc>
        <w:tc>
          <w:tcPr>
            <w:tcW w:w="252" w:type="pct"/>
            <w:tcBorders>
              <w:top w:val="nil"/>
              <w:left w:val="nil"/>
              <w:bottom w:val="single" w:sz="4" w:space="0" w:color="auto"/>
              <w:right w:val="single" w:sz="4" w:space="0" w:color="auto"/>
            </w:tcBorders>
            <w:shd w:val="clear" w:color="auto" w:fill="auto"/>
            <w:vAlign w:val="center"/>
            <w:hideMark/>
          </w:tcPr>
          <w:p w14:paraId="69B7D86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4CF53F6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778E52C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A0A2F2D" w14:textId="7E202F48" w:rsidR="004C5D15" w:rsidRPr="00E860C3" w:rsidRDefault="003F32D7" w:rsidP="004C5D15">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r w:rsidR="004C5D15" w:rsidRPr="00E860C3">
              <w:rPr>
                <w:rFonts w:ascii="Times New Roman" w:eastAsia="Times New Roman" w:hAnsi="Times New Roman" w:cs="Times New Roman"/>
                <w:color w:val="000000"/>
                <w:sz w:val="18"/>
                <w:szCs w:val="18"/>
                <w:lang w:eastAsia="pl-PL"/>
              </w:rPr>
              <w:t>%</w:t>
            </w:r>
          </w:p>
        </w:tc>
        <w:tc>
          <w:tcPr>
            <w:tcW w:w="250" w:type="pct"/>
            <w:tcBorders>
              <w:top w:val="nil"/>
              <w:left w:val="nil"/>
              <w:bottom w:val="single" w:sz="4" w:space="0" w:color="auto"/>
              <w:right w:val="single" w:sz="4" w:space="0" w:color="auto"/>
            </w:tcBorders>
            <w:shd w:val="clear" w:color="auto" w:fill="auto"/>
            <w:vAlign w:val="center"/>
            <w:hideMark/>
          </w:tcPr>
          <w:p w14:paraId="63C0A27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w:t>
            </w:r>
          </w:p>
        </w:tc>
        <w:tc>
          <w:tcPr>
            <w:tcW w:w="253" w:type="pct"/>
            <w:tcBorders>
              <w:top w:val="nil"/>
              <w:left w:val="nil"/>
              <w:bottom w:val="single" w:sz="4" w:space="0" w:color="auto"/>
              <w:right w:val="single" w:sz="4" w:space="0" w:color="auto"/>
            </w:tcBorders>
            <w:shd w:val="clear" w:color="auto" w:fill="auto"/>
            <w:vAlign w:val="center"/>
            <w:hideMark/>
          </w:tcPr>
          <w:p w14:paraId="7026B11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7656A3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28A9BC1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2A1A9F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5F01C92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628FFE3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91884A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4CA50FF8"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437A57D4" w14:textId="77777777" w:rsidTr="003776ED">
        <w:trPr>
          <w:trHeight w:val="516"/>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257369B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1.13</w:t>
            </w:r>
          </w:p>
        </w:tc>
        <w:tc>
          <w:tcPr>
            <w:tcW w:w="705" w:type="pct"/>
            <w:tcBorders>
              <w:top w:val="nil"/>
              <w:left w:val="nil"/>
              <w:bottom w:val="single" w:sz="4" w:space="0" w:color="auto"/>
              <w:right w:val="single" w:sz="4" w:space="0" w:color="auto"/>
            </w:tcBorders>
            <w:shd w:val="clear" w:color="auto" w:fill="auto"/>
            <w:vAlign w:val="center"/>
            <w:hideMark/>
          </w:tcPr>
          <w:p w14:paraId="57AC2E6E"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Zwiększenie oferty kultury </w:t>
            </w:r>
          </w:p>
        </w:tc>
        <w:tc>
          <w:tcPr>
            <w:tcW w:w="748" w:type="pct"/>
            <w:tcBorders>
              <w:top w:val="nil"/>
              <w:left w:val="nil"/>
              <w:bottom w:val="single" w:sz="4" w:space="0" w:color="auto"/>
              <w:right w:val="single" w:sz="4" w:space="0" w:color="auto"/>
            </w:tcBorders>
            <w:shd w:val="clear" w:color="000000" w:fill="FFFFFF"/>
            <w:vAlign w:val="center"/>
            <w:hideMark/>
          </w:tcPr>
          <w:p w14:paraId="037E29B3"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Liczba nowych ofert zagospodarowania czasu wolnego </w:t>
            </w:r>
          </w:p>
        </w:tc>
        <w:tc>
          <w:tcPr>
            <w:tcW w:w="252" w:type="pct"/>
            <w:tcBorders>
              <w:top w:val="nil"/>
              <w:left w:val="nil"/>
              <w:bottom w:val="single" w:sz="4" w:space="0" w:color="auto"/>
              <w:right w:val="single" w:sz="4" w:space="0" w:color="auto"/>
            </w:tcBorders>
            <w:shd w:val="clear" w:color="auto" w:fill="auto"/>
            <w:vAlign w:val="center"/>
            <w:hideMark/>
          </w:tcPr>
          <w:p w14:paraId="1A12758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5134343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5AC39F8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w:t>
            </w:r>
          </w:p>
        </w:tc>
        <w:tc>
          <w:tcPr>
            <w:tcW w:w="253" w:type="pct"/>
            <w:tcBorders>
              <w:top w:val="nil"/>
              <w:left w:val="nil"/>
              <w:bottom w:val="single" w:sz="4" w:space="0" w:color="auto"/>
              <w:right w:val="single" w:sz="4" w:space="0" w:color="auto"/>
            </w:tcBorders>
            <w:shd w:val="clear" w:color="auto" w:fill="auto"/>
            <w:vAlign w:val="center"/>
            <w:hideMark/>
          </w:tcPr>
          <w:p w14:paraId="1DCB184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36FB57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3F913CE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41D9EC8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605451A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DCE817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649725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AB56C9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3D12F08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1AA19268"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5B43FCC8" w14:textId="77777777" w:rsidTr="003776ED">
        <w:trPr>
          <w:trHeight w:val="454"/>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478834C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1.14</w:t>
            </w:r>
          </w:p>
        </w:tc>
        <w:tc>
          <w:tcPr>
            <w:tcW w:w="705" w:type="pct"/>
            <w:tcBorders>
              <w:top w:val="nil"/>
              <w:left w:val="nil"/>
              <w:bottom w:val="single" w:sz="4" w:space="0" w:color="auto"/>
              <w:right w:val="single" w:sz="4" w:space="0" w:color="auto"/>
            </w:tcBorders>
            <w:shd w:val="clear" w:color="auto" w:fill="auto"/>
            <w:vAlign w:val="center"/>
            <w:hideMark/>
          </w:tcPr>
          <w:p w14:paraId="4F5CE106"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Utworzenie akademii liderów społecznych</w:t>
            </w:r>
          </w:p>
        </w:tc>
        <w:tc>
          <w:tcPr>
            <w:tcW w:w="748" w:type="pct"/>
            <w:tcBorders>
              <w:top w:val="nil"/>
              <w:left w:val="nil"/>
              <w:bottom w:val="single" w:sz="4" w:space="0" w:color="auto"/>
              <w:right w:val="single" w:sz="4" w:space="0" w:color="auto"/>
            </w:tcBorders>
            <w:shd w:val="clear" w:color="000000" w:fill="FFFFFF"/>
            <w:vAlign w:val="center"/>
            <w:hideMark/>
          </w:tcPr>
          <w:p w14:paraId="39318842"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Liczba inicjatyw</w:t>
            </w:r>
          </w:p>
        </w:tc>
        <w:tc>
          <w:tcPr>
            <w:tcW w:w="252" w:type="pct"/>
            <w:tcBorders>
              <w:top w:val="nil"/>
              <w:left w:val="nil"/>
              <w:bottom w:val="single" w:sz="4" w:space="0" w:color="auto"/>
              <w:right w:val="single" w:sz="4" w:space="0" w:color="auto"/>
            </w:tcBorders>
            <w:shd w:val="clear" w:color="auto" w:fill="auto"/>
            <w:vAlign w:val="center"/>
            <w:hideMark/>
          </w:tcPr>
          <w:p w14:paraId="3C45271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43F9726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53A6931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38669421" w14:textId="56DB7B8C" w:rsidR="004C5D15" w:rsidRPr="00E860C3" w:rsidRDefault="003F32D7" w:rsidP="004C5D15">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r w:rsidR="004C5D15" w:rsidRPr="00E860C3">
              <w:rPr>
                <w:rFonts w:ascii="Times New Roman" w:eastAsia="Times New Roman" w:hAnsi="Times New Roman" w:cs="Times New Roman"/>
                <w:color w:val="000000"/>
                <w:sz w:val="18"/>
                <w:szCs w:val="18"/>
                <w:lang w:eastAsia="pl-PL"/>
              </w:rPr>
              <w:t>%</w:t>
            </w:r>
          </w:p>
        </w:tc>
        <w:tc>
          <w:tcPr>
            <w:tcW w:w="250" w:type="pct"/>
            <w:tcBorders>
              <w:top w:val="nil"/>
              <w:left w:val="nil"/>
              <w:bottom w:val="single" w:sz="4" w:space="0" w:color="auto"/>
              <w:right w:val="single" w:sz="4" w:space="0" w:color="auto"/>
            </w:tcBorders>
            <w:shd w:val="clear" w:color="auto" w:fill="auto"/>
            <w:vAlign w:val="center"/>
            <w:hideMark/>
          </w:tcPr>
          <w:p w14:paraId="524D929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w:t>
            </w:r>
          </w:p>
        </w:tc>
        <w:tc>
          <w:tcPr>
            <w:tcW w:w="253" w:type="pct"/>
            <w:tcBorders>
              <w:top w:val="nil"/>
              <w:left w:val="nil"/>
              <w:bottom w:val="single" w:sz="4" w:space="0" w:color="auto"/>
              <w:right w:val="single" w:sz="4" w:space="0" w:color="auto"/>
            </w:tcBorders>
            <w:shd w:val="clear" w:color="auto" w:fill="auto"/>
            <w:vAlign w:val="center"/>
            <w:hideMark/>
          </w:tcPr>
          <w:p w14:paraId="04FDE4E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B434C4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7FD2423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4044276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1A977D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2D6619AA"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0F363F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544E4F45"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4E88B262" w14:textId="77777777" w:rsidTr="003776ED">
        <w:trPr>
          <w:trHeight w:val="419"/>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5A45620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1.15</w:t>
            </w:r>
          </w:p>
        </w:tc>
        <w:tc>
          <w:tcPr>
            <w:tcW w:w="705" w:type="pct"/>
            <w:tcBorders>
              <w:top w:val="nil"/>
              <w:left w:val="nil"/>
              <w:bottom w:val="single" w:sz="4" w:space="0" w:color="auto"/>
              <w:right w:val="single" w:sz="4" w:space="0" w:color="auto"/>
            </w:tcBorders>
            <w:shd w:val="clear" w:color="auto" w:fill="auto"/>
            <w:vAlign w:val="center"/>
            <w:hideMark/>
          </w:tcPr>
          <w:p w14:paraId="32CE19BB"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Wsparcie rozwoju kompetencji mieszkańców w zakresie pracy, usług i nauki zdalnej</w:t>
            </w:r>
          </w:p>
        </w:tc>
        <w:tc>
          <w:tcPr>
            <w:tcW w:w="748" w:type="pct"/>
            <w:tcBorders>
              <w:top w:val="nil"/>
              <w:left w:val="nil"/>
              <w:bottom w:val="single" w:sz="4" w:space="0" w:color="auto"/>
              <w:right w:val="single" w:sz="4" w:space="0" w:color="auto"/>
            </w:tcBorders>
            <w:shd w:val="clear" w:color="000000" w:fill="FFFFFF"/>
            <w:vAlign w:val="center"/>
            <w:hideMark/>
          </w:tcPr>
          <w:p w14:paraId="27BDF274"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Liczba inicjatyw</w:t>
            </w:r>
          </w:p>
        </w:tc>
        <w:tc>
          <w:tcPr>
            <w:tcW w:w="252" w:type="pct"/>
            <w:tcBorders>
              <w:top w:val="nil"/>
              <w:left w:val="nil"/>
              <w:bottom w:val="single" w:sz="4" w:space="0" w:color="auto"/>
              <w:right w:val="single" w:sz="4" w:space="0" w:color="auto"/>
            </w:tcBorders>
            <w:shd w:val="clear" w:color="auto" w:fill="auto"/>
            <w:vAlign w:val="center"/>
            <w:hideMark/>
          </w:tcPr>
          <w:p w14:paraId="3D0B059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6AE317B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2511FD2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3E2AB9FC" w14:textId="22FD84C3" w:rsidR="004C5D15" w:rsidRPr="00E860C3" w:rsidRDefault="003F32D7" w:rsidP="004C5D15">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r w:rsidR="004C5D15" w:rsidRPr="00E860C3">
              <w:rPr>
                <w:rFonts w:ascii="Times New Roman" w:eastAsia="Times New Roman" w:hAnsi="Times New Roman" w:cs="Times New Roman"/>
                <w:color w:val="000000"/>
                <w:sz w:val="18"/>
                <w:szCs w:val="18"/>
                <w:lang w:eastAsia="pl-PL"/>
              </w:rPr>
              <w:t>%</w:t>
            </w:r>
          </w:p>
        </w:tc>
        <w:tc>
          <w:tcPr>
            <w:tcW w:w="250" w:type="pct"/>
            <w:tcBorders>
              <w:top w:val="nil"/>
              <w:left w:val="nil"/>
              <w:bottom w:val="single" w:sz="4" w:space="0" w:color="auto"/>
              <w:right w:val="single" w:sz="4" w:space="0" w:color="auto"/>
            </w:tcBorders>
            <w:shd w:val="clear" w:color="auto" w:fill="auto"/>
            <w:vAlign w:val="center"/>
            <w:hideMark/>
          </w:tcPr>
          <w:p w14:paraId="082DBE1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w:t>
            </w:r>
          </w:p>
        </w:tc>
        <w:tc>
          <w:tcPr>
            <w:tcW w:w="253" w:type="pct"/>
            <w:tcBorders>
              <w:top w:val="nil"/>
              <w:left w:val="nil"/>
              <w:bottom w:val="single" w:sz="4" w:space="0" w:color="auto"/>
              <w:right w:val="single" w:sz="4" w:space="0" w:color="auto"/>
            </w:tcBorders>
            <w:shd w:val="clear" w:color="auto" w:fill="auto"/>
            <w:vAlign w:val="center"/>
            <w:hideMark/>
          </w:tcPr>
          <w:p w14:paraId="5DE1F4A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4074BB3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593FC89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7EFEE98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14519B0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19B49A2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089CE3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01B9C35F"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0F1411DE" w14:textId="77777777" w:rsidTr="003776ED">
        <w:trPr>
          <w:trHeight w:val="559"/>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D302D2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1.16</w:t>
            </w:r>
          </w:p>
        </w:tc>
        <w:tc>
          <w:tcPr>
            <w:tcW w:w="705" w:type="pct"/>
            <w:tcBorders>
              <w:top w:val="nil"/>
              <w:left w:val="nil"/>
              <w:bottom w:val="single" w:sz="4" w:space="0" w:color="auto"/>
              <w:right w:val="single" w:sz="4" w:space="0" w:color="auto"/>
            </w:tcBorders>
            <w:shd w:val="clear" w:color="auto" w:fill="auto"/>
            <w:vAlign w:val="center"/>
            <w:hideMark/>
          </w:tcPr>
          <w:p w14:paraId="6C40E996"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Kreowanie projektów partnerskich</w:t>
            </w:r>
          </w:p>
        </w:tc>
        <w:tc>
          <w:tcPr>
            <w:tcW w:w="748" w:type="pct"/>
            <w:tcBorders>
              <w:top w:val="nil"/>
              <w:left w:val="nil"/>
              <w:bottom w:val="single" w:sz="4" w:space="0" w:color="auto"/>
              <w:right w:val="single" w:sz="4" w:space="0" w:color="auto"/>
            </w:tcBorders>
            <w:shd w:val="clear" w:color="000000" w:fill="FFFFFF"/>
            <w:vAlign w:val="center"/>
            <w:hideMark/>
          </w:tcPr>
          <w:p w14:paraId="114E1728"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Liczba inicjatyw</w:t>
            </w:r>
          </w:p>
        </w:tc>
        <w:tc>
          <w:tcPr>
            <w:tcW w:w="252" w:type="pct"/>
            <w:tcBorders>
              <w:top w:val="nil"/>
              <w:left w:val="nil"/>
              <w:bottom w:val="single" w:sz="4" w:space="0" w:color="auto"/>
              <w:right w:val="single" w:sz="4" w:space="0" w:color="auto"/>
            </w:tcBorders>
            <w:shd w:val="clear" w:color="auto" w:fill="auto"/>
            <w:vAlign w:val="center"/>
            <w:hideMark/>
          </w:tcPr>
          <w:p w14:paraId="7BDB102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auto" w:fill="auto"/>
            <w:vAlign w:val="center"/>
            <w:hideMark/>
          </w:tcPr>
          <w:p w14:paraId="1E0791F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65" w:type="pct"/>
            <w:tcBorders>
              <w:top w:val="nil"/>
              <w:left w:val="nil"/>
              <w:bottom w:val="single" w:sz="4" w:space="0" w:color="auto"/>
              <w:right w:val="single" w:sz="4" w:space="0" w:color="auto"/>
            </w:tcBorders>
            <w:shd w:val="clear" w:color="auto" w:fill="auto"/>
            <w:vAlign w:val="center"/>
            <w:hideMark/>
          </w:tcPr>
          <w:p w14:paraId="23779CD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3EC93528" w14:textId="41290EF0" w:rsidR="004C5D15" w:rsidRPr="00E860C3" w:rsidRDefault="003F32D7" w:rsidP="004C5D15">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r w:rsidR="004C5D15" w:rsidRPr="00E860C3">
              <w:rPr>
                <w:rFonts w:ascii="Times New Roman" w:eastAsia="Times New Roman" w:hAnsi="Times New Roman" w:cs="Times New Roman"/>
                <w:color w:val="000000"/>
                <w:sz w:val="18"/>
                <w:szCs w:val="18"/>
                <w:lang w:eastAsia="pl-PL"/>
              </w:rPr>
              <w:t>%</w:t>
            </w:r>
          </w:p>
        </w:tc>
        <w:tc>
          <w:tcPr>
            <w:tcW w:w="250" w:type="pct"/>
            <w:tcBorders>
              <w:top w:val="nil"/>
              <w:left w:val="nil"/>
              <w:bottom w:val="single" w:sz="4" w:space="0" w:color="auto"/>
              <w:right w:val="single" w:sz="4" w:space="0" w:color="auto"/>
            </w:tcBorders>
            <w:shd w:val="clear" w:color="auto" w:fill="auto"/>
            <w:vAlign w:val="center"/>
            <w:hideMark/>
          </w:tcPr>
          <w:p w14:paraId="480910D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w:t>
            </w:r>
          </w:p>
        </w:tc>
        <w:tc>
          <w:tcPr>
            <w:tcW w:w="253" w:type="pct"/>
            <w:tcBorders>
              <w:top w:val="nil"/>
              <w:left w:val="nil"/>
              <w:bottom w:val="single" w:sz="4" w:space="0" w:color="auto"/>
              <w:right w:val="single" w:sz="4" w:space="0" w:color="auto"/>
            </w:tcBorders>
            <w:shd w:val="clear" w:color="auto" w:fill="auto"/>
            <w:vAlign w:val="center"/>
            <w:hideMark/>
          </w:tcPr>
          <w:p w14:paraId="1ED771E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4A3A73E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3F7E3B57"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68B7563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5C726A9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250" w:type="pct"/>
            <w:tcBorders>
              <w:top w:val="nil"/>
              <w:left w:val="nil"/>
              <w:bottom w:val="single" w:sz="4" w:space="0" w:color="auto"/>
              <w:right w:val="single" w:sz="4" w:space="0" w:color="auto"/>
            </w:tcBorders>
            <w:shd w:val="clear" w:color="auto" w:fill="auto"/>
            <w:vAlign w:val="center"/>
            <w:hideMark/>
          </w:tcPr>
          <w:p w14:paraId="2C7120E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0B0891F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62D48C37"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37968225" w14:textId="77777777" w:rsidTr="004C5D15">
        <w:trPr>
          <w:trHeight w:val="960"/>
        </w:trPr>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FE3D1B"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Wskaźnik rezultatu W 1.1</w:t>
            </w:r>
          </w:p>
        </w:tc>
        <w:tc>
          <w:tcPr>
            <w:tcW w:w="748" w:type="pct"/>
            <w:tcBorders>
              <w:top w:val="nil"/>
              <w:left w:val="nil"/>
              <w:bottom w:val="single" w:sz="4" w:space="0" w:color="auto"/>
              <w:right w:val="single" w:sz="4" w:space="0" w:color="auto"/>
            </w:tcBorders>
            <w:shd w:val="clear" w:color="000000" w:fill="FFFFFF"/>
            <w:vAlign w:val="center"/>
            <w:hideMark/>
          </w:tcPr>
          <w:p w14:paraId="277AE4EA" w14:textId="093FA3D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xml:space="preserve">R.37 Wzrost gospodarczy </w:t>
            </w:r>
            <w:r w:rsidR="00E860C3">
              <w:rPr>
                <w:rFonts w:ascii="Times New Roman" w:eastAsia="Times New Roman" w:hAnsi="Times New Roman" w:cs="Times New Roman"/>
                <w:color w:val="000000"/>
                <w:sz w:val="18"/>
                <w:szCs w:val="18"/>
                <w:lang w:eastAsia="pl-PL"/>
              </w:rPr>
              <w:br/>
            </w:r>
            <w:r w:rsidRPr="00E860C3">
              <w:rPr>
                <w:rFonts w:ascii="Times New Roman" w:eastAsia="Times New Roman" w:hAnsi="Times New Roman" w:cs="Times New Roman"/>
                <w:color w:val="000000"/>
                <w:sz w:val="18"/>
                <w:szCs w:val="18"/>
                <w:lang w:eastAsia="pl-PL"/>
              </w:rPr>
              <w:t>i zatrudnienie na obszarach wiejskich</w:t>
            </w:r>
          </w:p>
        </w:tc>
        <w:tc>
          <w:tcPr>
            <w:tcW w:w="252" w:type="pct"/>
            <w:tcBorders>
              <w:top w:val="nil"/>
              <w:left w:val="nil"/>
              <w:bottom w:val="single" w:sz="4" w:space="0" w:color="auto"/>
              <w:right w:val="single" w:sz="4" w:space="0" w:color="auto"/>
            </w:tcBorders>
            <w:shd w:val="clear" w:color="auto" w:fill="auto"/>
            <w:vAlign w:val="center"/>
            <w:hideMark/>
          </w:tcPr>
          <w:p w14:paraId="30ACB00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000000" w:fill="D9D9D9"/>
            <w:vAlign w:val="center"/>
            <w:hideMark/>
          </w:tcPr>
          <w:p w14:paraId="6BE9361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65" w:type="pct"/>
            <w:tcBorders>
              <w:top w:val="nil"/>
              <w:left w:val="nil"/>
              <w:bottom w:val="single" w:sz="4" w:space="0" w:color="auto"/>
              <w:right w:val="single" w:sz="4" w:space="0" w:color="auto"/>
            </w:tcBorders>
            <w:shd w:val="clear" w:color="auto" w:fill="auto"/>
            <w:vAlign w:val="center"/>
            <w:hideMark/>
          </w:tcPr>
          <w:p w14:paraId="6CCDB3E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9</w:t>
            </w:r>
          </w:p>
        </w:tc>
        <w:tc>
          <w:tcPr>
            <w:tcW w:w="253" w:type="pct"/>
            <w:tcBorders>
              <w:top w:val="nil"/>
              <w:left w:val="nil"/>
              <w:bottom w:val="single" w:sz="4" w:space="0" w:color="auto"/>
              <w:right w:val="single" w:sz="4" w:space="0" w:color="auto"/>
            </w:tcBorders>
            <w:shd w:val="clear" w:color="000000" w:fill="D9D9D9"/>
            <w:vAlign w:val="center"/>
            <w:hideMark/>
          </w:tcPr>
          <w:p w14:paraId="2A7B75C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5D61B9B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000000" w:fill="D9D9D9"/>
            <w:vAlign w:val="center"/>
            <w:hideMark/>
          </w:tcPr>
          <w:p w14:paraId="091F8A3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1A0516F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000000" w:fill="D9D9D9"/>
            <w:vAlign w:val="center"/>
            <w:hideMark/>
          </w:tcPr>
          <w:p w14:paraId="504E3501"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6354413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000000" w:fill="D9D9D9"/>
            <w:vAlign w:val="center"/>
            <w:hideMark/>
          </w:tcPr>
          <w:p w14:paraId="3256399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30EB22B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479F219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14:paraId="3ED97627"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PS WPR</w:t>
            </w:r>
          </w:p>
        </w:tc>
      </w:tr>
      <w:tr w:rsidR="004C5D15" w:rsidRPr="00E860C3" w14:paraId="7169E291" w14:textId="77777777" w:rsidTr="004C5D15">
        <w:trPr>
          <w:trHeight w:val="720"/>
        </w:trPr>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0BA653"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Wskaźnik rezultatu W 1.2</w:t>
            </w:r>
          </w:p>
        </w:tc>
        <w:tc>
          <w:tcPr>
            <w:tcW w:w="748" w:type="pct"/>
            <w:tcBorders>
              <w:top w:val="nil"/>
              <w:left w:val="nil"/>
              <w:bottom w:val="single" w:sz="4" w:space="0" w:color="auto"/>
              <w:right w:val="single" w:sz="4" w:space="0" w:color="auto"/>
            </w:tcBorders>
            <w:shd w:val="clear" w:color="000000" w:fill="FFFFFF"/>
            <w:vAlign w:val="center"/>
            <w:hideMark/>
          </w:tcPr>
          <w:p w14:paraId="6DF892AB"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R.41PR Łączenie obszarów wiejskich w Europie</w:t>
            </w:r>
          </w:p>
        </w:tc>
        <w:tc>
          <w:tcPr>
            <w:tcW w:w="252" w:type="pct"/>
            <w:tcBorders>
              <w:top w:val="nil"/>
              <w:left w:val="nil"/>
              <w:bottom w:val="single" w:sz="4" w:space="0" w:color="auto"/>
              <w:right w:val="single" w:sz="4" w:space="0" w:color="auto"/>
            </w:tcBorders>
            <w:shd w:val="clear" w:color="auto" w:fill="auto"/>
            <w:vAlign w:val="center"/>
            <w:hideMark/>
          </w:tcPr>
          <w:p w14:paraId="741FA62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000000" w:fill="D9D9D9"/>
            <w:vAlign w:val="center"/>
            <w:hideMark/>
          </w:tcPr>
          <w:p w14:paraId="7D350B2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65" w:type="pct"/>
            <w:tcBorders>
              <w:top w:val="nil"/>
              <w:left w:val="nil"/>
              <w:bottom w:val="single" w:sz="4" w:space="0" w:color="auto"/>
              <w:right w:val="single" w:sz="4" w:space="0" w:color="auto"/>
            </w:tcBorders>
            <w:shd w:val="clear" w:color="auto" w:fill="auto"/>
            <w:vAlign w:val="center"/>
            <w:hideMark/>
          </w:tcPr>
          <w:p w14:paraId="76F9451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5 300</w:t>
            </w:r>
          </w:p>
        </w:tc>
        <w:tc>
          <w:tcPr>
            <w:tcW w:w="253" w:type="pct"/>
            <w:tcBorders>
              <w:top w:val="nil"/>
              <w:left w:val="nil"/>
              <w:bottom w:val="single" w:sz="4" w:space="0" w:color="auto"/>
              <w:right w:val="single" w:sz="4" w:space="0" w:color="auto"/>
            </w:tcBorders>
            <w:shd w:val="clear" w:color="000000" w:fill="D9D9D9"/>
            <w:vAlign w:val="center"/>
            <w:hideMark/>
          </w:tcPr>
          <w:p w14:paraId="53DD25B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65FC3ED5"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13 500</w:t>
            </w:r>
          </w:p>
        </w:tc>
        <w:tc>
          <w:tcPr>
            <w:tcW w:w="253" w:type="pct"/>
            <w:tcBorders>
              <w:top w:val="nil"/>
              <w:left w:val="nil"/>
              <w:bottom w:val="single" w:sz="4" w:space="0" w:color="auto"/>
              <w:right w:val="single" w:sz="4" w:space="0" w:color="auto"/>
            </w:tcBorders>
            <w:shd w:val="clear" w:color="000000" w:fill="D9D9D9"/>
            <w:vAlign w:val="center"/>
            <w:hideMark/>
          </w:tcPr>
          <w:p w14:paraId="1903666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327CE61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000000" w:fill="D9D9D9"/>
            <w:vAlign w:val="center"/>
            <w:hideMark/>
          </w:tcPr>
          <w:p w14:paraId="7C931A2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325F2D4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000000" w:fill="D9D9D9"/>
            <w:vAlign w:val="center"/>
            <w:hideMark/>
          </w:tcPr>
          <w:p w14:paraId="0859A271"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71B976C1"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730DC2AC"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71F2245C"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r w:rsidR="004C5D15" w:rsidRPr="00E860C3" w14:paraId="01384CA9" w14:textId="77777777" w:rsidTr="004C5D15">
        <w:trPr>
          <w:trHeight w:val="480"/>
        </w:trPr>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25CC57"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Wskaźnik rezultatu W 1.3</w:t>
            </w:r>
          </w:p>
        </w:tc>
        <w:tc>
          <w:tcPr>
            <w:tcW w:w="748" w:type="pct"/>
            <w:tcBorders>
              <w:top w:val="nil"/>
              <w:left w:val="nil"/>
              <w:bottom w:val="single" w:sz="4" w:space="0" w:color="auto"/>
              <w:right w:val="single" w:sz="4" w:space="0" w:color="auto"/>
            </w:tcBorders>
            <w:shd w:val="clear" w:color="000000" w:fill="FFFFFF"/>
            <w:vAlign w:val="center"/>
            <w:hideMark/>
          </w:tcPr>
          <w:p w14:paraId="731CDC3A" w14:textId="77777777" w:rsidR="004C5D15" w:rsidRPr="00E860C3"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R.42 Promowanie włączenia społecznego</w:t>
            </w:r>
          </w:p>
        </w:tc>
        <w:tc>
          <w:tcPr>
            <w:tcW w:w="252" w:type="pct"/>
            <w:tcBorders>
              <w:top w:val="nil"/>
              <w:left w:val="nil"/>
              <w:bottom w:val="single" w:sz="4" w:space="0" w:color="auto"/>
              <w:right w:val="single" w:sz="4" w:space="0" w:color="auto"/>
            </w:tcBorders>
            <w:shd w:val="clear" w:color="auto" w:fill="auto"/>
            <w:vAlign w:val="center"/>
            <w:hideMark/>
          </w:tcPr>
          <w:p w14:paraId="353986DF"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1" w:type="pct"/>
            <w:tcBorders>
              <w:top w:val="nil"/>
              <w:left w:val="nil"/>
              <w:bottom w:val="single" w:sz="4" w:space="0" w:color="auto"/>
              <w:right w:val="single" w:sz="4" w:space="0" w:color="auto"/>
            </w:tcBorders>
            <w:shd w:val="clear" w:color="000000" w:fill="D9D9D9"/>
            <w:vAlign w:val="center"/>
            <w:hideMark/>
          </w:tcPr>
          <w:p w14:paraId="7AF7DEC4"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65" w:type="pct"/>
            <w:tcBorders>
              <w:top w:val="nil"/>
              <w:left w:val="nil"/>
              <w:bottom w:val="single" w:sz="4" w:space="0" w:color="auto"/>
              <w:right w:val="single" w:sz="4" w:space="0" w:color="auto"/>
            </w:tcBorders>
            <w:shd w:val="clear" w:color="auto" w:fill="auto"/>
            <w:vAlign w:val="center"/>
            <w:hideMark/>
          </w:tcPr>
          <w:p w14:paraId="122A0988"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000000" w:fill="D9D9D9"/>
            <w:vAlign w:val="center"/>
            <w:hideMark/>
          </w:tcPr>
          <w:p w14:paraId="71BC517D"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608F1342"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3 800</w:t>
            </w:r>
          </w:p>
        </w:tc>
        <w:tc>
          <w:tcPr>
            <w:tcW w:w="253" w:type="pct"/>
            <w:tcBorders>
              <w:top w:val="nil"/>
              <w:left w:val="nil"/>
              <w:bottom w:val="single" w:sz="4" w:space="0" w:color="auto"/>
              <w:right w:val="single" w:sz="4" w:space="0" w:color="auto"/>
            </w:tcBorders>
            <w:shd w:val="clear" w:color="000000" w:fill="D9D9D9"/>
            <w:vAlign w:val="center"/>
            <w:hideMark/>
          </w:tcPr>
          <w:p w14:paraId="6BE2A5B6"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70FC360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000000" w:fill="D9D9D9"/>
            <w:vAlign w:val="center"/>
            <w:hideMark/>
          </w:tcPr>
          <w:p w14:paraId="16B238D0"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4E3A3DEE"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000000" w:fill="D9D9D9"/>
            <w:vAlign w:val="center"/>
            <w:hideMark/>
          </w:tcPr>
          <w:p w14:paraId="2B66C069"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 </w:t>
            </w:r>
          </w:p>
        </w:tc>
        <w:tc>
          <w:tcPr>
            <w:tcW w:w="250" w:type="pct"/>
            <w:tcBorders>
              <w:top w:val="nil"/>
              <w:left w:val="nil"/>
              <w:bottom w:val="single" w:sz="4" w:space="0" w:color="auto"/>
              <w:right w:val="single" w:sz="4" w:space="0" w:color="auto"/>
            </w:tcBorders>
            <w:shd w:val="clear" w:color="auto" w:fill="auto"/>
            <w:vAlign w:val="center"/>
            <w:hideMark/>
          </w:tcPr>
          <w:p w14:paraId="1FF033AB"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0</w:t>
            </w:r>
          </w:p>
        </w:tc>
        <w:tc>
          <w:tcPr>
            <w:tcW w:w="253" w:type="pct"/>
            <w:tcBorders>
              <w:top w:val="nil"/>
              <w:left w:val="nil"/>
              <w:bottom w:val="single" w:sz="4" w:space="0" w:color="auto"/>
              <w:right w:val="single" w:sz="4" w:space="0" w:color="auto"/>
            </w:tcBorders>
            <w:shd w:val="clear" w:color="auto" w:fill="auto"/>
            <w:vAlign w:val="center"/>
            <w:hideMark/>
          </w:tcPr>
          <w:p w14:paraId="5CFAF173" w14:textId="77777777" w:rsidR="004C5D15" w:rsidRPr="00E860C3"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E860C3">
              <w:rPr>
                <w:rFonts w:ascii="Times New Roman" w:eastAsia="Times New Roman" w:hAnsi="Times New Roman" w:cs="Times New Roman"/>
                <w:color w:val="000000"/>
                <w:sz w:val="18"/>
                <w:szCs w:val="18"/>
                <w:lang w:eastAsia="pl-PL"/>
              </w:rPr>
              <w:t>100%</w:t>
            </w:r>
          </w:p>
        </w:tc>
        <w:tc>
          <w:tcPr>
            <w:tcW w:w="326" w:type="pct"/>
            <w:vMerge/>
            <w:tcBorders>
              <w:top w:val="nil"/>
              <w:left w:val="single" w:sz="4" w:space="0" w:color="auto"/>
              <w:bottom w:val="single" w:sz="4" w:space="0" w:color="auto"/>
              <w:right w:val="single" w:sz="4" w:space="0" w:color="auto"/>
            </w:tcBorders>
            <w:vAlign w:val="center"/>
            <w:hideMark/>
          </w:tcPr>
          <w:p w14:paraId="220DA9D0" w14:textId="77777777" w:rsidR="004C5D15" w:rsidRPr="00E860C3" w:rsidRDefault="004C5D15" w:rsidP="004C5D15">
            <w:pPr>
              <w:spacing w:after="0" w:line="240" w:lineRule="auto"/>
              <w:rPr>
                <w:rFonts w:ascii="Times New Roman" w:eastAsia="Times New Roman" w:hAnsi="Times New Roman" w:cs="Times New Roman"/>
                <w:color w:val="000000"/>
                <w:sz w:val="18"/>
                <w:szCs w:val="18"/>
                <w:lang w:eastAsia="pl-PL"/>
              </w:rPr>
            </w:pPr>
          </w:p>
        </w:tc>
      </w:tr>
    </w:tbl>
    <w:p w14:paraId="3E603C00" w14:textId="73CE8BA6" w:rsidR="00A17173" w:rsidRPr="00E860C3" w:rsidRDefault="00A17173" w:rsidP="00A17173">
      <w:pPr>
        <w:jc w:val="center"/>
        <w:rPr>
          <w:rFonts w:ascii="Times New Roman" w:hAnsi="Times New Roman" w:cs="Times New Roman"/>
          <w:i/>
          <w:iCs/>
          <w:color w:val="000000" w:themeColor="text1"/>
          <w:sz w:val="18"/>
          <w:szCs w:val="18"/>
        </w:rPr>
      </w:pPr>
      <w:r w:rsidRPr="00E860C3">
        <w:rPr>
          <w:rFonts w:ascii="Times New Roman" w:hAnsi="Times New Roman" w:cs="Times New Roman"/>
          <w:i/>
          <w:iCs/>
          <w:color w:val="000000" w:themeColor="text1"/>
          <w:sz w:val="18"/>
          <w:szCs w:val="18"/>
        </w:rPr>
        <w:t>Źródło: Opracowanie własne</w:t>
      </w:r>
    </w:p>
    <w:p w14:paraId="0CEA9941" w14:textId="77777777" w:rsidR="00A17173" w:rsidRDefault="00A17173" w:rsidP="00A17173">
      <w:pPr>
        <w:pStyle w:val="Gwne"/>
        <w:numPr>
          <w:ilvl w:val="0"/>
          <w:numId w:val="0"/>
        </w:numPr>
        <w:ind w:left="360" w:hanging="360"/>
        <w:rPr>
          <w:b w:val="0"/>
          <w:bCs w:val="0"/>
          <w:sz w:val="24"/>
          <w:szCs w:val="24"/>
        </w:rPr>
        <w:sectPr w:rsidR="00A17173" w:rsidSect="00F35EB5">
          <w:type w:val="continuous"/>
          <w:pgSz w:w="16838" w:h="11906" w:orient="landscape"/>
          <w:pgMar w:top="851" w:right="851" w:bottom="851" w:left="851" w:header="708" w:footer="708" w:gutter="0"/>
          <w:cols w:space="708"/>
          <w:docGrid w:linePitch="360"/>
        </w:sectPr>
      </w:pPr>
    </w:p>
    <w:p w14:paraId="1F061082" w14:textId="77777777" w:rsidR="00A17173" w:rsidRPr="00676D9C" w:rsidRDefault="00A17173" w:rsidP="005F7666">
      <w:pPr>
        <w:pStyle w:val="Gwne"/>
        <w:numPr>
          <w:ilvl w:val="0"/>
          <w:numId w:val="0"/>
        </w:numPr>
        <w:ind w:left="360" w:hanging="360"/>
        <w:outlineLvl w:val="9"/>
        <w:rPr>
          <w:b w:val="0"/>
          <w:bCs w:val="0"/>
          <w:sz w:val="22"/>
          <w:szCs w:val="22"/>
        </w:rPr>
      </w:pPr>
      <w:bookmarkStart w:id="135" w:name="_Toc133484359"/>
      <w:r w:rsidRPr="00676D9C">
        <w:rPr>
          <w:b w:val="0"/>
          <w:bCs w:val="0"/>
          <w:sz w:val="22"/>
          <w:szCs w:val="22"/>
        </w:rPr>
        <w:lastRenderedPageBreak/>
        <w:t>Załącznik nr 3 Budżet LSR</w:t>
      </w:r>
      <w:bookmarkEnd w:id="135"/>
    </w:p>
    <w:tbl>
      <w:tblPr>
        <w:tblStyle w:val="Tabela-Siatka"/>
        <w:tblW w:w="0" w:type="auto"/>
        <w:tblLook w:val="04A0" w:firstRow="1" w:lastRow="0" w:firstColumn="1" w:lastColumn="0" w:noHBand="0" w:noVBand="1"/>
      </w:tblPr>
      <w:tblGrid>
        <w:gridCol w:w="2038"/>
        <w:gridCol w:w="2039"/>
        <w:gridCol w:w="2039"/>
        <w:gridCol w:w="2039"/>
        <w:gridCol w:w="2039"/>
      </w:tblGrid>
      <w:tr w:rsidR="00676D9C" w:rsidRPr="004C5D15" w14:paraId="1F024592" w14:textId="77777777" w:rsidTr="00125E0C">
        <w:trPr>
          <w:trHeight w:val="396"/>
        </w:trPr>
        <w:tc>
          <w:tcPr>
            <w:tcW w:w="10194" w:type="dxa"/>
            <w:gridSpan w:val="5"/>
            <w:shd w:val="clear" w:color="auto" w:fill="auto"/>
            <w:vAlign w:val="center"/>
          </w:tcPr>
          <w:p w14:paraId="025C0396" w14:textId="77777777" w:rsidR="00676D9C" w:rsidRPr="004C5D15" w:rsidRDefault="00676D9C" w:rsidP="00125E0C">
            <w:pPr>
              <w:jc w:val="center"/>
              <w:rPr>
                <w:sz w:val="20"/>
                <w:szCs w:val="20"/>
              </w:rPr>
            </w:pPr>
            <w:r w:rsidRPr="004C5D15">
              <w:rPr>
                <w:rFonts w:ascii="Times New Roman" w:hAnsi="Times New Roman" w:cs="Times New Roman"/>
                <w:b/>
                <w:bCs/>
                <w:sz w:val="20"/>
                <w:szCs w:val="20"/>
              </w:rPr>
              <w:t>PLANOWANA WYSOKOŚĆ ŚRODKÓW NA WDRAŻANIE LSR I ZARZĄDZANIE LSR</w:t>
            </w:r>
          </w:p>
        </w:tc>
      </w:tr>
      <w:tr w:rsidR="00676D9C" w:rsidRPr="004C5D15" w14:paraId="29661C8E" w14:textId="77777777" w:rsidTr="00125E0C">
        <w:trPr>
          <w:trHeight w:val="417"/>
        </w:trPr>
        <w:tc>
          <w:tcPr>
            <w:tcW w:w="2038" w:type="dxa"/>
            <w:vMerge w:val="restart"/>
            <w:shd w:val="clear" w:color="auto" w:fill="auto"/>
            <w:vAlign w:val="center"/>
          </w:tcPr>
          <w:p w14:paraId="3533AEBC" w14:textId="77777777" w:rsidR="00676D9C" w:rsidRPr="004C5D15" w:rsidRDefault="00676D9C" w:rsidP="00125E0C">
            <w:pPr>
              <w:rPr>
                <w:sz w:val="20"/>
                <w:szCs w:val="20"/>
              </w:rPr>
            </w:pPr>
            <w:r w:rsidRPr="004C5D15">
              <w:rPr>
                <w:rFonts w:ascii="Times New Roman" w:hAnsi="Times New Roman" w:cs="Times New Roman"/>
                <w:b/>
                <w:iCs/>
                <w:sz w:val="20"/>
                <w:szCs w:val="20"/>
              </w:rPr>
              <w:t>Zakres wsparcia</w:t>
            </w:r>
          </w:p>
        </w:tc>
        <w:tc>
          <w:tcPr>
            <w:tcW w:w="6117" w:type="dxa"/>
            <w:gridSpan w:val="3"/>
            <w:shd w:val="clear" w:color="auto" w:fill="auto"/>
            <w:vAlign w:val="center"/>
          </w:tcPr>
          <w:p w14:paraId="1AC331B9" w14:textId="77777777" w:rsidR="00676D9C" w:rsidRPr="004C5D15" w:rsidRDefault="00676D9C" w:rsidP="00125E0C">
            <w:pPr>
              <w:jc w:val="center"/>
              <w:rPr>
                <w:sz w:val="20"/>
                <w:szCs w:val="20"/>
              </w:rPr>
            </w:pPr>
            <w:r w:rsidRPr="004C5D15">
              <w:rPr>
                <w:rFonts w:ascii="Times New Roman" w:hAnsi="Times New Roman" w:cs="Times New Roman"/>
                <w:b/>
                <w:bCs/>
                <w:iCs/>
                <w:sz w:val="20"/>
                <w:szCs w:val="20"/>
              </w:rPr>
              <w:t>Program/Fundusz</w:t>
            </w:r>
          </w:p>
        </w:tc>
        <w:tc>
          <w:tcPr>
            <w:tcW w:w="2039" w:type="dxa"/>
            <w:vMerge w:val="restart"/>
            <w:shd w:val="clear" w:color="auto" w:fill="auto"/>
            <w:vAlign w:val="center"/>
          </w:tcPr>
          <w:p w14:paraId="4D574E5D" w14:textId="77777777" w:rsidR="00676D9C" w:rsidRPr="004C5D15" w:rsidRDefault="00676D9C" w:rsidP="00125E0C">
            <w:pPr>
              <w:rPr>
                <w:sz w:val="20"/>
                <w:szCs w:val="20"/>
              </w:rPr>
            </w:pPr>
            <w:r w:rsidRPr="004C5D15">
              <w:rPr>
                <w:rFonts w:ascii="Times New Roman" w:hAnsi="Times New Roman" w:cs="Times New Roman"/>
                <w:b/>
                <w:bCs/>
                <w:iCs/>
                <w:sz w:val="20"/>
                <w:szCs w:val="20"/>
              </w:rPr>
              <w:t>Środki ogółem</w:t>
            </w:r>
            <w:r w:rsidRPr="004C5D15">
              <w:rPr>
                <w:rFonts w:ascii="Times New Roman" w:hAnsi="Times New Roman" w:cs="Times New Roman"/>
                <w:b/>
                <w:bCs/>
                <w:iCs/>
                <w:sz w:val="20"/>
                <w:szCs w:val="20"/>
              </w:rPr>
              <w:br/>
              <w:t>(EUR)</w:t>
            </w:r>
          </w:p>
        </w:tc>
      </w:tr>
      <w:tr w:rsidR="00676D9C" w:rsidRPr="004C5D15" w14:paraId="68511847" w14:textId="77777777" w:rsidTr="00125E0C">
        <w:trPr>
          <w:trHeight w:val="425"/>
        </w:trPr>
        <w:tc>
          <w:tcPr>
            <w:tcW w:w="2038" w:type="dxa"/>
            <w:vMerge/>
            <w:shd w:val="clear" w:color="auto" w:fill="auto"/>
            <w:vAlign w:val="center"/>
          </w:tcPr>
          <w:p w14:paraId="4D623419" w14:textId="77777777" w:rsidR="00676D9C" w:rsidRPr="004C5D15" w:rsidRDefault="00676D9C" w:rsidP="00125E0C">
            <w:pPr>
              <w:rPr>
                <w:sz w:val="20"/>
                <w:szCs w:val="20"/>
              </w:rPr>
            </w:pPr>
          </w:p>
        </w:tc>
        <w:tc>
          <w:tcPr>
            <w:tcW w:w="2039" w:type="dxa"/>
            <w:shd w:val="clear" w:color="auto" w:fill="auto"/>
            <w:vAlign w:val="center"/>
          </w:tcPr>
          <w:p w14:paraId="4B758BFB" w14:textId="77777777" w:rsidR="00676D9C" w:rsidRPr="004C5D15" w:rsidRDefault="00676D9C" w:rsidP="00125E0C">
            <w:pPr>
              <w:jc w:val="center"/>
              <w:rPr>
                <w:sz w:val="20"/>
                <w:szCs w:val="20"/>
              </w:rPr>
            </w:pPr>
            <w:r w:rsidRPr="004C5D15">
              <w:rPr>
                <w:rFonts w:ascii="Times New Roman" w:hAnsi="Times New Roman" w:cs="Times New Roman"/>
                <w:b/>
                <w:bCs/>
                <w:iCs/>
                <w:sz w:val="20"/>
                <w:szCs w:val="20"/>
              </w:rPr>
              <w:t>PS WPR</w:t>
            </w:r>
          </w:p>
        </w:tc>
        <w:tc>
          <w:tcPr>
            <w:tcW w:w="2039" w:type="dxa"/>
            <w:shd w:val="clear" w:color="auto" w:fill="auto"/>
            <w:vAlign w:val="center"/>
          </w:tcPr>
          <w:p w14:paraId="77880169" w14:textId="77777777" w:rsidR="00676D9C" w:rsidRPr="004C5D15" w:rsidRDefault="00676D9C" w:rsidP="00125E0C">
            <w:pPr>
              <w:jc w:val="center"/>
              <w:rPr>
                <w:sz w:val="20"/>
                <w:szCs w:val="20"/>
              </w:rPr>
            </w:pPr>
            <w:r w:rsidRPr="004C5D15">
              <w:rPr>
                <w:rFonts w:ascii="Times New Roman" w:hAnsi="Times New Roman" w:cs="Times New Roman"/>
                <w:b/>
                <w:bCs/>
                <w:iCs/>
                <w:sz w:val="20"/>
                <w:szCs w:val="20"/>
              </w:rPr>
              <w:t>EFRR</w:t>
            </w:r>
          </w:p>
        </w:tc>
        <w:tc>
          <w:tcPr>
            <w:tcW w:w="2039" w:type="dxa"/>
            <w:shd w:val="clear" w:color="auto" w:fill="auto"/>
            <w:vAlign w:val="center"/>
          </w:tcPr>
          <w:p w14:paraId="37AB0232" w14:textId="77777777" w:rsidR="00676D9C" w:rsidRPr="004C5D15" w:rsidRDefault="00676D9C" w:rsidP="00125E0C">
            <w:pPr>
              <w:jc w:val="center"/>
              <w:rPr>
                <w:sz w:val="20"/>
                <w:szCs w:val="20"/>
              </w:rPr>
            </w:pPr>
            <w:r w:rsidRPr="004C5D15">
              <w:rPr>
                <w:rFonts w:ascii="Times New Roman" w:hAnsi="Times New Roman" w:cs="Times New Roman"/>
                <w:b/>
                <w:bCs/>
                <w:iCs/>
                <w:sz w:val="20"/>
                <w:szCs w:val="20"/>
              </w:rPr>
              <w:t>EFS+</w:t>
            </w:r>
          </w:p>
        </w:tc>
        <w:tc>
          <w:tcPr>
            <w:tcW w:w="2039" w:type="dxa"/>
            <w:vMerge/>
            <w:shd w:val="clear" w:color="auto" w:fill="auto"/>
            <w:vAlign w:val="center"/>
          </w:tcPr>
          <w:p w14:paraId="3680051E" w14:textId="77777777" w:rsidR="00676D9C" w:rsidRPr="004C5D15" w:rsidRDefault="00676D9C" w:rsidP="00125E0C">
            <w:pPr>
              <w:rPr>
                <w:sz w:val="20"/>
                <w:szCs w:val="20"/>
              </w:rPr>
            </w:pPr>
          </w:p>
        </w:tc>
      </w:tr>
      <w:tr w:rsidR="00676D9C" w:rsidRPr="004C5D15" w14:paraId="12F7C7B8" w14:textId="77777777" w:rsidTr="00125E0C">
        <w:trPr>
          <w:trHeight w:val="1015"/>
        </w:trPr>
        <w:tc>
          <w:tcPr>
            <w:tcW w:w="2038" w:type="dxa"/>
            <w:shd w:val="clear" w:color="auto" w:fill="auto"/>
            <w:vAlign w:val="center"/>
          </w:tcPr>
          <w:p w14:paraId="0A1D4778" w14:textId="77777777" w:rsidR="00676D9C" w:rsidRPr="004C5D15" w:rsidRDefault="00676D9C" w:rsidP="00125E0C">
            <w:pPr>
              <w:rPr>
                <w:sz w:val="20"/>
                <w:szCs w:val="20"/>
              </w:rPr>
            </w:pPr>
            <w:r w:rsidRPr="004C5D15">
              <w:rPr>
                <w:rFonts w:ascii="Times New Roman" w:hAnsi="Times New Roman" w:cs="Times New Roman"/>
                <w:b/>
                <w:bCs/>
                <w:sz w:val="20"/>
                <w:szCs w:val="20"/>
              </w:rPr>
              <w:t>Wdrażanie LSR</w:t>
            </w:r>
            <w:r w:rsidRPr="004C5D15">
              <w:rPr>
                <w:rFonts w:ascii="Times New Roman" w:hAnsi="Times New Roman" w:cs="Times New Roman"/>
                <w:sz w:val="20"/>
                <w:szCs w:val="20"/>
              </w:rPr>
              <w:br/>
              <w:t>(art. 34 ust. 1 lit. b rozporządzenia nr 2021/1060)</w:t>
            </w:r>
          </w:p>
        </w:tc>
        <w:tc>
          <w:tcPr>
            <w:tcW w:w="2039" w:type="dxa"/>
            <w:shd w:val="clear" w:color="auto" w:fill="auto"/>
            <w:vAlign w:val="center"/>
          </w:tcPr>
          <w:p w14:paraId="204B7ABF" w14:textId="77777777" w:rsidR="00676D9C" w:rsidRPr="004C5D15" w:rsidRDefault="00676D9C" w:rsidP="00125E0C">
            <w:pPr>
              <w:jc w:val="right"/>
              <w:rPr>
                <w:rFonts w:ascii="Times New Roman" w:hAnsi="Times New Roman" w:cs="Times New Roman"/>
                <w:sz w:val="20"/>
                <w:szCs w:val="20"/>
              </w:rPr>
            </w:pPr>
            <w:r w:rsidRPr="004C5D15">
              <w:rPr>
                <w:rFonts w:ascii="Times New Roman" w:hAnsi="Times New Roman" w:cs="Times New Roman"/>
                <w:sz w:val="20"/>
                <w:szCs w:val="20"/>
              </w:rPr>
              <w:t>3 000 000,00</w:t>
            </w:r>
          </w:p>
        </w:tc>
        <w:tc>
          <w:tcPr>
            <w:tcW w:w="2039" w:type="dxa"/>
            <w:shd w:val="clear" w:color="auto" w:fill="auto"/>
            <w:vAlign w:val="center"/>
          </w:tcPr>
          <w:p w14:paraId="0AB0B50D" w14:textId="77777777" w:rsidR="00676D9C" w:rsidRPr="004C5D15" w:rsidRDefault="00676D9C" w:rsidP="00125E0C">
            <w:pPr>
              <w:jc w:val="right"/>
              <w:rPr>
                <w:rFonts w:ascii="Times New Roman" w:hAnsi="Times New Roman" w:cs="Times New Roman"/>
                <w:sz w:val="20"/>
                <w:szCs w:val="20"/>
              </w:rPr>
            </w:pPr>
            <w:r w:rsidRPr="004C5D15">
              <w:rPr>
                <w:rFonts w:ascii="Times New Roman" w:hAnsi="Times New Roman" w:cs="Times New Roman"/>
                <w:sz w:val="20"/>
                <w:szCs w:val="20"/>
              </w:rPr>
              <w:t>0,00</w:t>
            </w:r>
          </w:p>
        </w:tc>
        <w:tc>
          <w:tcPr>
            <w:tcW w:w="2039" w:type="dxa"/>
            <w:shd w:val="clear" w:color="auto" w:fill="auto"/>
            <w:vAlign w:val="center"/>
          </w:tcPr>
          <w:p w14:paraId="381E6806" w14:textId="77777777" w:rsidR="00676D9C" w:rsidRPr="004C5D15" w:rsidRDefault="00676D9C" w:rsidP="00125E0C">
            <w:pPr>
              <w:jc w:val="right"/>
              <w:rPr>
                <w:rFonts w:ascii="Times New Roman" w:hAnsi="Times New Roman" w:cs="Times New Roman"/>
                <w:sz w:val="20"/>
                <w:szCs w:val="20"/>
              </w:rPr>
            </w:pPr>
            <w:r w:rsidRPr="004C5D15">
              <w:rPr>
                <w:rFonts w:ascii="Times New Roman" w:hAnsi="Times New Roman" w:cs="Times New Roman"/>
                <w:sz w:val="20"/>
                <w:szCs w:val="20"/>
              </w:rPr>
              <w:t>0,00</w:t>
            </w:r>
          </w:p>
        </w:tc>
        <w:tc>
          <w:tcPr>
            <w:tcW w:w="2039" w:type="dxa"/>
            <w:shd w:val="clear" w:color="auto" w:fill="auto"/>
            <w:vAlign w:val="center"/>
          </w:tcPr>
          <w:p w14:paraId="01897FC8" w14:textId="77777777" w:rsidR="00676D9C" w:rsidRPr="004C5D15" w:rsidRDefault="00676D9C" w:rsidP="00125E0C">
            <w:pPr>
              <w:jc w:val="right"/>
              <w:rPr>
                <w:rFonts w:ascii="Times New Roman" w:hAnsi="Times New Roman" w:cs="Times New Roman"/>
                <w:color w:val="000000"/>
                <w:sz w:val="20"/>
                <w:szCs w:val="20"/>
              </w:rPr>
            </w:pPr>
            <w:r w:rsidRPr="004C5D15">
              <w:rPr>
                <w:rFonts w:ascii="Times New Roman" w:hAnsi="Times New Roman" w:cs="Times New Roman"/>
                <w:color w:val="000000"/>
                <w:sz w:val="20"/>
                <w:szCs w:val="20"/>
              </w:rPr>
              <w:t>3 000 000,00</w:t>
            </w:r>
          </w:p>
        </w:tc>
      </w:tr>
      <w:tr w:rsidR="00676D9C" w:rsidRPr="004C5D15" w14:paraId="31C08E51" w14:textId="77777777" w:rsidTr="00125E0C">
        <w:trPr>
          <w:trHeight w:val="1015"/>
        </w:trPr>
        <w:tc>
          <w:tcPr>
            <w:tcW w:w="2038" w:type="dxa"/>
            <w:shd w:val="clear" w:color="auto" w:fill="auto"/>
            <w:vAlign w:val="center"/>
          </w:tcPr>
          <w:p w14:paraId="46B589D4" w14:textId="77777777" w:rsidR="00676D9C" w:rsidRPr="004C5D15" w:rsidRDefault="00676D9C" w:rsidP="00125E0C">
            <w:pPr>
              <w:rPr>
                <w:sz w:val="20"/>
                <w:szCs w:val="20"/>
              </w:rPr>
            </w:pPr>
            <w:r w:rsidRPr="004C5D15">
              <w:rPr>
                <w:rFonts w:ascii="Times New Roman" w:hAnsi="Times New Roman" w:cs="Times New Roman"/>
                <w:b/>
                <w:bCs/>
                <w:sz w:val="20"/>
                <w:szCs w:val="20"/>
              </w:rPr>
              <w:t>Zarządzanie LSR</w:t>
            </w:r>
            <w:r w:rsidRPr="004C5D15">
              <w:rPr>
                <w:rFonts w:ascii="Times New Roman" w:hAnsi="Times New Roman" w:cs="Times New Roman"/>
                <w:sz w:val="20"/>
                <w:szCs w:val="20"/>
              </w:rPr>
              <w:br/>
              <w:t>(art. 34 ust. 1 lit. c rozporządzenia nr 2021/1060)</w:t>
            </w:r>
          </w:p>
        </w:tc>
        <w:tc>
          <w:tcPr>
            <w:tcW w:w="2039" w:type="dxa"/>
            <w:shd w:val="clear" w:color="auto" w:fill="auto"/>
            <w:vAlign w:val="center"/>
          </w:tcPr>
          <w:p w14:paraId="3D7560E5" w14:textId="77777777" w:rsidR="00676D9C" w:rsidRPr="004C5D15" w:rsidRDefault="00676D9C" w:rsidP="00125E0C">
            <w:pPr>
              <w:pStyle w:val="Default"/>
              <w:jc w:val="right"/>
              <w:rPr>
                <w:sz w:val="20"/>
                <w:szCs w:val="20"/>
              </w:rPr>
            </w:pPr>
            <w:r w:rsidRPr="004C5D15">
              <w:rPr>
                <w:sz w:val="20"/>
                <w:szCs w:val="20"/>
              </w:rPr>
              <w:t xml:space="preserve">662 500 </w:t>
            </w:r>
          </w:p>
        </w:tc>
        <w:tc>
          <w:tcPr>
            <w:tcW w:w="2039" w:type="dxa"/>
            <w:shd w:val="clear" w:color="auto" w:fill="auto"/>
            <w:vAlign w:val="center"/>
          </w:tcPr>
          <w:p w14:paraId="5B130F4D" w14:textId="77777777" w:rsidR="00676D9C" w:rsidRPr="004C5D15" w:rsidRDefault="00676D9C" w:rsidP="00125E0C">
            <w:pPr>
              <w:jc w:val="right"/>
              <w:rPr>
                <w:rFonts w:ascii="Times New Roman" w:hAnsi="Times New Roman" w:cs="Times New Roman"/>
                <w:sz w:val="20"/>
                <w:szCs w:val="20"/>
              </w:rPr>
            </w:pPr>
            <w:r w:rsidRPr="004C5D15">
              <w:rPr>
                <w:rFonts w:ascii="Times New Roman" w:hAnsi="Times New Roman" w:cs="Times New Roman"/>
                <w:sz w:val="20"/>
                <w:szCs w:val="20"/>
              </w:rPr>
              <w:t>0,00</w:t>
            </w:r>
          </w:p>
        </w:tc>
        <w:tc>
          <w:tcPr>
            <w:tcW w:w="2039" w:type="dxa"/>
            <w:shd w:val="clear" w:color="auto" w:fill="auto"/>
            <w:vAlign w:val="center"/>
          </w:tcPr>
          <w:p w14:paraId="053EDC36" w14:textId="77777777" w:rsidR="00676D9C" w:rsidRPr="004C5D15" w:rsidRDefault="00676D9C" w:rsidP="00125E0C">
            <w:pPr>
              <w:jc w:val="right"/>
              <w:rPr>
                <w:rFonts w:ascii="Times New Roman" w:hAnsi="Times New Roman" w:cs="Times New Roman"/>
                <w:sz w:val="20"/>
                <w:szCs w:val="20"/>
              </w:rPr>
            </w:pPr>
            <w:r w:rsidRPr="004C5D15">
              <w:rPr>
                <w:rFonts w:ascii="Times New Roman" w:hAnsi="Times New Roman" w:cs="Times New Roman"/>
                <w:sz w:val="20"/>
                <w:szCs w:val="20"/>
              </w:rPr>
              <w:t>0,00</w:t>
            </w:r>
          </w:p>
        </w:tc>
        <w:tc>
          <w:tcPr>
            <w:tcW w:w="2039" w:type="dxa"/>
            <w:shd w:val="clear" w:color="auto" w:fill="auto"/>
            <w:vAlign w:val="center"/>
          </w:tcPr>
          <w:p w14:paraId="5792B1EC" w14:textId="77777777" w:rsidR="00676D9C" w:rsidRPr="004C5D15" w:rsidRDefault="00676D9C" w:rsidP="00125E0C">
            <w:pPr>
              <w:jc w:val="right"/>
              <w:rPr>
                <w:rFonts w:ascii="Times New Roman" w:hAnsi="Times New Roman" w:cs="Times New Roman"/>
                <w:color w:val="000000"/>
                <w:sz w:val="20"/>
                <w:szCs w:val="20"/>
              </w:rPr>
            </w:pPr>
            <w:r w:rsidRPr="004C5D15">
              <w:rPr>
                <w:rFonts w:ascii="Times New Roman" w:hAnsi="Times New Roman" w:cs="Times New Roman"/>
                <w:color w:val="000000"/>
                <w:sz w:val="20"/>
                <w:szCs w:val="20"/>
              </w:rPr>
              <w:t xml:space="preserve">662 500 </w:t>
            </w:r>
          </w:p>
        </w:tc>
      </w:tr>
      <w:tr w:rsidR="00676D9C" w:rsidRPr="004C5D15" w14:paraId="783FFEAD" w14:textId="77777777" w:rsidTr="00125E0C">
        <w:trPr>
          <w:trHeight w:val="920"/>
        </w:trPr>
        <w:tc>
          <w:tcPr>
            <w:tcW w:w="2038" w:type="dxa"/>
            <w:shd w:val="clear" w:color="auto" w:fill="auto"/>
            <w:vAlign w:val="center"/>
          </w:tcPr>
          <w:p w14:paraId="43207C43" w14:textId="77777777" w:rsidR="00676D9C" w:rsidRPr="004C5D15" w:rsidRDefault="00676D9C" w:rsidP="00125E0C">
            <w:pPr>
              <w:rPr>
                <w:rFonts w:ascii="Times New Roman" w:hAnsi="Times New Roman" w:cs="Times New Roman"/>
                <w:b/>
                <w:bCs/>
                <w:sz w:val="20"/>
                <w:szCs w:val="20"/>
              </w:rPr>
            </w:pPr>
            <w:r w:rsidRPr="004C5D15">
              <w:rPr>
                <w:rFonts w:ascii="Times New Roman" w:hAnsi="Times New Roman" w:cs="Times New Roman"/>
                <w:b/>
                <w:bCs/>
                <w:iCs/>
                <w:sz w:val="20"/>
                <w:szCs w:val="20"/>
              </w:rPr>
              <w:t>Razem</w:t>
            </w:r>
          </w:p>
        </w:tc>
        <w:tc>
          <w:tcPr>
            <w:tcW w:w="2039" w:type="dxa"/>
            <w:shd w:val="clear" w:color="auto" w:fill="auto"/>
            <w:vAlign w:val="center"/>
          </w:tcPr>
          <w:p w14:paraId="504BF114" w14:textId="77777777" w:rsidR="00676D9C" w:rsidRPr="004C5D15" w:rsidRDefault="00676D9C" w:rsidP="00125E0C">
            <w:pPr>
              <w:jc w:val="right"/>
              <w:rPr>
                <w:rFonts w:ascii="Times New Roman" w:hAnsi="Times New Roman" w:cs="Times New Roman"/>
                <w:b/>
                <w:bCs/>
                <w:sz w:val="20"/>
                <w:szCs w:val="20"/>
              </w:rPr>
            </w:pPr>
            <w:r w:rsidRPr="004C5D15">
              <w:rPr>
                <w:rFonts w:ascii="Times New Roman" w:hAnsi="Times New Roman" w:cs="Times New Roman"/>
                <w:b/>
                <w:bCs/>
                <w:sz w:val="20"/>
                <w:szCs w:val="20"/>
              </w:rPr>
              <w:t>3 662 500,00</w:t>
            </w:r>
          </w:p>
        </w:tc>
        <w:tc>
          <w:tcPr>
            <w:tcW w:w="2039" w:type="dxa"/>
            <w:shd w:val="clear" w:color="auto" w:fill="auto"/>
            <w:vAlign w:val="center"/>
          </w:tcPr>
          <w:p w14:paraId="0C6C64D6" w14:textId="77777777" w:rsidR="00676D9C" w:rsidRPr="004C5D15" w:rsidRDefault="00676D9C" w:rsidP="00125E0C">
            <w:pPr>
              <w:jc w:val="right"/>
              <w:rPr>
                <w:rFonts w:ascii="Times New Roman" w:hAnsi="Times New Roman" w:cs="Times New Roman"/>
                <w:b/>
                <w:bCs/>
                <w:sz w:val="20"/>
                <w:szCs w:val="20"/>
              </w:rPr>
            </w:pPr>
            <w:r w:rsidRPr="004C5D15">
              <w:rPr>
                <w:rFonts w:ascii="Times New Roman" w:hAnsi="Times New Roman" w:cs="Times New Roman"/>
                <w:b/>
                <w:bCs/>
                <w:sz w:val="20"/>
                <w:szCs w:val="20"/>
              </w:rPr>
              <w:t>0,00</w:t>
            </w:r>
          </w:p>
        </w:tc>
        <w:tc>
          <w:tcPr>
            <w:tcW w:w="2039" w:type="dxa"/>
            <w:shd w:val="clear" w:color="auto" w:fill="auto"/>
            <w:vAlign w:val="center"/>
          </w:tcPr>
          <w:p w14:paraId="35650DAE" w14:textId="77777777" w:rsidR="00676D9C" w:rsidRPr="004C5D15" w:rsidRDefault="00676D9C" w:rsidP="00125E0C">
            <w:pPr>
              <w:jc w:val="right"/>
              <w:rPr>
                <w:rFonts w:ascii="Times New Roman" w:hAnsi="Times New Roman" w:cs="Times New Roman"/>
                <w:b/>
                <w:bCs/>
                <w:sz w:val="20"/>
                <w:szCs w:val="20"/>
              </w:rPr>
            </w:pPr>
            <w:r w:rsidRPr="004C5D15">
              <w:rPr>
                <w:rFonts w:ascii="Times New Roman" w:hAnsi="Times New Roman" w:cs="Times New Roman"/>
                <w:b/>
                <w:bCs/>
                <w:sz w:val="20"/>
                <w:szCs w:val="20"/>
              </w:rPr>
              <w:t>0,00</w:t>
            </w:r>
          </w:p>
        </w:tc>
        <w:tc>
          <w:tcPr>
            <w:tcW w:w="2039" w:type="dxa"/>
            <w:shd w:val="clear" w:color="auto" w:fill="auto"/>
            <w:vAlign w:val="center"/>
          </w:tcPr>
          <w:p w14:paraId="00CA9EF0" w14:textId="77777777" w:rsidR="00676D9C" w:rsidRPr="004C5D15" w:rsidRDefault="00676D9C" w:rsidP="00125E0C">
            <w:pPr>
              <w:jc w:val="right"/>
              <w:rPr>
                <w:rFonts w:ascii="Times New Roman" w:hAnsi="Times New Roman" w:cs="Times New Roman"/>
                <w:b/>
                <w:bCs/>
                <w:sz w:val="20"/>
                <w:szCs w:val="20"/>
              </w:rPr>
            </w:pPr>
            <w:r w:rsidRPr="004C5D15">
              <w:rPr>
                <w:rFonts w:ascii="Times New Roman" w:hAnsi="Times New Roman" w:cs="Times New Roman"/>
                <w:b/>
                <w:bCs/>
                <w:sz w:val="20"/>
                <w:szCs w:val="20"/>
              </w:rPr>
              <w:t>3 662 500,00</w:t>
            </w:r>
          </w:p>
        </w:tc>
      </w:tr>
    </w:tbl>
    <w:p w14:paraId="07DAD091" w14:textId="77777777" w:rsidR="00676D9C" w:rsidRDefault="00676D9C" w:rsidP="00676D9C">
      <w:pPr>
        <w:jc w:val="center"/>
        <w:rPr>
          <w:rFonts w:ascii="Times New Roman" w:hAnsi="Times New Roman" w:cs="Times New Roman"/>
          <w:i/>
          <w:iCs/>
          <w:sz w:val="20"/>
          <w:szCs w:val="20"/>
        </w:rPr>
      </w:pPr>
      <w:r w:rsidRPr="003973F7">
        <w:rPr>
          <w:rFonts w:ascii="Times New Roman" w:hAnsi="Times New Roman" w:cs="Times New Roman"/>
          <w:i/>
          <w:iCs/>
          <w:sz w:val="20"/>
          <w:szCs w:val="20"/>
        </w:rPr>
        <w:t>Źródło: Opracowanie własne</w:t>
      </w:r>
    </w:p>
    <w:p w14:paraId="15721ED4" w14:textId="77777777" w:rsidR="00A17173" w:rsidRDefault="00A17173" w:rsidP="00A17173">
      <w:pPr>
        <w:pStyle w:val="Gwne"/>
        <w:numPr>
          <w:ilvl w:val="0"/>
          <w:numId w:val="0"/>
        </w:numPr>
        <w:ind w:left="1077"/>
        <w:outlineLvl w:val="9"/>
        <w:rPr>
          <w:b w:val="0"/>
          <w:bCs w:val="0"/>
          <w:sz w:val="22"/>
          <w:szCs w:val="22"/>
        </w:rPr>
      </w:pPr>
    </w:p>
    <w:p w14:paraId="10D90B47" w14:textId="77777777" w:rsidR="00676D9C" w:rsidRDefault="00676D9C" w:rsidP="00A17173">
      <w:pPr>
        <w:pStyle w:val="Gwne"/>
        <w:numPr>
          <w:ilvl w:val="0"/>
          <w:numId w:val="0"/>
        </w:numPr>
        <w:ind w:left="1077"/>
        <w:outlineLvl w:val="9"/>
        <w:rPr>
          <w:b w:val="0"/>
          <w:bCs w:val="0"/>
          <w:sz w:val="22"/>
          <w:szCs w:val="22"/>
        </w:rPr>
      </w:pPr>
    </w:p>
    <w:p w14:paraId="19B05C74" w14:textId="77777777" w:rsidR="00676D9C" w:rsidRDefault="00676D9C" w:rsidP="00A17173">
      <w:pPr>
        <w:pStyle w:val="Gwne"/>
        <w:numPr>
          <w:ilvl w:val="0"/>
          <w:numId w:val="0"/>
        </w:numPr>
        <w:ind w:left="1077"/>
        <w:outlineLvl w:val="9"/>
        <w:rPr>
          <w:b w:val="0"/>
          <w:bCs w:val="0"/>
          <w:sz w:val="22"/>
          <w:szCs w:val="22"/>
        </w:rPr>
      </w:pPr>
    </w:p>
    <w:p w14:paraId="6ECB251F" w14:textId="77777777" w:rsidR="00676D9C" w:rsidRDefault="00676D9C" w:rsidP="00A17173">
      <w:pPr>
        <w:pStyle w:val="Gwne"/>
        <w:numPr>
          <w:ilvl w:val="0"/>
          <w:numId w:val="0"/>
        </w:numPr>
        <w:ind w:left="1077"/>
        <w:outlineLvl w:val="9"/>
        <w:rPr>
          <w:b w:val="0"/>
          <w:bCs w:val="0"/>
          <w:sz w:val="22"/>
          <w:szCs w:val="22"/>
        </w:rPr>
      </w:pPr>
    </w:p>
    <w:p w14:paraId="67FA520F" w14:textId="1DD77C60" w:rsidR="00676D9C" w:rsidRDefault="00676D9C" w:rsidP="00A17173">
      <w:pPr>
        <w:pStyle w:val="Gwne"/>
        <w:numPr>
          <w:ilvl w:val="0"/>
          <w:numId w:val="0"/>
        </w:numPr>
        <w:ind w:left="1077"/>
        <w:outlineLvl w:val="9"/>
        <w:rPr>
          <w:b w:val="0"/>
          <w:bCs w:val="0"/>
          <w:sz w:val="22"/>
          <w:szCs w:val="22"/>
        </w:rPr>
        <w:sectPr w:rsidR="00676D9C" w:rsidSect="00F35EB5">
          <w:type w:val="continuous"/>
          <w:pgSz w:w="11906" w:h="16838"/>
          <w:pgMar w:top="851" w:right="851" w:bottom="851" w:left="851" w:header="709" w:footer="709" w:gutter="0"/>
          <w:cols w:space="708"/>
          <w:docGrid w:linePitch="360"/>
        </w:sectPr>
      </w:pPr>
    </w:p>
    <w:p w14:paraId="18409BAA" w14:textId="23F400BC" w:rsidR="00676D9C" w:rsidRPr="00676D9C" w:rsidRDefault="00676D9C" w:rsidP="00676D9C">
      <w:pPr>
        <w:spacing w:line="276" w:lineRule="auto"/>
        <w:ind w:left="360"/>
        <w:jc w:val="both"/>
        <w:rPr>
          <w:rFonts w:ascii="Times New Roman" w:hAnsi="Times New Roman" w:cs="Times New Roman"/>
        </w:rPr>
      </w:pPr>
      <w:bookmarkStart w:id="136" w:name="_Hlk134057686"/>
      <w:r w:rsidRPr="00676D9C">
        <w:rPr>
          <w:rFonts w:ascii="Times New Roman" w:hAnsi="Times New Roman" w:cs="Times New Roman"/>
        </w:rPr>
        <w:lastRenderedPageBreak/>
        <w:t xml:space="preserve">Załącznik nr </w:t>
      </w:r>
      <w:r w:rsidR="005F7666">
        <w:rPr>
          <w:rFonts w:ascii="Times New Roman" w:hAnsi="Times New Roman" w:cs="Times New Roman"/>
        </w:rPr>
        <w:t>4</w:t>
      </w:r>
      <w:r w:rsidRPr="00676D9C">
        <w:rPr>
          <w:rFonts w:ascii="Times New Roman" w:hAnsi="Times New Roman" w:cs="Times New Roman"/>
        </w:rPr>
        <w:t xml:space="preserve"> Plan wykorzystania budżetu</w:t>
      </w:r>
    </w:p>
    <w:tbl>
      <w:tblPr>
        <w:tblW w:w="5000" w:type="pct"/>
        <w:tblCellMar>
          <w:left w:w="70" w:type="dxa"/>
          <w:right w:w="70" w:type="dxa"/>
        </w:tblCellMar>
        <w:tblLook w:val="04A0" w:firstRow="1" w:lastRow="0" w:firstColumn="1" w:lastColumn="0" w:noHBand="0" w:noVBand="1"/>
      </w:tblPr>
      <w:tblGrid>
        <w:gridCol w:w="810"/>
        <w:gridCol w:w="780"/>
        <w:gridCol w:w="1190"/>
        <w:gridCol w:w="894"/>
        <w:gridCol w:w="1190"/>
        <w:gridCol w:w="974"/>
        <w:gridCol w:w="1190"/>
        <w:gridCol w:w="998"/>
        <w:gridCol w:w="1190"/>
        <w:gridCol w:w="780"/>
        <w:gridCol w:w="1190"/>
        <w:gridCol w:w="780"/>
        <w:gridCol w:w="1190"/>
        <w:gridCol w:w="780"/>
        <w:gridCol w:w="1190"/>
      </w:tblGrid>
      <w:tr w:rsidR="00F35EB5" w:rsidRPr="004C5D15" w14:paraId="7E2C94B9" w14:textId="77777777" w:rsidTr="00CE2EDC">
        <w:trPr>
          <w:trHeight w:val="443"/>
        </w:trPr>
        <w:tc>
          <w:tcPr>
            <w:tcW w:w="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136"/>
          <w:p w14:paraId="150A467E" w14:textId="77777777" w:rsidR="004C5D15" w:rsidRPr="004C5D15"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fundusz</w:t>
            </w:r>
          </w:p>
        </w:tc>
        <w:tc>
          <w:tcPr>
            <w:tcW w:w="4732" w:type="pct"/>
            <w:gridSpan w:val="14"/>
            <w:tcBorders>
              <w:top w:val="single" w:sz="4" w:space="0" w:color="auto"/>
              <w:left w:val="nil"/>
              <w:bottom w:val="single" w:sz="4" w:space="0" w:color="auto"/>
              <w:right w:val="single" w:sz="4" w:space="0" w:color="auto"/>
            </w:tcBorders>
            <w:shd w:val="clear" w:color="000000" w:fill="FFFFFF"/>
            <w:vAlign w:val="center"/>
            <w:hideMark/>
          </w:tcPr>
          <w:p w14:paraId="463F1C46" w14:textId="77777777" w:rsidR="004C5D15" w:rsidRPr="004C5D15" w:rsidRDefault="004C5D15" w:rsidP="004C5D15">
            <w:pPr>
              <w:spacing w:after="0" w:line="240" w:lineRule="auto"/>
              <w:jc w:val="center"/>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Środki zakontraktowane w Euro do:</w:t>
            </w:r>
          </w:p>
        </w:tc>
      </w:tr>
      <w:tr w:rsidR="004C5D15" w:rsidRPr="00AE0DB4" w14:paraId="52F92B61" w14:textId="77777777" w:rsidTr="00CE2EDC">
        <w:trPr>
          <w:trHeight w:val="443"/>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0F52819C" w14:textId="77777777" w:rsidR="004C5D15" w:rsidRPr="004C5D15" w:rsidRDefault="004C5D15" w:rsidP="004C5D15">
            <w:pPr>
              <w:spacing w:after="0" w:line="240" w:lineRule="auto"/>
              <w:rPr>
                <w:rFonts w:ascii="Times New Roman" w:eastAsia="Times New Roman" w:hAnsi="Times New Roman" w:cs="Times New Roman"/>
                <w:b/>
                <w:bCs/>
                <w:color w:val="000000"/>
                <w:sz w:val="18"/>
                <w:szCs w:val="18"/>
                <w:lang w:eastAsia="pl-PL"/>
              </w:rPr>
            </w:pPr>
          </w:p>
        </w:tc>
        <w:tc>
          <w:tcPr>
            <w:tcW w:w="652" w:type="pct"/>
            <w:gridSpan w:val="2"/>
            <w:tcBorders>
              <w:top w:val="single" w:sz="4" w:space="0" w:color="auto"/>
              <w:left w:val="nil"/>
              <w:bottom w:val="single" w:sz="4" w:space="0" w:color="auto"/>
              <w:right w:val="single" w:sz="4" w:space="0" w:color="auto"/>
            </w:tcBorders>
            <w:shd w:val="clear" w:color="000000" w:fill="FFFFFF"/>
            <w:vAlign w:val="center"/>
            <w:hideMark/>
          </w:tcPr>
          <w:p w14:paraId="6B42EFA6"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31.12.2024</w:t>
            </w:r>
          </w:p>
        </w:tc>
        <w:tc>
          <w:tcPr>
            <w:tcW w:w="717" w:type="pct"/>
            <w:gridSpan w:val="2"/>
            <w:tcBorders>
              <w:top w:val="single" w:sz="4" w:space="0" w:color="auto"/>
              <w:left w:val="nil"/>
              <w:bottom w:val="single" w:sz="4" w:space="0" w:color="auto"/>
              <w:right w:val="single" w:sz="4" w:space="0" w:color="auto"/>
            </w:tcBorders>
            <w:shd w:val="clear" w:color="000000" w:fill="FFFFFF"/>
            <w:vAlign w:val="center"/>
            <w:hideMark/>
          </w:tcPr>
          <w:p w14:paraId="01F09311"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31.12.2025</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hideMark/>
          </w:tcPr>
          <w:p w14:paraId="0546AC0D"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30.06.2026</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hideMark/>
          </w:tcPr>
          <w:p w14:paraId="03431D09"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31.12.2026</w:t>
            </w:r>
          </w:p>
        </w:tc>
        <w:tc>
          <w:tcPr>
            <w:tcW w:w="660" w:type="pct"/>
            <w:gridSpan w:val="2"/>
            <w:tcBorders>
              <w:top w:val="single" w:sz="4" w:space="0" w:color="auto"/>
              <w:left w:val="nil"/>
              <w:bottom w:val="single" w:sz="4" w:space="0" w:color="auto"/>
              <w:right w:val="single" w:sz="4" w:space="0" w:color="auto"/>
            </w:tcBorders>
            <w:shd w:val="clear" w:color="000000" w:fill="FFFFFF"/>
            <w:vAlign w:val="center"/>
            <w:hideMark/>
          </w:tcPr>
          <w:p w14:paraId="40BD901E"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31.12.2027</w:t>
            </w:r>
          </w:p>
        </w:tc>
        <w:tc>
          <w:tcPr>
            <w:tcW w:w="660" w:type="pct"/>
            <w:gridSpan w:val="2"/>
            <w:tcBorders>
              <w:top w:val="single" w:sz="4" w:space="0" w:color="auto"/>
              <w:left w:val="nil"/>
              <w:bottom w:val="single" w:sz="4" w:space="0" w:color="auto"/>
              <w:right w:val="single" w:sz="4" w:space="0" w:color="auto"/>
            </w:tcBorders>
            <w:shd w:val="clear" w:color="000000" w:fill="FFFFFF"/>
            <w:vAlign w:val="center"/>
            <w:hideMark/>
          </w:tcPr>
          <w:p w14:paraId="434E9FC7"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31.12.2028</w:t>
            </w:r>
          </w:p>
        </w:tc>
        <w:tc>
          <w:tcPr>
            <w:tcW w:w="655" w:type="pct"/>
            <w:gridSpan w:val="2"/>
            <w:tcBorders>
              <w:top w:val="single" w:sz="4" w:space="0" w:color="auto"/>
              <w:left w:val="nil"/>
              <w:bottom w:val="single" w:sz="4" w:space="0" w:color="auto"/>
              <w:right w:val="single" w:sz="4" w:space="0" w:color="auto"/>
            </w:tcBorders>
            <w:shd w:val="clear" w:color="000000" w:fill="FFFFFF"/>
            <w:vAlign w:val="center"/>
            <w:hideMark/>
          </w:tcPr>
          <w:p w14:paraId="3A5466D1"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31.12.2029</w:t>
            </w:r>
          </w:p>
        </w:tc>
      </w:tr>
      <w:tr w:rsidR="00AE0DB4" w:rsidRPr="00AE0DB4" w14:paraId="6E54534B" w14:textId="77777777" w:rsidTr="00CE2EDC">
        <w:trPr>
          <w:trHeight w:val="1238"/>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3C01FEB5" w14:textId="77777777" w:rsidR="004C5D15" w:rsidRPr="004C5D15" w:rsidRDefault="004C5D15" w:rsidP="004C5D15">
            <w:pPr>
              <w:spacing w:after="0" w:line="240" w:lineRule="auto"/>
              <w:rPr>
                <w:rFonts w:ascii="Times New Roman" w:eastAsia="Times New Roman" w:hAnsi="Times New Roman" w:cs="Times New Roman"/>
                <w:b/>
                <w:bCs/>
                <w:color w:val="000000"/>
                <w:sz w:val="18"/>
                <w:szCs w:val="18"/>
                <w:lang w:eastAsia="pl-PL"/>
              </w:rPr>
            </w:pPr>
          </w:p>
        </w:tc>
        <w:tc>
          <w:tcPr>
            <w:tcW w:w="258" w:type="pct"/>
            <w:tcBorders>
              <w:top w:val="nil"/>
              <w:left w:val="nil"/>
              <w:bottom w:val="single" w:sz="4" w:space="0" w:color="auto"/>
              <w:right w:val="single" w:sz="4" w:space="0" w:color="auto"/>
            </w:tcBorders>
            <w:shd w:val="clear" w:color="auto" w:fill="auto"/>
            <w:vAlign w:val="center"/>
            <w:hideMark/>
          </w:tcPr>
          <w:p w14:paraId="339530C2"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Kwota ogółem (UE+ krajowe)</w:t>
            </w:r>
          </w:p>
        </w:tc>
        <w:tc>
          <w:tcPr>
            <w:tcW w:w="393" w:type="pct"/>
            <w:tcBorders>
              <w:top w:val="nil"/>
              <w:left w:val="nil"/>
              <w:bottom w:val="single" w:sz="4" w:space="0" w:color="auto"/>
              <w:right w:val="single" w:sz="4" w:space="0" w:color="auto"/>
            </w:tcBorders>
            <w:shd w:val="clear" w:color="auto" w:fill="auto"/>
            <w:vAlign w:val="center"/>
            <w:hideMark/>
          </w:tcPr>
          <w:p w14:paraId="7D7C557E"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wykorzystania budżetu LSR</w:t>
            </w:r>
          </w:p>
        </w:tc>
        <w:tc>
          <w:tcPr>
            <w:tcW w:w="317" w:type="pct"/>
            <w:tcBorders>
              <w:top w:val="nil"/>
              <w:left w:val="nil"/>
              <w:bottom w:val="single" w:sz="4" w:space="0" w:color="auto"/>
              <w:right w:val="single" w:sz="4" w:space="0" w:color="auto"/>
            </w:tcBorders>
            <w:shd w:val="clear" w:color="auto" w:fill="auto"/>
            <w:vAlign w:val="center"/>
            <w:hideMark/>
          </w:tcPr>
          <w:p w14:paraId="25E8CCDE"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Kwota ogółem (UE+ krajowe)</w:t>
            </w:r>
          </w:p>
        </w:tc>
        <w:tc>
          <w:tcPr>
            <w:tcW w:w="400" w:type="pct"/>
            <w:tcBorders>
              <w:top w:val="nil"/>
              <w:left w:val="nil"/>
              <w:bottom w:val="single" w:sz="4" w:space="0" w:color="auto"/>
              <w:right w:val="single" w:sz="4" w:space="0" w:color="auto"/>
            </w:tcBorders>
            <w:shd w:val="clear" w:color="auto" w:fill="auto"/>
            <w:vAlign w:val="center"/>
            <w:hideMark/>
          </w:tcPr>
          <w:p w14:paraId="6F08317E"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wykorzystania budżetu LSR</w:t>
            </w:r>
          </w:p>
        </w:tc>
        <w:tc>
          <w:tcPr>
            <w:tcW w:w="330" w:type="pct"/>
            <w:tcBorders>
              <w:top w:val="nil"/>
              <w:left w:val="nil"/>
              <w:bottom w:val="single" w:sz="4" w:space="0" w:color="auto"/>
              <w:right w:val="single" w:sz="4" w:space="0" w:color="auto"/>
            </w:tcBorders>
            <w:shd w:val="clear" w:color="auto" w:fill="auto"/>
            <w:vAlign w:val="center"/>
            <w:hideMark/>
          </w:tcPr>
          <w:p w14:paraId="285FAE9A"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Kwota ogółem (UE+ krajowe)</w:t>
            </w:r>
          </w:p>
        </w:tc>
        <w:tc>
          <w:tcPr>
            <w:tcW w:w="329" w:type="pct"/>
            <w:tcBorders>
              <w:top w:val="nil"/>
              <w:left w:val="nil"/>
              <w:bottom w:val="single" w:sz="4" w:space="0" w:color="auto"/>
              <w:right w:val="single" w:sz="4" w:space="0" w:color="auto"/>
            </w:tcBorders>
            <w:shd w:val="clear" w:color="auto" w:fill="auto"/>
            <w:vAlign w:val="center"/>
            <w:hideMark/>
          </w:tcPr>
          <w:p w14:paraId="79BA1F49"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wykorzystania budżetu LSR</w:t>
            </w:r>
          </w:p>
        </w:tc>
        <w:tc>
          <w:tcPr>
            <w:tcW w:w="337" w:type="pct"/>
            <w:tcBorders>
              <w:top w:val="nil"/>
              <w:left w:val="nil"/>
              <w:bottom w:val="single" w:sz="4" w:space="0" w:color="auto"/>
              <w:right w:val="single" w:sz="4" w:space="0" w:color="auto"/>
            </w:tcBorders>
            <w:shd w:val="clear" w:color="auto" w:fill="auto"/>
            <w:vAlign w:val="center"/>
            <w:hideMark/>
          </w:tcPr>
          <w:p w14:paraId="744F2F73"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Kwota ogółem (UE+ krajowe)</w:t>
            </w:r>
          </w:p>
        </w:tc>
        <w:tc>
          <w:tcPr>
            <w:tcW w:w="393" w:type="pct"/>
            <w:tcBorders>
              <w:top w:val="nil"/>
              <w:left w:val="nil"/>
              <w:bottom w:val="single" w:sz="4" w:space="0" w:color="auto"/>
              <w:right w:val="single" w:sz="4" w:space="0" w:color="auto"/>
            </w:tcBorders>
            <w:shd w:val="clear" w:color="auto" w:fill="auto"/>
            <w:vAlign w:val="center"/>
            <w:hideMark/>
          </w:tcPr>
          <w:p w14:paraId="1CDC3967"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wykorzystania budżetu LSR</w:t>
            </w:r>
          </w:p>
        </w:tc>
        <w:tc>
          <w:tcPr>
            <w:tcW w:w="259" w:type="pct"/>
            <w:tcBorders>
              <w:top w:val="nil"/>
              <w:left w:val="nil"/>
              <w:bottom w:val="single" w:sz="4" w:space="0" w:color="auto"/>
              <w:right w:val="single" w:sz="4" w:space="0" w:color="auto"/>
            </w:tcBorders>
            <w:shd w:val="clear" w:color="auto" w:fill="auto"/>
            <w:vAlign w:val="center"/>
            <w:hideMark/>
          </w:tcPr>
          <w:p w14:paraId="4792EA2D"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Kwota ogółem (UE+ krajowe)</w:t>
            </w:r>
          </w:p>
        </w:tc>
        <w:tc>
          <w:tcPr>
            <w:tcW w:w="400" w:type="pct"/>
            <w:tcBorders>
              <w:top w:val="nil"/>
              <w:left w:val="nil"/>
              <w:bottom w:val="single" w:sz="4" w:space="0" w:color="auto"/>
              <w:right w:val="single" w:sz="4" w:space="0" w:color="auto"/>
            </w:tcBorders>
            <w:shd w:val="clear" w:color="auto" w:fill="auto"/>
            <w:vAlign w:val="center"/>
            <w:hideMark/>
          </w:tcPr>
          <w:p w14:paraId="6A2E9E4E"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wykorzystania budżetu LSR</w:t>
            </w:r>
          </w:p>
        </w:tc>
        <w:tc>
          <w:tcPr>
            <w:tcW w:w="259" w:type="pct"/>
            <w:tcBorders>
              <w:top w:val="nil"/>
              <w:left w:val="nil"/>
              <w:bottom w:val="single" w:sz="4" w:space="0" w:color="auto"/>
              <w:right w:val="single" w:sz="4" w:space="0" w:color="auto"/>
            </w:tcBorders>
            <w:shd w:val="clear" w:color="auto" w:fill="auto"/>
            <w:vAlign w:val="center"/>
            <w:hideMark/>
          </w:tcPr>
          <w:p w14:paraId="197C0E00"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Kwota ogółem (UE+ krajowe)</w:t>
            </w:r>
          </w:p>
        </w:tc>
        <w:tc>
          <w:tcPr>
            <w:tcW w:w="400" w:type="pct"/>
            <w:tcBorders>
              <w:top w:val="nil"/>
              <w:left w:val="nil"/>
              <w:bottom w:val="single" w:sz="4" w:space="0" w:color="auto"/>
              <w:right w:val="single" w:sz="4" w:space="0" w:color="auto"/>
            </w:tcBorders>
            <w:shd w:val="clear" w:color="auto" w:fill="auto"/>
            <w:vAlign w:val="center"/>
            <w:hideMark/>
          </w:tcPr>
          <w:p w14:paraId="4731CC8C"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wykorzystania budżetu LSR</w:t>
            </w:r>
          </w:p>
        </w:tc>
        <w:tc>
          <w:tcPr>
            <w:tcW w:w="259" w:type="pct"/>
            <w:tcBorders>
              <w:top w:val="nil"/>
              <w:left w:val="nil"/>
              <w:bottom w:val="single" w:sz="4" w:space="0" w:color="auto"/>
              <w:right w:val="single" w:sz="4" w:space="0" w:color="auto"/>
            </w:tcBorders>
            <w:shd w:val="clear" w:color="auto" w:fill="auto"/>
            <w:vAlign w:val="center"/>
            <w:hideMark/>
          </w:tcPr>
          <w:p w14:paraId="5C80F9B0"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Kwota ogółem (UE+ krajowe)</w:t>
            </w:r>
          </w:p>
        </w:tc>
        <w:tc>
          <w:tcPr>
            <w:tcW w:w="395" w:type="pct"/>
            <w:tcBorders>
              <w:top w:val="nil"/>
              <w:left w:val="nil"/>
              <w:bottom w:val="single" w:sz="4" w:space="0" w:color="auto"/>
              <w:right w:val="single" w:sz="4" w:space="0" w:color="auto"/>
            </w:tcBorders>
            <w:shd w:val="clear" w:color="auto" w:fill="auto"/>
            <w:vAlign w:val="center"/>
            <w:hideMark/>
          </w:tcPr>
          <w:p w14:paraId="5AF7C52E" w14:textId="77777777" w:rsidR="004C5D15" w:rsidRPr="004C5D15" w:rsidRDefault="004C5D15" w:rsidP="004C5D15">
            <w:pPr>
              <w:spacing w:after="0" w:line="240" w:lineRule="auto"/>
              <w:jc w:val="center"/>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wykorzystania budżetu LSR</w:t>
            </w:r>
          </w:p>
        </w:tc>
      </w:tr>
      <w:tr w:rsidR="00AE0DB4" w:rsidRPr="00AE0DB4" w14:paraId="523ED876" w14:textId="77777777" w:rsidTr="00CE2EDC">
        <w:trPr>
          <w:trHeight w:val="720"/>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340C5F6E" w14:textId="77777777" w:rsidR="004C5D15" w:rsidRPr="004C5D15" w:rsidRDefault="004C5D15" w:rsidP="004C5D15">
            <w:pPr>
              <w:spacing w:after="0" w:line="240" w:lineRule="auto"/>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EFROW</w:t>
            </w:r>
          </w:p>
        </w:tc>
        <w:tc>
          <w:tcPr>
            <w:tcW w:w="258" w:type="pct"/>
            <w:tcBorders>
              <w:top w:val="nil"/>
              <w:left w:val="nil"/>
              <w:bottom w:val="single" w:sz="4" w:space="0" w:color="auto"/>
              <w:right w:val="single" w:sz="4" w:space="0" w:color="auto"/>
            </w:tcBorders>
            <w:shd w:val="clear" w:color="auto" w:fill="auto"/>
            <w:vAlign w:val="center"/>
            <w:hideMark/>
          </w:tcPr>
          <w:p w14:paraId="59B5CA1D"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xml:space="preserve">0   </w:t>
            </w:r>
          </w:p>
        </w:tc>
        <w:tc>
          <w:tcPr>
            <w:tcW w:w="393" w:type="pct"/>
            <w:tcBorders>
              <w:top w:val="nil"/>
              <w:left w:val="nil"/>
              <w:bottom w:val="single" w:sz="4" w:space="0" w:color="auto"/>
              <w:right w:val="single" w:sz="4" w:space="0" w:color="auto"/>
            </w:tcBorders>
            <w:shd w:val="clear" w:color="auto" w:fill="auto"/>
            <w:vAlign w:val="center"/>
            <w:hideMark/>
          </w:tcPr>
          <w:p w14:paraId="2E179B7E"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5AB50C42"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xml:space="preserve">1 640 000   </w:t>
            </w:r>
          </w:p>
        </w:tc>
        <w:tc>
          <w:tcPr>
            <w:tcW w:w="400" w:type="pct"/>
            <w:tcBorders>
              <w:top w:val="nil"/>
              <w:left w:val="nil"/>
              <w:bottom w:val="single" w:sz="4" w:space="0" w:color="auto"/>
              <w:right w:val="single" w:sz="4" w:space="0" w:color="auto"/>
            </w:tcBorders>
            <w:shd w:val="clear" w:color="auto" w:fill="auto"/>
            <w:vAlign w:val="center"/>
            <w:hideMark/>
          </w:tcPr>
          <w:p w14:paraId="6EA437DC"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55%</w:t>
            </w:r>
          </w:p>
        </w:tc>
        <w:tc>
          <w:tcPr>
            <w:tcW w:w="330" w:type="pct"/>
            <w:tcBorders>
              <w:top w:val="nil"/>
              <w:left w:val="nil"/>
              <w:bottom w:val="single" w:sz="4" w:space="0" w:color="auto"/>
              <w:right w:val="single" w:sz="4" w:space="0" w:color="auto"/>
            </w:tcBorders>
            <w:shd w:val="clear" w:color="auto" w:fill="auto"/>
            <w:vAlign w:val="center"/>
            <w:hideMark/>
          </w:tcPr>
          <w:p w14:paraId="2CFFE4BD"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xml:space="preserve">1 640 000   </w:t>
            </w:r>
          </w:p>
        </w:tc>
        <w:tc>
          <w:tcPr>
            <w:tcW w:w="329" w:type="pct"/>
            <w:tcBorders>
              <w:top w:val="nil"/>
              <w:left w:val="nil"/>
              <w:bottom w:val="single" w:sz="4" w:space="0" w:color="auto"/>
              <w:right w:val="single" w:sz="4" w:space="0" w:color="auto"/>
            </w:tcBorders>
            <w:shd w:val="clear" w:color="auto" w:fill="auto"/>
            <w:vAlign w:val="center"/>
            <w:hideMark/>
          </w:tcPr>
          <w:p w14:paraId="6FF6FD33"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55%</w:t>
            </w:r>
          </w:p>
        </w:tc>
        <w:tc>
          <w:tcPr>
            <w:tcW w:w="337" w:type="pct"/>
            <w:tcBorders>
              <w:top w:val="nil"/>
              <w:left w:val="nil"/>
              <w:bottom w:val="single" w:sz="4" w:space="0" w:color="auto"/>
              <w:right w:val="single" w:sz="4" w:space="0" w:color="auto"/>
            </w:tcBorders>
            <w:shd w:val="clear" w:color="auto" w:fill="auto"/>
            <w:vAlign w:val="center"/>
            <w:hideMark/>
          </w:tcPr>
          <w:p w14:paraId="715C85DC"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xml:space="preserve">1 360 000   </w:t>
            </w:r>
          </w:p>
        </w:tc>
        <w:tc>
          <w:tcPr>
            <w:tcW w:w="393" w:type="pct"/>
            <w:tcBorders>
              <w:top w:val="nil"/>
              <w:left w:val="nil"/>
              <w:bottom w:val="single" w:sz="4" w:space="0" w:color="auto"/>
              <w:right w:val="single" w:sz="4" w:space="0" w:color="auto"/>
            </w:tcBorders>
            <w:shd w:val="clear" w:color="auto" w:fill="auto"/>
            <w:vAlign w:val="center"/>
            <w:hideMark/>
          </w:tcPr>
          <w:p w14:paraId="05883E57"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259" w:type="pct"/>
            <w:tcBorders>
              <w:top w:val="nil"/>
              <w:left w:val="nil"/>
              <w:bottom w:val="single" w:sz="4" w:space="0" w:color="auto"/>
              <w:right w:val="single" w:sz="4" w:space="0" w:color="auto"/>
            </w:tcBorders>
            <w:shd w:val="clear" w:color="auto" w:fill="auto"/>
            <w:vAlign w:val="center"/>
            <w:hideMark/>
          </w:tcPr>
          <w:p w14:paraId="56CC34FE"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0</w:t>
            </w:r>
          </w:p>
        </w:tc>
        <w:tc>
          <w:tcPr>
            <w:tcW w:w="400" w:type="pct"/>
            <w:tcBorders>
              <w:top w:val="nil"/>
              <w:left w:val="nil"/>
              <w:bottom w:val="single" w:sz="4" w:space="0" w:color="auto"/>
              <w:right w:val="single" w:sz="4" w:space="0" w:color="auto"/>
            </w:tcBorders>
            <w:shd w:val="clear" w:color="auto" w:fill="auto"/>
            <w:vAlign w:val="center"/>
            <w:hideMark/>
          </w:tcPr>
          <w:p w14:paraId="7319E69C"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259" w:type="pct"/>
            <w:tcBorders>
              <w:top w:val="nil"/>
              <w:left w:val="nil"/>
              <w:bottom w:val="single" w:sz="4" w:space="0" w:color="auto"/>
              <w:right w:val="single" w:sz="4" w:space="0" w:color="auto"/>
            </w:tcBorders>
            <w:shd w:val="clear" w:color="auto" w:fill="auto"/>
            <w:vAlign w:val="center"/>
            <w:hideMark/>
          </w:tcPr>
          <w:p w14:paraId="43B0F5EB"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0</w:t>
            </w:r>
          </w:p>
        </w:tc>
        <w:tc>
          <w:tcPr>
            <w:tcW w:w="400" w:type="pct"/>
            <w:tcBorders>
              <w:top w:val="nil"/>
              <w:left w:val="nil"/>
              <w:bottom w:val="single" w:sz="4" w:space="0" w:color="auto"/>
              <w:right w:val="single" w:sz="4" w:space="0" w:color="auto"/>
            </w:tcBorders>
            <w:shd w:val="clear" w:color="auto" w:fill="auto"/>
            <w:vAlign w:val="center"/>
            <w:hideMark/>
          </w:tcPr>
          <w:p w14:paraId="76D70CF6"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259" w:type="pct"/>
            <w:tcBorders>
              <w:top w:val="nil"/>
              <w:left w:val="nil"/>
              <w:bottom w:val="single" w:sz="4" w:space="0" w:color="auto"/>
              <w:right w:val="single" w:sz="4" w:space="0" w:color="auto"/>
            </w:tcBorders>
            <w:shd w:val="clear" w:color="auto" w:fill="auto"/>
            <w:vAlign w:val="center"/>
            <w:hideMark/>
          </w:tcPr>
          <w:p w14:paraId="33193C58"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0</w:t>
            </w:r>
          </w:p>
        </w:tc>
        <w:tc>
          <w:tcPr>
            <w:tcW w:w="395" w:type="pct"/>
            <w:tcBorders>
              <w:top w:val="nil"/>
              <w:left w:val="nil"/>
              <w:bottom w:val="single" w:sz="4" w:space="0" w:color="auto"/>
              <w:right w:val="single" w:sz="4" w:space="0" w:color="auto"/>
            </w:tcBorders>
            <w:shd w:val="clear" w:color="auto" w:fill="auto"/>
            <w:vAlign w:val="center"/>
            <w:hideMark/>
          </w:tcPr>
          <w:p w14:paraId="6A2CC2EC"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r>
      <w:tr w:rsidR="00AE0DB4" w:rsidRPr="00AE0DB4" w14:paraId="030CE26C" w14:textId="77777777" w:rsidTr="00CE2EDC">
        <w:trPr>
          <w:trHeight w:val="720"/>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500302F4" w14:textId="77777777" w:rsidR="004C5D15" w:rsidRPr="004C5D15" w:rsidRDefault="004C5D15" w:rsidP="004C5D15">
            <w:pPr>
              <w:spacing w:after="0" w:line="240" w:lineRule="auto"/>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EFS+</w:t>
            </w:r>
          </w:p>
        </w:tc>
        <w:tc>
          <w:tcPr>
            <w:tcW w:w="258" w:type="pct"/>
            <w:tcBorders>
              <w:top w:val="nil"/>
              <w:left w:val="nil"/>
              <w:bottom w:val="single" w:sz="4" w:space="0" w:color="auto"/>
              <w:right w:val="single" w:sz="4" w:space="0" w:color="auto"/>
            </w:tcBorders>
            <w:shd w:val="clear" w:color="auto" w:fill="auto"/>
            <w:vAlign w:val="center"/>
            <w:hideMark/>
          </w:tcPr>
          <w:p w14:paraId="1E952D8C"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xml:space="preserve">0   </w:t>
            </w:r>
          </w:p>
        </w:tc>
        <w:tc>
          <w:tcPr>
            <w:tcW w:w="393" w:type="pct"/>
            <w:tcBorders>
              <w:top w:val="nil"/>
              <w:left w:val="nil"/>
              <w:bottom w:val="single" w:sz="4" w:space="0" w:color="auto"/>
              <w:right w:val="single" w:sz="4" w:space="0" w:color="auto"/>
            </w:tcBorders>
            <w:shd w:val="clear" w:color="auto" w:fill="auto"/>
            <w:vAlign w:val="center"/>
            <w:hideMark/>
          </w:tcPr>
          <w:p w14:paraId="5C0124B5"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317" w:type="pct"/>
            <w:tcBorders>
              <w:top w:val="nil"/>
              <w:left w:val="nil"/>
              <w:bottom w:val="single" w:sz="4" w:space="0" w:color="auto"/>
              <w:right w:val="single" w:sz="4" w:space="0" w:color="auto"/>
            </w:tcBorders>
            <w:shd w:val="clear" w:color="auto" w:fill="auto"/>
            <w:vAlign w:val="center"/>
            <w:hideMark/>
          </w:tcPr>
          <w:p w14:paraId="32EA0D38"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xml:space="preserve">0   </w:t>
            </w:r>
          </w:p>
        </w:tc>
        <w:tc>
          <w:tcPr>
            <w:tcW w:w="400" w:type="pct"/>
            <w:tcBorders>
              <w:top w:val="nil"/>
              <w:left w:val="nil"/>
              <w:bottom w:val="single" w:sz="4" w:space="0" w:color="auto"/>
              <w:right w:val="single" w:sz="4" w:space="0" w:color="auto"/>
            </w:tcBorders>
            <w:shd w:val="clear" w:color="auto" w:fill="auto"/>
            <w:vAlign w:val="center"/>
            <w:hideMark/>
          </w:tcPr>
          <w:p w14:paraId="5809F289"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330" w:type="pct"/>
            <w:tcBorders>
              <w:top w:val="nil"/>
              <w:left w:val="nil"/>
              <w:bottom w:val="single" w:sz="4" w:space="0" w:color="auto"/>
              <w:right w:val="single" w:sz="4" w:space="0" w:color="auto"/>
            </w:tcBorders>
            <w:shd w:val="clear" w:color="000000" w:fill="D9D9D9"/>
            <w:vAlign w:val="center"/>
            <w:hideMark/>
          </w:tcPr>
          <w:p w14:paraId="10AA5FC4"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w:t>
            </w:r>
          </w:p>
        </w:tc>
        <w:tc>
          <w:tcPr>
            <w:tcW w:w="329" w:type="pct"/>
            <w:tcBorders>
              <w:top w:val="nil"/>
              <w:left w:val="nil"/>
              <w:bottom w:val="single" w:sz="4" w:space="0" w:color="auto"/>
              <w:right w:val="single" w:sz="4" w:space="0" w:color="auto"/>
            </w:tcBorders>
            <w:shd w:val="clear" w:color="000000" w:fill="D9D9D9"/>
            <w:vAlign w:val="center"/>
            <w:hideMark/>
          </w:tcPr>
          <w:p w14:paraId="7328AE8D"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w:t>
            </w:r>
          </w:p>
        </w:tc>
        <w:tc>
          <w:tcPr>
            <w:tcW w:w="337" w:type="pct"/>
            <w:tcBorders>
              <w:top w:val="nil"/>
              <w:left w:val="nil"/>
              <w:bottom w:val="single" w:sz="4" w:space="0" w:color="auto"/>
              <w:right w:val="single" w:sz="4" w:space="0" w:color="auto"/>
            </w:tcBorders>
            <w:shd w:val="clear" w:color="auto" w:fill="auto"/>
            <w:vAlign w:val="center"/>
            <w:hideMark/>
          </w:tcPr>
          <w:p w14:paraId="7ABD5AF1"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xml:space="preserve">0   </w:t>
            </w:r>
          </w:p>
        </w:tc>
        <w:tc>
          <w:tcPr>
            <w:tcW w:w="393" w:type="pct"/>
            <w:tcBorders>
              <w:top w:val="nil"/>
              <w:left w:val="nil"/>
              <w:bottom w:val="single" w:sz="4" w:space="0" w:color="auto"/>
              <w:right w:val="single" w:sz="4" w:space="0" w:color="auto"/>
            </w:tcBorders>
            <w:shd w:val="clear" w:color="auto" w:fill="auto"/>
            <w:vAlign w:val="center"/>
            <w:hideMark/>
          </w:tcPr>
          <w:p w14:paraId="4D56DC57"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259" w:type="pct"/>
            <w:tcBorders>
              <w:top w:val="nil"/>
              <w:left w:val="nil"/>
              <w:bottom w:val="single" w:sz="4" w:space="0" w:color="auto"/>
              <w:right w:val="single" w:sz="4" w:space="0" w:color="auto"/>
            </w:tcBorders>
            <w:shd w:val="clear" w:color="auto" w:fill="auto"/>
            <w:vAlign w:val="center"/>
            <w:hideMark/>
          </w:tcPr>
          <w:p w14:paraId="184FDB23"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0</w:t>
            </w:r>
          </w:p>
        </w:tc>
        <w:tc>
          <w:tcPr>
            <w:tcW w:w="400" w:type="pct"/>
            <w:tcBorders>
              <w:top w:val="nil"/>
              <w:left w:val="nil"/>
              <w:bottom w:val="single" w:sz="4" w:space="0" w:color="auto"/>
              <w:right w:val="single" w:sz="4" w:space="0" w:color="auto"/>
            </w:tcBorders>
            <w:shd w:val="clear" w:color="auto" w:fill="auto"/>
            <w:vAlign w:val="center"/>
            <w:hideMark/>
          </w:tcPr>
          <w:p w14:paraId="4A9685E9"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259" w:type="pct"/>
            <w:tcBorders>
              <w:top w:val="nil"/>
              <w:left w:val="nil"/>
              <w:bottom w:val="single" w:sz="4" w:space="0" w:color="auto"/>
              <w:right w:val="single" w:sz="4" w:space="0" w:color="auto"/>
            </w:tcBorders>
            <w:shd w:val="clear" w:color="auto" w:fill="auto"/>
            <w:vAlign w:val="center"/>
            <w:hideMark/>
          </w:tcPr>
          <w:p w14:paraId="0B9C1E54"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0</w:t>
            </w:r>
          </w:p>
        </w:tc>
        <w:tc>
          <w:tcPr>
            <w:tcW w:w="400" w:type="pct"/>
            <w:tcBorders>
              <w:top w:val="nil"/>
              <w:left w:val="nil"/>
              <w:bottom w:val="single" w:sz="4" w:space="0" w:color="auto"/>
              <w:right w:val="single" w:sz="4" w:space="0" w:color="auto"/>
            </w:tcBorders>
            <w:shd w:val="clear" w:color="auto" w:fill="auto"/>
            <w:vAlign w:val="center"/>
            <w:hideMark/>
          </w:tcPr>
          <w:p w14:paraId="7F443874"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259" w:type="pct"/>
            <w:tcBorders>
              <w:top w:val="nil"/>
              <w:left w:val="nil"/>
              <w:bottom w:val="single" w:sz="4" w:space="0" w:color="auto"/>
              <w:right w:val="single" w:sz="4" w:space="0" w:color="auto"/>
            </w:tcBorders>
            <w:shd w:val="clear" w:color="auto" w:fill="auto"/>
            <w:vAlign w:val="center"/>
            <w:hideMark/>
          </w:tcPr>
          <w:p w14:paraId="7736C654"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0</w:t>
            </w:r>
          </w:p>
        </w:tc>
        <w:tc>
          <w:tcPr>
            <w:tcW w:w="395" w:type="pct"/>
            <w:tcBorders>
              <w:top w:val="nil"/>
              <w:left w:val="nil"/>
              <w:bottom w:val="single" w:sz="4" w:space="0" w:color="auto"/>
              <w:right w:val="single" w:sz="4" w:space="0" w:color="auto"/>
            </w:tcBorders>
            <w:shd w:val="clear" w:color="auto" w:fill="auto"/>
            <w:vAlign w:val="center"/>
            <w:hideMark/>
          </w:tcPr>
          <w:p w14:paraId="0B637F07"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r>
      <w:tr w:rsidR="00AE0DB4" w:rsidRPr="00AE0DB4" w14:paraId="3F4F41C2" w14:textId="77777777" w:rsidTr="00CE2EDC">
        <w:trPr>
          <w:trHeight w:val="720"/>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20570986" w14:textId="77777777" w:rsidR="004C5D15" w:rsidRPr="004C5D15" w:rsidRDefault="004C5D15" w:rsidP="004C5D15">
            <w:pPr>
              <w:spacing w:after="0" w:line="240" w:lineRule="auto"/>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EFRR</w:t>
            </w:r>
          </w:p>
        </w:tc>
        <w:tc>
          <w:tcPr>
            <w:tcW w:w="258" w:type="pct"/>
            <w:tcBorders>
              <w:top w:val="nil"/>
              <w:left w:val="nil"/>
              <w:bottom w:val="single" w:sz="4" w:space="0" w:color="auto"/>
              <w:right w:val="single" w:sz="4" w:space="0" w:color="auto"/>
            </w:tcBorders>
            <w:shd w:val="clear" w:color="auto" w:fill="auto"/>
            <w:vAlign w:val="center"/>
            <w:hideMark/>
          </w:tcPr>
          <w:p w14:paraId="46152DAD"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xml:space="preserve">0   </w:t>
            </w:r>
          </w:p>
        </w:tc>
        <w:tc>
          <w:tcPr>
            <w:tcW w:w="393" w:type="pct"/>
            <w:tcBorders>
              <w:top w:val="nil"/>
              <w:left w:val="nil"/>
              <w:bottom w:val="single" w:sz="4" w:space="0" w:color="auto"/>
              <w:right w:val="single" w:sz="4" w:space="0" w:color="auto"/>
            </w:tcBorders>
            <w:shd w:val="clear" w:color="auto" w:fill="auto"/>
            <w:vAlign w:val="center"/>
            <w:hideMark/>
          </w:tcPr>
          <w:p w14:paraId="35862814"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317" w:type="pct"/>
            <w:tcBorders>
              <w:top w:val="nil"/>
              <w:left w:val="nil"/>
              <w:bottom w:val="single" w:sz="4" w:space="0" w:color="auto"/>
              <w:right w:val="single" w:sz="4" w:space="0" w:color="auto"/>
            </w:tcBorders>
            <w:shd w:val="clear" w:color="auto" w:fill="auto"/>
            <w:vAlign w:val="center"/>
            <w:hideMark/>
          </w:tcPr>
          <w:p w14:paraId="76BC661F"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xml:space="preserve">0   </w:t>
            </w:r>
          </w:p>
        </w:tc>
        <w:tc>
          <w:tcPr>
            <w:tcW w:w="400" w:type="pct"/>
            <w:tcBorders>
              <w:top w:val="nil"/>
              <w:left w:val="nil"/>
              <w:bottom w:val="single" w:sz="4" w:space="0" w:color="auto"/>
              <w:right w:val="single" w:sz="4" w:space="0" w:color="auto"/>
            </w:tcBorders>
            <w:shd w:val="clear" w:color="auto" w:fill="auto"/>
            <w:vAlign w:val="center"/>
            <w:hideMark/>
          </w:tcPr>
          <w:p w14:paraId="34A6B1D1"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330" w:type="pct"/>
            <w:tcBorders>
              <w:top w:val="nil"/>
              <w:left w:val="nil"/>
              <w:bottom w:val="single" w:sz="4" w:space="0" w:color="auto"/>
              <w:right w:val="single" w:sz="4" w:space="0" w:color="auto"/>
            </w:tcBorders>
            <w:shd w:val="clear" w:color="000000" w:fill="D9D9D9"/>
            <w:vAlign w:val="center"/>
            <w:hideMark/>
          </w:tcPr>
          <w:p w14:paraId="7A0070D2"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w:t>
            </w:r>
          </w:p>
        </w:tc>
        <w:tc>
          <w:tcPr>
            <w:tcW w:w="329" w:type="pct"/>
            <w:tcBorders>
              <w:top w:val="nil"/>
              <w:left w:val="nil"/>
              <w:bottom w:val="single" w:sz="4" w:space="0" w:color="auto"/>
              <w:right w:val="single" w:sz="4" w:space="0" w:color="auto"/>
            </w:tcBorders>
            <w:shd w:val="clear" w:color="000000" w:fill="D9D9D9"/>
            <w:vAlign w:val="center"/>
            <w:hideMark/>
          </w:tcPr>
          <w:p w14:paraId="7DF51694"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w:t>
            </w:r>
          </w:p>
        </w:tc>
        <w:tc>
          <w:tcPr>
            <w:tcW w:w="337" w:type="pct"/>
            <w:tcBorders>
              <w:top w:val="nil"/>
              <w:left w:val="nil"/>
              <w:bottom w:val="single" w:sz="4" w:space="0" w:color="auto"/>
              <w:right w:val="single" w:sz="4" w:space="0" w:color="auto"/>
            </w:tcBorders>
            <w:shd w:val="clear" w:color="auto" w:fill="auto"/>
            <w:vAlign w:val="center"/>
            <w:hideMark/>
          </w:tcPr>
          <w:p w14:paraId="3E703A5B"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 xml:space="preserve">0   </w:t>
            </w:r>
          </w:p>
        </w:tc>
        <w:tc>
          <w:tcPr>
            <w:tcW w:w="393" w:type="pct"/>
            <w:tcBorders>
              <w:top w:val="nil"/>
              <w:left w:val="nil"/>
              <w:bottom w:val="single" w:sz="4" w:space="0" w:color="auto"/>
              <w:right w:val="single" w:sz="4" w:space="0" w:color="auto"/>
            </w:tcBorders>
            <w:shd w:val="clear" w:color="auto" w:fill="auto"/>
            <w:vAlign w:val="center"/>
            <w:hideMark/>
          </w:tcPr>
          <w:p w14:paraId="727B8202"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259" w:type="pct"/>
            <w:tcBorders>
              <w:top w:val="nil"/>
              <w:left w:val="nil"/>
              <w:bottom w:val="single" w:sz="4" w:space="0" w:color="auto"/>
              <w:right w:val="single" w:sz="4" w:space="0" w:color="auto"/>
            </w:tcBorders>
            <w:shd w:val="clear" w:color="auto" w:fill="auto"/>
            <w:vAlign w:val="center"/>
            <w:hideMark/>
          </w:tcPr>
          <w:p w14:paraId="07377579"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0</w:t>
            </w:r>
          </w:p>
        </w:tc>
        <w:tc>
          <w:tcPr>
            <w:tcW w:w="400" w:type="pct"/>
            <w:tcBorders>
              <w:top w:val="nil"/>
              <w:left w:val="nil"/>
              <w:bottom w:val="single" w:sz="4" w:space="0" w:color="auto"/>
              <w:right w:val="single" w:sz="4" w:space="0" w:color="auto"/>
            </w:tcBorders>
            <w:shd w:val="clear" w:color="auto" w:fill="auto"/>
            <w:vAlign w:val="center"/>
            <w:hideMark/>
          </w:tcPr>
          <w:p w14:paraId="75A2686A"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259" w:type="pct"/>
            <w:tcBorders>
              <w:top w:val="nil"/>
              <w:left w:val="nil"/>
              <w:bottom w:val="single" w:sz="4" w:space="0" w:color="auto"/>
              <w:right w:val="single" w:sz="4" w:space="0" w:color="auto"/>
            </w:tcBorders>
            <w:shd w:val="clear" w:color="auto" w:fill="auto"/>
            <w:vAlign w:val="center"/>
            <w:hideMark/>
          </w:tcPr>
          <w:p w14:paraId="728C92F5"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0</w:t>
            </w:r>
          </w:p>
        </w:tc>
        <w:tc>
          <w:tcPr>
            <w:tcW w:w="400" w:type="pct"/>
            <w:tcBorders>
              <w:top w:val="nil"/>
              <w:left w:val="nil"/>
              <w:bottom w:val="single" w:sz="4" w:space="0" w:color="auto"/>
              <w:right w:val="single" w:sz="4" w:space="0" w:color="auto"/>
            </w:tcBorders>
            <w:shd w:val="clear" w:color="auto" w:fill="auto"/>
            <w:vAlign w:val="center"/>
            <w:hideMark/>
          </w:tcPr>
          <w:p w14:paraId="15EEA2F0"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c>
          <w:tcPr>
            <w:tcW w:w="259" w:type="pct"/>
            <w:tcBorders>
              <w:top w:val="nil"/>
              <w:left w:val="nil"/>
              <w:bottom w:val="single" w:sz="4" w:space="0" w:color="auto"/>
              <w:right w:val="single" w:sz="4" w:space="0" w:color="auto"/>
            </w:tcBorders>
            <w:shd w:val="clear" w:color="auto" w:fill="auto"/>
            <w:vAlign w:val="center"/>
            <w:hideMark/>
          </w:tcPr>
          <w:p w14:paraId="7EED943F"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0</w:t>
            </w:r>
          </w:p>
        </w:tc>
        <w:tc>
          <w:tcPr>
            <w:tcW w:w="395" w:type="pct"/>
            <w:tcBorders>
              <w:top w:val="nil"/>
              <w:left w:val="nil"/>
              <w:bottom w:val="single" w:sz="4" w:space="0" w:color="auto"/>
              <w:right w:val="single" w:sz="4" w:space="0" w:color="auto"/>
            </w:tcBorders>
            <w:shd w:val="clear" w:color="auto" w:fill="auto"/>
            <w:vAlign w:val="center"/>
            <w:hideMark/>
          </w:tcPr>
          <w:p w14:paraId="7B5D2487" w14:textId="77777777" w:rsidR="004C5D15" w:rsidRPr="004C5D15" w:rsidRDefault="004C5D15" w:rsidP="004C5D15">
            <w:pPr>
              <w:spacing w:after="0" w:line="240" w:lineRule="auto"/>
              <w:jc w:val="right"/>
              <w:rPr>
                <w:rFonts w:ascii="Times New Roman" w:eastAsia="Times New Roman" w:hAnsi="Times New Roman" w:cs="Times New Roman"/>
                <w:color w:val="000000"/>
                <w:sz w:val="18"/>
                <w:szCs w:val="18"/>
                <w:lang w:eastAsia="pl-PL"/>
              </w:rPr>
            </w:pPr>
            <w:r w:rsidRPr="004C5D15">
              <w:rPr>
                <w:rFonts w:ascii="Times New Roman" w:eastAsia="Times New Roman" w:hAnsi="Times New Roman" w:cs="Times New Roman"/>
                <w:color w:val="000000"/>
                <w:sz w:val="18"/>
                <w:szCs w:val="18"/>
                <w:lang w:eastAsia="pl-PL"/>
              </w:rPr>
              <w:t>100%</w:t>
            </w:r>
          </w:p>
        </w:tc>
      </w:tr>
      <w:tr w:rsidR="00AE0DB4" w:rsidRPr="00AE0DB4" w14:paraId="1D278049" w14:textId="77777777" w:rsidTr="00CE2EDC">
        <w:trPr>
          <w:trHeight w:val="720"/>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5E9A8CE9" w14:textId="77777777" w:rsidR="004C5D15" w:rsidRPr="004C5D15" w:rsidRDefault="004C5D15" w:rsidP="004C5D15">
            <w:pPr>
              <w:spacing w:after="0" w:line="240" w:lineRule="auto"/>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RAZEM</w:t>
            </w:r>
          </w:p>
        </w:tc>
        <w:tc>
          <w:tcPr>
            <w:tcW w:w="258" w:type="pct"/>
            <w:tcBorders>
              <w:top w:val="nil"/>
              <w:left w:val="nil"/>
              <w:bottom w:val="single" w:sz="4" w:space="0" w:color="auto"/>
              <w:right w:val="single" w:sz="4" w:space="0" w:color="auto"/>
            </w:tcBorders>
            <w:shd w:val="clear" w:color="auto" w:fill="auto"/>
            <w:vAlign w:val="center"/>
            <w:hideMark/>
          </w:tcPr>
          <w:p w14:paraId="6A1CB3E3"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 xml:space="preserve">0   </w:t>
            </w:r>
          </w:p>
        </w:tc>
        <w:tc>
          <w:tcPr>
            <w:tcW w:w="393" w:type="pct"/>
            <w:tcBorders>
              <w:top w:val="nil"/>
              <w:left w:val="nil"/>
              <w:bottom w:val="single" w:sz="4" w:space="0" w:color="auto"/>
              <w:right w:val="single" w:sz="4" w:space="0" w:color="auto"/>
            </w:tcBorders>
            <w:shd w:val="clear" w:color="auto" w:fill="auto"/>
            <w:vAlign w:val="center"/>
            <w:hideMark/>
          </w:tcPr>
          <w:p w14:paraId="6A2E0539"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0,00%</w:t>
            </w:r>
          </w:p>
        </w:tc>
        <w:tc>
          <w:tcPr>
            <w:tcW w:w="317" w:type="pct"/>
            <w:tcBorders>
              <w:top w:val="nil"/>
              <w:left w:val="nil"/>
              <w:bottom w:val="single" w:sz="4" w:space="0" w:color="auto"/>
              <w:right w:val="single" w:sz="4" w:space="0" w:color="auto"/>
            </w:tcBorders>
            <w:shd w:val="clear" w:color="auto" w:fill="auto"/>
            <w:vAlign w:val="center"/>
            <w:hideMark/>
          </w:tcPr>
          <w:p w14:paraId="028B3BEB"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 xml:space="preserve">1 640 000   </w:t>
            </w:r>
          </w:p>
        </w:tc>
        <w:tc>
          <w:tcPr>
            <w:tcW w:w="400" w:type="pct"/>
            <w:tcBorders>
              <w:top w:val="nil"/>
              <w:left w:val="nil"/>
              <w:bottom w:val="single" w:sz="4" w:space="0" w:color="auto"/>
              <w:right w:val="single" w:sz="4" w:space="0" w:color="auto"/>
            </w:tcBorders>
            <w:shd w:val="clear" w:color="auto" w:fill="auto"/>
            <w:vAlign w:val="center"/>
            <w:hideMark/>
          </w:tcPr>
          <w:p w14:paraId="3286628A"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54,67%</w:t>
            </w:r>
          </w:p>
        </w:tc>
        <w:tc>
          <w:tcPr>
            <w:tcW w:w="330" w:type="pct"/>
            <w:tcBorders>
              <w:top w:val="nil"/>
              <w:left w:val="nil"/>
              <w:bottom w:val="single" w:sz="4" w:space="0" w:color="auto"/>
              <w:right w:val="single" w:sz="4" w:space="0" w:color="auto"/>
            </w:tcBorders>
            <w:shd w:val="clear" w:color="000000" w:fill="D9D9D9"/>
            <w:vAlign w:val="center"/>
            <w:hideMark/>
          </w:tcPr>
          <w:p w14:paraId="687F1C81"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 </w:t>
            </w:r>
          </w:p>
        </w:tc>
        <w:tc>
          <w:tcPr>
            <w:tcW w:w="329" w:type="pct"/>
            <w:tcBorders>
              <w:top w:val="nil"/>
              <w:left w:val="nil"/>
              <w:bottom w:val="single" w:sz="4" w:space="0" w:color="auto"/>
              <w:right w:val="single" w:sz="4" w:space="0" w:color="auto"/>
            </w:tcBorders>
            <w:shd w:val="clear" w:color="000000" w:fill="D9D9D9"/>
            <w:vAlign w:val="center"/>
            <w:hideMark/>
          </w:tcPr>
          <w:p w14:paraId="6F755F92"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 </w:t>
            </w:r>
          </w:p>
        </w:tc>
        <w:tc>
          <w:tcPr>
            <w:tcW w:w="337" w:type="pct"/>
            <w:tcBorders>
              <w:top w:val="nil"/>
              <w:left w:val="nil"/>
              <w:bottom w:val="single" w:sz="4" w:space="0" w:color="auto"/>
              <w:right w:val="single" w:sz="4" w:space="0" w:color="auto"/>
            </w:tcBorders>
            <w:shd w:val="clear" w:color="auto" w:fill="auto"/>
            <w:vAlign w:val="center"/>
            <w:hideMark/>
          </w:tcPr>
          <w:p w14:paraId="04E054A9"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 xml:space="preserve">1 360 000   </w:t>
            </w:r>
          </w:p>
        </w:tc>
        <w:tc>
          <w:tcPr>
            <w:tcW w:w="393" w:type="pct"/>
            <w:tcBorders>
              <w:top w:val="nil"/>
              <w:left w:val="nil"/>
              <w:bottom w:val="single" w:sz="4" w:space="0" w:color="auto"/>
              <w:right w:val="single" w:sz="4" w:space="0" w:color="auto"/>
            </w:tcBorders>
            <w:shd w:val="clear" w:color="auto" w:fill="auto"/>
            <w:vAlign w:val="center"/>
            <w:hideMark/>
          </w:tcPr>
          <w:p w14:paraId="2D1C8B2C"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100,00%</w:t>
            </w:r>
          </w:p>
        </w:tc>
        <w:tc>
          <w:tcPr>
            <w:tcW w:w="259" w:type="pct"/>
            <w:tcBorders>
              <w:top w:val="nil"/>
              <w:left w:val="nil"/>
              <w:bottom w:val="single" w:sz="4" w:space="0" w:color="auto"/>
              <w:right w:val="single" w:sz="4" w:space="0" w:color="auto"/>
            </w:tcBorders>
            <w:shd w:val="clear" w:color="auto" w:fill="auto"/>
            <w:vAlign w:val="center"/>
            <w:hideMark/>
          </w:tcPr>
          <w:p w14:paraId="3B13DE2B"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 xml:space="preserve">0   </w:t>
            </w:r>
          </w:p>
        </w:tc>
        <w:tc>
          <w:tcPr>
            <w:tcW w:w="400" w:type="pct"/>
            <w:tcBorders>
              <w:top w:val="nil"/>
              <w:left w:val="nil"/>
              <w:bottom w:val="single" w:sz="4" w:space="0" w:color="auto"/>
              <w:right w:val="single" w:sz="4" w:space="0" w:color="auto"/>
            </w:tcBorders>
            <w:shd w:val="clear" w:color="auto" w:fill="auto"/>
            <w:vAlign w:val="center"/>
            <w:hideMark/>
          </w:tcPr>
          <w:p w14:paraId="043EE088"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100,00%</w:t>
            </w:r>
          </w:p>
        </w:tc>
        <w:tc>
          <w:tcPr>
            <w:tcW w:w="259" w:type="pct"/>
            <w:tcBorders>
              <w:top w:val="nil"/>
              <w:left w:val="nil"/>
              <w:bottom w:val="single" w:sz="4" w:space="0" w:color="auto"/>
              <w:right w:val="single" w:sz="4" w:space="0" w:color="auto"/>
            </w:tcBorders>
            <w:shd w:val="clear" w:color="auto" w:fill="auto"/>
            <w:vAlign w:val="center"/>
            <w:hideMark/>
          </w:tcPr>
          <w:p w14:paraId="7B386AC3"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 xml:space="preserve">0   </w:t>
            </w:r>
          </w:p>
        </w:tc>
        <w:tc>
          <w:tcPr>
            <w:tcW w:w="400" w:type="pct"/>
            <w:tcBorders>
              <w:top w:val="nil"/>
              <w:left w:val="nil"/>
              <w:bottom w:val="single" w:sz="4" w:space="0" w:color="auto"/>
              <w:right w:val="single" w:sz="4" w:space="0" w:color="auto"/>
            </w:tcBorders>
            <w:shd w:val="clear" w:color="auto" w:fill="auto"/>
            <w:vAlign w:val="center"/>
            <w:hideMark/>
          </w:tcPr>
          <w:p w14:paraId="3E64C53C"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100,00%</w:t>
            </w:r>
          </w:p>
        </w:tc>
        <w:tc>
          <w:tcPr>
            <w:tcW w:w="259" w:type="pct"/>
            <w:tcBorders>
              <w:top w:val="nil"/>
              <w:left w:val="nil"/>
              <w:bottom w:val="single" w:sz="4" w:space="0" w:color="auto"/>
              <w:right w:val="single" w:sz="4" w:space="0" w:color="auto"/>
            </w:tcBorders>
            <w:shd w:val="clear" w:color="auto" w:fill="auto"/>
            <w:vAlign w:val="center"/>
            <w:hideMark/>
          </w:tcPr>
          <w:p w14:paraId="3AEF5528"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 xml:space="preserve">0   </w:t>
            </w:r>
          </w:p>
        </w:tc>
        <w:tc>
          <w:tcPr>
            <w:tcW w:w="395" w:type="pct"/>
            <w:tcBorders>
              <w:top w:val="nil"/>
              <w:left w:val="nil"/>
              <w:bottom w:val="single" w:sz="4" w:space="0" w:color="auto"/>
              <w:right w:val="single" w:sz="4" w:space="0" w:color="auto"/>
            </w:tcBorders>
            <w:shd w:val="clear" w:color="auto" w:fill="auto"/>
            <w:vAlign w:val="center"/>
            <w:hideMark/>
          </w:tcPr>
          <w:p w14:paraId="0AA2A884" w14:textId="77777777" w:rsidR="004C5D15" w:rsidRPr="004C5D15" w:rsidRDefault="004C5D15" w:rsidP="004C5D15">
            <w:pPr>
              <w:spacing w:after="0" w:line="240" w:lineRule="auto"/>
              <w:jc w:val="right"/>
              <w:rPr>
                <w:rFonts w:ascii="Times New Roman" w:eastAsia="Times New Roman" w:hAnsi="Times New Roman" w:cs="Times New Roman"/>
                <w:b/>
                <w:bCs/>
                <w:color w:val="000000"/>
                <w:sz w:val="18"/>
                <w:szCs w:val="18"/>
                <w:lang w:eastAsia="pl-PL"/>
              </w:rPr>
            </w:pPr>
            <w:r w:rsidRPr="004C5D15">
              <w:rPr>
                <w:rFonts w:ascii="Times New Roman" w:eastAsia="Times New Roman" w:hAnsi="Times New Roman" w:cs="Times New Roman"/>
                <w:b/>
                <w:bCs/>
                <w:color w:val="000000"/>
                <w:sz w:val="18"/>
                <w:szCs w:val="18"/>
                <w:lang w:eastAsia="pl-PL"/>
              </w:rPr>
              <w:t>100,00%</w:t>
            </w:r>
          </w:p>
        </w:tc>
      </w:tr>
    </w:tbl>
    <w:p w14:paraId="6B41EA21" w14:textId="047A6320" w:rsidR="00676D9C" w:rsidRDefault="00676D9C" w:rsidP="00676D9C">
      <w:pPr>
        <w:jc w:val="center"/>
        <w:rPr>
          <w:rFonts w:ascii="Times New Roman" w:hAnsi="Times New Roman" w:cs="Times New Roman"/>
          <w:i/>
          <w:iCs/>
          <w:sz w:val="20"/>
          <w:szCs w:val="20"/>
        </w:rPr>
      </w:pPr>
      <w:r w:rsidRPr="003973F7">
        <w:rPr>
          <w:rFonts w:ascii="Times New Roman" w:hAnsi="Times New Roman" w:cs="Times New Roman"/>
          <w:i/>
          <w:iCs/>
          <w:sz w:val="20"/>
          <w:szCs w:val="20"/>
        </w:rPr>
        <w:t>Źródło: Opracowanie własne</w:t>
      </w:r>
    </w:p>
    <w:p w14:paraId="1A1CB11A" w14:textId="01A086F4" w:rsidR="00676D9C" w:rsidRPr="00676D9C" w:rsidRDefault="00676D9C" w:rsidP="00676D9C">
      <w:pPr>
        <w:pStyle w:val="Gwne"/>
        <w:numPr>
          <w:ilvl w:val="0"/>
          <w:numId w:val="0"/>
        </w:numPr>
        <w:outlineLvl w:val="9"/>
        <w:rPr>
          <w:b w:val="0"/>
          <w:bCs w:val="0"/>
          <w:color w:val="auto"/>
          <w:sz w:val="22"/>
          <w:szCs w:val="22"/>
        </w:rPr>
      </w:pPr>
    </w:p>
    <w:p w14:paraId="60AF3024" w14:textId="77777777" w:rsidR="00BE6BCB" w:rsidRDefault="00BE6BCB"/>
    <w:sectPr w:rsidR="00BE6BCB" w:rsidSect="00F35EB5">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5956" w14:textId="77777777" w:rsidR="0052454A" w:rsidRDefault="0052454A" w:rsidP="00A17173">
      <w:pPr>
        <w:spacing w:after="0" w:line="240" w:lineRule="auto"/>
      </w:pPr>
      <w:r>
        <w:separator/>
      </w:r>
    </w:p>
  </w:endnote>
  <w:endnote w:type="continuationSeparator" w:id="0">
    <w:p w14:paraId="1CA1454C" w14:textId="77777777" w:rsidR="0052454A" w:rsidRDefault="0052454A" w:rsidP="00A1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990511525"/>
      <w:docPartObj>
        <w:docPartGallery w:val="Page Numbers (Bottom of Page)"/>
        <w:docPartUnique/>
      </w:docPartObj>
    </w:sdtPr>
    <w:sdtEndPr>
      <w:rPr>
        <w:i/>
        <w:iCs/>
      </w:rPr>
    </w:sdtEndPr>
    <w:sdtContent>
      <w:p w14:paraId="658706B0" w14:textId="31378E15" w:rsidR="001B589A" w:rsidRPr="001B589A" w:rsidRDefault="001B589A">
        <w:pPr>
          <w:pStyle w:val="Stopka"/>
          <w:jc w:val="right"/>
          <w:rPr>
            <w:rFonts w:ascii="Times New Roman" w:hAnsi="Times New Roman" w:cs="Times New Roman"/>
            <w:i/>
            <w:iCs/>
            <w:sz w:val="20"/>
            <w:szCs w:val="20"/>
          </w:rPr>
        </w:pPr>
        <w:r w:rsidRPr="001B589A">
          <w:rPr>
            <w:rFonts w:ascii="Times New Roman" w:hAnsi="Times New Roman" w:cs="Times New Roman"/>
            <w:i/>
            <w:iCs/>
            <w:sz w:val="20"/>
            <w:szCs w:val="20"/>
          </w:rPr>
          <w:fldChar w:fldCharType="begin"/>
        </w:r>
        <w:r w:rsidRPr="001B589A">
          <w:rPr>
            <w:rFonts w:ascii="Times New Roman" w:hAnsi="Times New Roman" w:cs="Times New Roman"/>
            <w:i/>
            <w:iCs/>
            <w:sz w:val="20"/>
            <w:szCs w:val="20"/>
          </w:rPr>
          <w:instrText>PAGE   \* MERGEFORMAT</w:instrText>
        </w:r>
        <w:r w:rsidRPr="001B589A">
          <w:rPr>
            <w:rFonts w:ascii="Times New Roman" w:hAnsi="Times New Roman" w:cs="Times New Roman"/>
            <w:i/>
            <w:iCs/>
            <w:sz w:val="20"/>
            <w:szCs w:val="20"/>
          </w:rPr>
          <w:fldChar w:fldCharType="separate"/>
        </w:r>
        <w:r w:rsidRPr="001B589A">
          <w:rPr>
            <w:rFonts w:ascii="Times New Roman" w:hAnsi="Times New Roman" w:cs="Times New Roman"/>
            <w:i/>
            <w:iCs/>
            <w:sz w:val="20"/>
            <w:szCs w:val="20"/>
          </w:rPr>
          <w:t>2</w:t>
        </w:r>
        <w:r w:rsidRPr="001B589A">
          <w:rPr>
            <w:rFonts w:ascii="Times New Roman" w:hAnsi="Times New Roman" w:cs="Times New Roman"/>
            <w:i/>
            <w:iCs/>
            <w:sz w:val="20"/>
            <w:szCs w:val="20"/>
          </w:rPr>
          <w:fldChar w:fldCharType="end"/>
        </w:r>
      </w:p>
    </w:sdtContent>
  </w:sdt>
  <w:p w14:paraId="565CF497" w14:textId="77777777" w:rsidR="001B589A" w:rsidRPr="001B589A" w:rsidRDefault="001B589A">
    <w:pPr>
      <w:pStyle w:val="Stopk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59A7" w14:textId="0F5433E4" w:rsidR="00A17173" w:rsidRPr="008546D9" w:rsidRDefault="008546D9" w:rsidP="008546D9">
    <w:pPr>
      <w:pStyle w:val="Stopka"/>
    </w:pPr>
    <w:r>
      <w:rPr>
        <w:noProof/>
        <w14:ligatures w14:val="standardContextual"/>
      </w:rPr>
      <w:drawing>
        <wp:inline distT="0" distB="0" distL="0" distR="0" wp14:anchorId="2C5772DE" wp14:editId="4C6AE5A2">
          <wp:extent cx="6479540" cy="923925"/>
          <wp:effectExtent l="0" t="0" r="0" b="9525"/>
          <wp:docPr id="9422121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212130" name=""/>
                  <pic:cNvPicPr/>
                </pic:nvPicPr>
                <pic:blipFill>
                  <a:blip r:embed="rId1"/>
                  <a:stretch>
                    <a:fillRect/>
                  </a:stretch>
                </pic:blipFill>
                <pic:spPr>
                  <a:xfrm>
                    <a:off x="0" y="0"/>
                    <a:ext cx="6479540" cy="923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BFD6" w14:textId="77777777" w:rsidR="0052454A" w:rsidRDefault="0052454A" w:rsidP="00A17173">
      <w:pPr>
        <w:spacing w:after="0" w:line="240" w:lineRule="auto"/>
      </w:pPr>
      <w:r>
        <w:separator/>
      </w:r>
    </w:p>
  </w:footnote>
  <w:footnote w:type="continuationSeparator" w:id="0">
    <w:p w14:paraId="35C55DBE" w14:textId="77777777" w:rsidR="0052454A" w:rsidRDefault="0052454A" w:rsidP="00A17173">
      <w:pPr>
        <w:spacing w:after="0" w:line="240" w:lineRule="auto"/>
      </w:pPr>
      <w:r>
        <w:continuationSeparator/>
      </w:r>
    </w:p>
  </w:footnote>
  <w:footnote w:id="1">
    <w:p w14:paraId="374D6F10" w14:textId="77777777" w:rsidR="00401E54" w:rsidRPr="0055013F" w:rsidRDefault="00401E54" w:rsidP="00401E54">
      <w:pPr>
        <w:pStyle w:val="Tekstprzypisudolnego"/>
        <w:rPr>
          <w:rFonts w:ascii="Times New Roman" w:hAnsi="Times New Roman" w:cs="Times New Roman"/>
        </w:rPr>
      </w:pPr>
      <w:r w:rsidRPr="0055013F">
        <w:rPr>
          <w:rStyle w:val="Odwoanieprzypisudolnego"/>
        </w:rPr>
        <w:footnoteRef/>
      </w:r>
      <w:r w:rsidRPr="0055013F">
        <w:rPr>
          <w:rFonts w:ascii="Times New Roman" w:hAnsi="Times New Roman" w:cs="Times New Roman"/>
        </w:rPr>
        <w:t xml:space="preserve"> Kondracki J., </w:t>
      </w:r>
      <w:r w:rsidRPr="0055013F">
        <w:rPr>
          <w:rFonts w:ascii="Times New Roman" w:hAnsi="Times New Roman" w:cs="Times New Roman"/>
          <w:i/>
        </w:rPr>
        <w:t>Geografia regionalna Polski</w:t>
      </w:r>
      <w:r w:rsidRPr="0055013F">
        <w:rPr>
          <w:rFonts w:ascii="Times New Roman" w:hAnsi="Times New Roman" w:cs="Times New Roman"/>
        </w:rPr>
        <w:t>, PWN, Warszawa 2000.</w:t>
      </w:r>
    </w:p>
  </w:footnote>
  <w:footnote w:id="2">
    <w:p w14:paraId="30AA88D6" w14:textId="5D4725B4" w:rsidR="00401E54" w:rsidRPr="00421CF6" w:rsidRDefault="00401E54" w:rsidP="00401E54">
      <w:pPr>
        <w:pStyle w:val="Tekstprzypisudolnego"/>
        <w:rPr>
          <w:rFonts w:ascii="Times New Roman" w:hAnsi="Times New Roman" w:cs="Times New Roman"/>
        </w:rPr>
      </w:pPr>
      <w:r>
        <w:rPr>
          <w:rStyle w:val="Odwoanieprzypisudolnego"/>
        </w:rPr>
        <w:footnoteRef/>
      </w:r>
      <w:r>
        <w:t xml:space="preserve"> </w:t>
      </w:r>
      <w:r w:rsidRPr="00421CF6">
        <w:rPr>
          <w:rFonts w:ascii="Times New Roman" w:hAnsi="Times New Roman" w:cs="Times New Roman"/>
        </w:rPr>
        <w:t xml:space="preserve">Portal internetowy Państwowego Instytutu </w:t>
      </w:r>
      <w:r w:rsidR="00D541D2">
        <w:rPr>
          <w:rFonts w:ascii="Times New Roman" w:hAnsi="Times New Roman" w:cs="Times New Roman"/>
        </w:rPr>
        <w:t>G</w:t>
      </w:r>
      <w:r w:rsidRPr="00421CF6">
        <w:rPr>
          <w:rFonts w:ascii="Times New Roman" w:hAnsi="Times New Roman" w:cs="Times New Roman"/>
        </w:rPr>
        <w:t xml:space="preserve">eologicznego, </w:t>
      </w:r>
      <w:r w:rsidRPr="00D8579B">
        <w:rPr>
          <w:rFonts w:ascii="Times New Roman" w:hAnsi="Times New Roman" w:cs="Times New Roman"/>
        </w:rPr>
        <w:t>geologia.pgi.gov.pl</w:t>
      </w:r>
      <w:r w:rsidRPr="00421CF6">
        <w:rPr>
          <w:rFonts w:ascii="Times New Roman" w:hAnsi="Times New Roman" w:cs="Times New Roman"/>
        </w:rPr>
        <w:t xml:space="preserve"> </w:t>
      </w:r>
    </w:p>
  </w:footnote>
  <w:footnote w:id="3">
    <w:p w14:paraId="19505349" w14:textId="77777777" w:rsidR="00401E54" w:rsidRPr="00AA43AD" w:rsidRDefault="00401E54" w:rsidP="00401E54">
      <w:pPr>
        <w:pStyle w:val="Tekstprzypisudolnego"/>
        <w:rPr>
          <w:rFonts w:ascii="Times New Roman" w:hAnsi="Times New Roman" w:cs="Times New Roman"/>
        </w:rPr>
      </w:pPr>
      <w:r w:rsidRPr="00AA43AD">
        <w:rPr>
          <w:rStyle w:val="Odwoanieprzypisudolnego"/>
        </w:rPr>
        <w:footnoteRef/>
      </w:r>
      <w:r w:rsidRPr="00AA43AD">
        <w:rPr>
          <w:rFonts w:ascii="Times New Roman" w:hAnsi="Times New Roman" w:cs="Times New Roman"/>
        </w:rPr>
        <w:t xml:space="preserve"> </w:t>
      </w:r>
      <w:r>
        <w:rPr>
          <w:rFonts w:ascii="Times New Roman" w:hAnsi="Times New Roman" w:cs="Times New Roman"/>
        </w:rPr>
        <w:t>j</w:t>
      </w:r>
      <w:r w:rsidRPr="00AA43AD">
        <w:rPr>
          <w:rFonts w:ascii="Times New Roman" w:hAnsi="Times New Roman" w:cs="Times New Roman"/>
        </w:rPr>
        <w:t>w.</w:t>
      </w:r>
    </w:p>
  </w:footnote>
  <w:footnote w:id="4">
    <w:p w14:paraId="3997CD52" w14:textId="77777777" w:rsidR="00401E54" w:rsidRPr="00BE6A19" w:rsidRDefault="00401E54" w:rsidP="00401E54">
      <w:pPr>
        <w:pStyle w:val="Tekstprzypisudolnego"/>
        <w:rPr>
          <w:rFonts w:ascii="Times New Roman" w:hAnsi="Times New Roman" w:cs="Times New Roman"/>
        </w:rPr>
      </w:pPr>
      <w:r w:rsidRPr="00BE6A19">
        <w:rPr>
          <w:rStyle w:val="Odwoanieprzypisudolnego"/>
        </w:rPr>
        <w:footnoteRef/>
      </w:r>
      <w:r w:rsidRPr="00BE6A19">
        <w:rPr>
          <w:rFonts w:ascii="Times New Roman" w:hAnsi="Times New Roman" w:cs="Times New Roman"/>
        </w:rPr>
        <w:t xml:space="preserve"> Mapy zagrożenia powodziowego, </w:t>
      </w:r>
      <w:r w:rsidRPr="00D8579B">
        <w:rPr>
          <w:rFonts w:ascii="Times New Roman" w:hAnsi="Times New Roman" w:cs="Times New Roman"/>
        </w:rPr>
        <w:t>wody.isok.gov.pl</w:t>
      </w:r>
    </w:p>
  </w:footnote>
  <w:footnote w:id="5">
    <w:p w14:paraId="22FFA7E4" w14:textId="77777777" w:rsidR="006A2253" w:rsidRDefault="006A2253" w:rsidP="006A2253">
      <w:pPr>
        <w:pStyle w:val="Tekstprzypisudolnego"/>
      </w:pPr>
      <w:r>
        <w:rPr>
          <w:rStyle w:val="Odwoanieprzypisudolnego"/>
        </w:rPr>
        <w:footnoteRef/>
      </w:r>
      <w:r>
        <w:t xml:space="preserve"> </w:t>
      </w:r>
      <w:r w:rsidRPr="002319AF">
        <w:rPr>
          <w:rFonts w:ascii="Times New Roman" w:hAnsi="Times New Roman" w:cs="Times New Roman"/>
          <w:i/>
          <w:iCs/>
        </w:rPr>
        <w:t>Plan Strategiczny dla Wspólnej Polityki Rolnej 2023–2027</w:t>
      </w:r>
      <w:r w:rsidRPr="002319AF">
        <w:rPr>
          <w:rFonts w:ascii="Times New Roman" w:hAnsi="Times New Roman" w:cs="Times New Roman"/>
        </w:rPr>
        <w:t xml:space="preserve"> zatwierdzony przez Komisję Europejską w dniu 31.08.2022 r.</w:t>
      </w:r>
    </w:p>
  </w:footnote>
  <w:footnote w:id="6">
    <w:p w14:paraId="2A58BDA0" w14:textId="1D18E232" w:rsidR="00A17173" w:rsidRDefault="00A17173" w:rsidP="00A17173">
      <w:pPr>
        <w:pStyle w:val="Tekstprzypisudolnego"/>
      </w:pPr>
      <w:r>
        <w:rPr>
          <w:rStyle w:val="Odwoanieprzypisudolnego"/>
        </w:rPr>
        <w:footnoteRef/>
      </w:r>
      <w:r>
        <w:t xml:space="preserve"> </w:t>
      </w:r>
      <w:r w:rsidRPr="0068562C">
        <w:rPr>
          <w:rFonts w:ascii="Times New Roman" w:hAnsi="Times New Roman" w:cs="Times New Roman"/>
        </w:rPr>
        <w:t xml:space="preserve">Zgodnie z załącznikiem nr 5 do Regulaminu konkursu na wybór LSR </w:t>
      </w:r>
      <w:r w:rsidRPr="0068562C">
        <w:rPr>
          <w:rFonts w:ascii="Times New Roman" w:hAnsi="Times New Roman" w:cs="Times New Roman"/>
          <w:i/>
          <w:iCs/>
        </w:rPr>
        <w:t>Kryteria wyboru LSR</w:t>
      </w:r>
      <w:r w:rsidRPr="0068562C">
        <w:rPr>
          <w:rFonts w:ascii="Times New Roman" w:hAnsi="Times New Roman" w:cs="Times New Roman"/>
        </w:rPr>
        <w:t>, kryterium 5.</w:t>
      </w:r>
      <w:r>
        <w:rPr>
          <w:rFonts w:ascii="Times New Roman" w:hAnsi="Times New Roman" w:cs="Times New Roman"/>
        </w:rPr>
        <w:t>1</w:t>
      </w:r>
      <w:r w:rsidR="001E060A">
        <w:rPr>
          <w:rFonts w:ascii="Times New Roman" w:hAnsi="Times New Roman" w:cs="Times New Roman"/>
        </w:rPr>
        <w:t>.</w:t>
      </w:r>
    </w:p>
  </w:footnote>
  <w:footnote w:id="7">
    <w:p w14:paraId="19A637CC" w14:textId="77777777" w:rsidR="003467E8" w:rsidRDefault="003467E8" w:rsidP="003467E8">
      <w:pPr>
        <w:pStyle w:val="Tekstprzypisudolnego"/>
      </w:pPr>
      <w:r>
        <w:rPr>
          <w:rStyle w:val="Odwoanieprzypisudolnego"/>
        </w:rPr>
        <w:footnoteRef/>
      </w:r>
      <w:r>
        <w:t xml:space="preserve"> </w:t>
      </w:r>
      <w:r w:rsidRPr="008F572F">
        <w:rPr>
          <w:rFonts w:ascii="Times New Roman" w:hAnsi="Times New Roman" w:cs="Times New Roman"/>
        </w:rPr>
        <w:t>Dane GUS, stan na dzień 31 lipca 2022 r.</w:t>
      </w:r>
    </w:p>
  </w:footnote>
  <w:footnote w:id="8">
    <w:p w14:paraId="33285746" w14:textId="77777777" w:rsidR="00A17173" w:rsidRDefault="00A17173" w:rsidP="00A17173">
      <w:pPr>
        <w:pStyle w:val="Tekstprzypisudolnego"/>
      </w:pPr>
      <w:r>
        <w:rPr>
          <w:rStyle w:val="Odwoanieprzypisudolnego"/>
        </w:rPr>
        <w:footnoteRef/>
      </w:r>
      <w:r>
        <w:t xml:space="preserve"> </w:t>
      </w:r>
      <w:r w:rsidRPr="006116F6">
        <w:rPr>
          <w:rFonts w:ascii="Times New Roman" w:hAnsi="Times New Roman" w:cs="Times New Roman"/>
        </w:rPr>
        <w:t>Dane GUS</w:t>
      </w:r>
      <w:r>
        <w:rPr>
          <w:rFonts w:ascii="Times New Roman" w:hAnsi="Times New Roman" w:cs="Times New Roman"/>
        </w:rPr>
        <w:t>.</w:t>
      </w:r>
    </w:p>
  </w:footnote>
  <w:footnote w:id="9">
    <w:p w14:paraId="4A33DE99" w14:textId="119778C0" w:rsidR="00ED359B" w:rsidRPr="00ED359B" w:rsidRDefault="00ED359B">
      <w:pPr>
        <w:pStyle w:val="Tekstprzypisudolnego"/>
        <w:rPr>
          <w:rFonts w:ascii="Times New Roman" w:hAnsi="Times New Roman" w:cs="Times New Roman"/>
        </w:rPr>
      </w:pPr>
      <w:r>
        <w:rPr>
          <w:rStyle w:val="Odwoanieprzypisudolnego"/>
        </w:rPr>
        <w:footnoteRef/>
      </w:r>
      <w:r>
        <w:t xml:space="preserve"> </w:t>
      </w:r>
      <w:r w:rsidRPr="00ED359B">
        <w:rPr>
          <w:rFonts w:ascii="Times New Roman" w:hAnsi="Times New Roman" w:cs="Times New Roman"/>
          <w:i/>
          <w:iCs/>
        </w:rPr>
        <w:t>Ewaluacja zewnętrzna realizacji Strategii Rozwoju Lokalnego Kierowanego przez Społeczność Bialskopodlaskiej Lokalnej Grupy Działania 2014–2020</w:t>
      </w:r>
      <w:r w:rsidRPr="00ED359B">
        <w:rPr>
          <w:rFonts w:ascii="Times New Roman" w:hAnsi="Times New Roman" w:cs="Times New Roman"/>
        </w:rPr>
        <w:t>, Warszawa 2022.</w:t>
      </w:r>
    </w:p>
  </w:footnote>
  <w:footnote w:id="10">
    <w:p w14:paraId="75519926" w14:textId="77777777" w:rsidR="00CE7AD6" w:rsidRDefault="00CE7AD6" w:rsidP="00CE7AD6">
      <w:pPr>
        <w:pStyle w:val="Tekstprzypisudolnego"/>
      </w:pPr>
      <w:r>
        <w:rPr>
          <w:rStyle w:val="Odwoanieprzypisudolnego"/>
        </w:rPr>
        <w:footnoteRef/>
      </w:r>
      <w:r>
        <w:t xml:space="preserve"> </w:t>
      </w:r>
      <w:r w:rsidRPr="00FF2D67">
        <w:rPr>
          <w:rFonts w:ascii="Times New Roman" w:hAnsi="Times New Roman" w:cs="Times New Roman"/>
        </w:rPr>
        <w:t xml:space="preserve">Strona internetowa </w:t>
      </w:r>
      <w:r>
        <w:rPr>
          <w:rFonts w:ascii="Times New Roman" w:hAnsi="Times New Roman" w:cs="Times New Roman"/>
        </w:rPr>
        <w:t xml:space="preserve">Starostwa Powiatowego w Bielsko-Białej, </w:t>
      </w:r>
      <w:r w:rsidRPr="00FF2D67">
        <w:rPr>
          <w:rFonts w:ascii="Times New Roman" w:hAnsi="Times New Roman" w:cs="Times New Roman"/>
        </w:rPr>
        <w:t xml:space="preserve">Powiat </w:t>
      </w:r>
      <w:r>
        <w:rPr>
          <w:rFonts w:ascii="Times New Roman" w:hAnsi="Times New Roman" w:cs="Times New Roman"/>
        </w:rPr>
        <w:t>B</w:t>
      </w:r>
      <w:r w:rsidRPr="00FF2D67">
        <w:rPr>
          <w:rFonts w:ascii="Times New Roman" w:hAnsi="Times New Roman" w:cs="Times New Roman"/>
        </w:rPr>
        <w:t>ialski, powiatbialski.eu</w:t>
      </w:r>
    </w:p>
  </w:footnote>
  <w:footnote w:id="11">
    <w:p w14:paraId="2DA8FA4A" w14:textId="77777777" w:rsidR="00A17173" w:rsidRPr="006004E5" w:rsidRDefault="00A17173" w:rsidP="00A17173">
      <w:pPr>
        <w:pStyle w:val="Tekstprzypisudolnego"/>
        <w:rPr>
          <w:rFonts w:ascii="Times New Roman" w:hAnsi="Times New Roman" w:cs="Times New Roman"/>
        </w:rPr>
      </w:pPr>
      <w:r w:rsidRPr="006004E5">
        <w:rPr>
          <w:rStyle w:val="Odwoanieprzypisudolnego"/>
          <w:rFonts w:ascii="Times New Roman" w:hAnsi="Times New Roman" w:cs="Times New Roman"/>
        </w:rPr>
        <w:footnoteRef/>
      </w:r>
      <w:r w:rsidRPr="006004E5">
        <w:rPr>
          <w:rFonts w:ascii="Times New Roman" w:hAnsi="Times New Roman" w:cs="Times New Roman"/>
        </w:rPr>
        <w:t xml:space="preserve"> </w:t>
      </w:r>
      <w:r>
        <w:rPr>
          <w:rFonts w:ascii="Times New Roman" w:hAnsi="Times New Roman" w:cs="Times New Roman"/>
        </w:rPr>
        <w:t xml:space="preserve">Strona internetowa Instytutu Rozwoju Wsi i Rolnictwa Polskiej Akademii Nauk, </w:t>
      </w:r>
      <w:r w:rsidRPr="00A40814">
        <w:rPr>
          <w:rFonts w:ascii="Times New Roman" w:hAnsi="Times New Roman" w:cs="Times New Roman"/>
        </w:rPr>
        <w:t>irwirpan.waw.pl/index.php/offer/show/538/badania/monitoring-rozwoju-obszarow-wiejskich/badania/monitoring-rozwoju-obszarow-wiejskich</w:t>
      </w:r>
    </w:p>
  </w:footnote>
  <w:footnote w:id="12">
    <w:p w14:paraId="59370A8C" w14:textId="20F68561" w:rsidR="00B1710A" w:rsidRPr="00B1710A" w:rsidRDefault="00B1710A">
      <w:pPr>
        <w:pStyle w:val="Tekstprzypisudolnego"/>
        <w:rPr>
          <w:rFonts w:ascii="Times New Roman" w:hAnsi="Times New Roman" w:cs="Times New Roman"/>
        </w:rPr>
      </w:pPr>
      <w:r w:rsidRPr="00B1710A">
        <w:rPr>
          <w:rStyle w:val="Odwoanieprzypisudolnego"/>
          <w:rFonts w:ascii="Times New Roman" w:hAnsi="Times New Roman" w:cs="Times New Roman"/>
        </w:rPr>
        <w:footnoteRef/>
      </w:r>
      <w:r w:rsidRPr="00B1710A">
        <w:rPr>
          <w:rFonts w:ascii="Times New Roman" w:hAnsi="Times New Roman" w:cs="Times New Roman"/>
        </w:rPr>
        <w:t xml:space="preserve"> Dane GUS za 2020 r.</w:t>
      </w:r>
    </w:p>
  </w:footnote>
  <w:footnote w:id="13">
    <w:p w14:paraId="6ECED439" w14:textId="4279587F" w:rsidR="003448FD" w:rsidRPr="003448FD" w:rsidRDefault="003448FD">
      <w:pPr>
        <w:pStyle w:val="Tekstprzypisudolnego"/>
        <w:rPr>
          <w:rFonts w:ascii="Times New Roman" w:hAnsi="Times New Roman" w:cs="Times New Roman"/>
        </w:rPr>
      </w:pPr>
      <w:r w:rsidRPr="003448FD">
        <w:rPr>
          <w:rStyle w:val="Odwoanieprzypisudolnego"/>
          <w:rFonts w:ascii="Times New Roman" w:hAnsi="Times New Roman" w:cs="Times New Roman"/>
        </w:rPr>
        <w:footnoteRef/>
      </w:r>
      <w:r w:rsidRPr="003448FD">
        <w:rPr>
          <w:rFonts w:ascii="Times New Roman" w:hAnsi="Times New Roman" w:cs="Times New Roman"/>
        </w:rPr>
        <w:t xml:space="preserve"> Dane z </w:t>
      </w:r>
      <w:r w:rsidRPr="00537E15">
        <w:rPr>
          <w:rFonts w:ascii="Times New Roman" w:hAnsi="Times New Roman" w:cs="Times New Roman"/>
          <w:sz w:val="18"/>
          <w:szCs w:val="18"/>
        </w:rPr>
        <w:t>Urzędów</w:t>
      </w:r>
      <w:r w:rsidRPr="003448FD">
        <w:rPr>
          <w:rFonts w:ascii="Times New Roman" w:hAnsi="Times New Roman" w:cs="Times New Roman"/>
        </w:rPr>
        <w:t xml:space="preserve"> Gmin z obszaru BLGD, stan na 29.04.2023</w:t>
      </w:r>
      <w:r w:rsidR="00A32E9A">
        <w:rPr>
          <w:rFonts w:ascii="Times New Roman" w:hAnsi="Times New Roman" w:cs="Times New Roman"/>
        </w:rPr>
        <w:t xml:space="preserve"> r.</w:t>
      </w:r>
    </w:p>
  </w:footnote>
  <w:footnote w:id="14">
    <w:p w14:paraId="4910FDD1" w14:textId="77777777" w:rsidR="002D42F0" w:rsidRDefault="002D42F0" w:rsidP="002D42F0">
      <w:pPr>
        <w:pStyle w:val="Tekstprzypisudolnego"/>
      </w:pPr>
      <w:r>
        <w:rPr>
          <w:rStyle w:val="Odwoanieprzypisudolnego"/>
        </w:rPr>
        <w:footnoteRef/>
      </w:r>
      <w:r>
        <w:t xml:space="preserve"> </w:t>
      </w:r>
      <w:r w:rsidRPr="007548E3">
        <w:rPr>
          <w:rFonts w:ascii="Times New Roman" w:hAnsi="Times New Roman" w:cs="Times New Roman"/>
        </w:rPr>
        <w:t>Dane GUS za 2021 r.</w:t>
      </w:r>
      <w:r>
        <w:t xml:space="preserve"> </w:t>
      </w:r>
    </w:p>
  </w:footnote>
  <w:footnote w:id="15">
    <w:p w14:paraId="3BCDBD94" w14:textId="77777777" w:rsidR="002D42F0" w:rsidRPr="00614AF3" w:rsidRDefault="002D42F0" w:rsidP="002D42F0">
      <w:pPr>
        <w:pStyle w:val="Tekstprzypisudolnego"/>
        <w:rPr>
          <w:rFonts w:ascii="Times New Roman" w:hAnsi="Times New Roman" w:cs="Times New Roman"/>
        </w:rPr>
      </w:pPr>
      <w:r w:rsidRPr="00614AF3">
        <w:rPr>
          <w:rStyle w:val="Odwoanieprzypisudolnego"/>
        </w:rPr>
        <w:footnoteRef/>
      </w:r>
      <w:r w:rsidRPr="00614AF3">
        <w:rPr>
          <w:rFonts w:ascii="Times New Roman" w:hAnsi="Times New Roman" w:cs="Times New Roman"/>
        </w:rPr>
        <w:t xml:space="preserve"> Dane GUS za 2021 r.</w:t>
      </w:r>
    </w:p>
  </w:footnote>
  <w:footnote w:id="16">
    <w:p w14:paraId="128F9D3C" w14:textId="77777777" w:rsidR="00A671CB" w:rsidRPr="008C66F0" w:rsidRDefault="00A671CB" w:rsidP="00A671CB">
      <w:pPr>
        <w:pStyle w:val="Tekstprzypisudolnego"/>
        <w:rPr>
          <w:rFonts w:ascii="Times New Roman" w:hAnsi="Times New Roman" w:cs="Times New Roman"/>
        </w:rPr>
      </w:pPr>
      <w:r w:rsidRPr="008C66F0">
        <w:rPr>
          <w:rStyle w:val="Odwoanieprzypisudolnego"/>
        </w:rPr>
        <w:footnoteRef/>
      </w:r>
      <w:r w:rsidRPr="008C66F0">
        <w:rPr>
          <w:rFonts w:ascii="Times New Roman" w:hAnsi="Times New Roman" w:cs="Times New Roman"/>
        </w:rPr>
        <w:t xml:space="preserve"> Dane GUS.</w:t>
      </w:r>
    </w:p>
  </w:footnote>
  <w:footnote w:id="17">
    <w:p w14:paraId="6F19620A" w14:textId="77777777" w:rsidR="00A30EA5" w:rsidRPr="00614AF3" w:rsidRDefault="00A30EA5" w:rsidP="00A30EA5">
      <w:pPr>
        <w:pStyle w:val="Tekstprzypisudolnego"/>
        <w:rPr>
          <w:rFonts w:ascii="Times New Roman" w:hAnsi="Times New Roman" w:cs="Times New Roman"/>
        </w:rPr>
      </w:pPr>
      <w:r w:rsidRPr="00614AF3">
        <w:rPr>
          <w:rStyle w:val="Odwoanieprzypisudolnego"/>
        </w:rPr>
        <w:footnoteRef/>
      </w:r>
      <w:r w:rsidRPr="00614AF3">
        <w:rPr>
          <w:rFonts w:ascii="Times New Roman" w:hAnsi="Times New Roman" w:cs="Times New Roman"/>
        </w:rPr>
        <w:t xml:space="preserve"> Dane GUS za 2021 r.</w:t>
      </w:r>
    </w:p>
  </w:footnote>
  <w:footnote w:id="18">
    <w:p w14:paraId="7D6DFCD7" w14:textId="3CE9ABA3" w:rsidR="00C320F4" w:rsidRDefault="00C320F4">
      <w:pPr>
        <w:pStyle w:val="Tekstprzypisudolnego"/>
      </w:pPr>
      <w:r>
        <w:rPr>
          <w:rStyle w:val="Odwoanieprzypisudolnego"/>
        </w:rPr>
        <w:footnoteRef/>
      </w:r>
      <w:r>
        <w:t xml:space="preserve"> </w:t>
      </w:r>
      <w:r w:rsidRPr="008C66F0">
        <w:rPr>
          <w:rFonts w:ascii="Times New Roman" w:hAnsi="Times New Roman" w:cs="Times New Roman"/>
        </w:rPr>
        <w:t>Dane GUS, stan na dzień 31.12.2021 r.</w:t>
      </w:r>
    </w:p>
  </w:footnote>
  <w:footnote w:id="19">
    <w:p w14:paraId="57C9BBA5" w14:textId="6F1F60B3" w:rsidR="00E75D94" w:rsidRPr="003F63FF" w:rsidRDefault="00E75D94">
      <w:pPr>
        <w:pStyle w:val="Tekstprzypisudolnego"/>
        <w:rPr>
          <w:rFonts w:ascii="Times New Roman" w:hAnsi="Times New Roman" w:cs="Times New Roman"/>
        </w:rPr>
      </w:pPr>
      <w:r w:rsidRPr="003F63FF">
        <w:rPr>
          <w:rStyle w:val="Odwoanieprzypisudolnego"/>
          <w:rFonts w:ascii="Times New Roman" w:hAnsi="Times New Roman" w:cs="Times New Roman"/>
        </w:rPr>
        <w:footnoteRef/>
      </w:r>
      <w:r w:rsidRPr="003F63FF">
        <w:rPr>
          <w:rFonts w:ascii="Times New Roman" w:hAnsi="Times New Roman" w:cs="Times New Roman"/>
        </w:rPr>
        <w:t xml:space="preserve"> Strona Powiatowego Centrum Pomocy Rodzinie w Białej Podlaskiej, </w:t>
      </w:r>
      <w:r w:rsidR="003F63FF" w:rsidRPr="003F63FF">
        <w:rPr>
          <w:rFonts w:ascii="Times New Roman" w:hAnsi="Times New Roman" w:cs="Times New Roman"/>
        </w:rPr>
        <w:t>pcpr.powiatbialski.eu</w:t>
      </w:r>
    </w:p>
  </w:footnote>
  <w:footnote w:id="20">
    <w:p w14:paraId="2752E1E0" w14:textId="77777777" w:rsidR="00A17173" w:rsidRPr="003602C0" w:rsidRDefault="00A17173" w:rsidP="00A17173">
      <w:pPr>
        <w:pStyle w:val="Tekstprzypisudolnego"/>
        <w:rPr>
          <w:rFonts w:ascii="Times New Roman" w:hAnsi="Times New Roman" w:cs="Times New Roman"/>
        </w:rPr>
      </w:pPr>
      <w:r w:rsidRPr="003602C0">
        <w:rPr>
          <w:rStyle w:val="Odwoanieprzypisudolnego"/>
          <w:rFonts w:ascii="Times New Roman" w:hAnsi="Times New Roman" w:cs="Times New Roman"/>
        </w:rPr>
        <w:footnoteRef/>
      </w:r>
      <w:r w:rsidRPr="003602C0">
        <w:rPr>
          <w:rFonts w:ascii="Times New Roman" w:hAnsi="Times New Roman" w:cs="Times New Roman"/>
        </w:rPr>
        <w:t xml:space="preserve"> </w:t>
      </w:r>
      <w:bookmarkStart w:id="79" w:name="_Hlk129074306"/>
      <w:r w:rsidRPr="003602C0">
        <w:rPr>
          <w:rFonts w:ascii="Times New Roman" w:hAnsi="Times New Roman" w:cs="Times New Roman"/>
        </w:rPr>
        <w:t>Rejestr Szkół i Palcówek Oświatowych, System Informacji Oświatowej, strona internetowa Ministerstwa Edukacji i Nauki, rspo.gov.pl</w:t>
      </w:r>
      <w:bookmarkEnd w:id="79"/>
    </w:p>
  </w:footnote>
  <w:footnote w:id="21">
    <w:p w14:paraId="583F64B1" w14:textId="77777777" w:rsidR="00154170" w:rsidRPr="00811D6B" w:rsidRDefault="00154170" w:rsidP="00154170">
      <w:pPr>
        <w:pStyle w:val="Tekstprzypisudolnego"/>
      </w:pPr>
      <w:r w:rsidRPr="00811D6B">
        <w:rPr>
          <w:rStyle w:val="Odwoanieprzypisudolnego"/>
        </w:rPr>
        <w:footnoteRef/>
      </w:r>
      <w:r w:rsidRPr="00811D6B">
        <w:t xml:space="preserve"> </w:t>
      </w:r>
      <w:r w:rsidRPr="00E31BD0">
        <w:rPr>
          <w:rFonts w:ascii="Times New Roman" w:hAnsi="Times New Roman" w:cs="Times New Roman"/>
        </w:rPr>
        <w:t>Rejestr Szkół i Palcówek Oświatowych, System Informacji Oświatowej, strona internetowa Ministerstwa Edukacji i Nauki, rspo.gov.pl</w:t>
      </w:r>
    </w:p>
  </w:footnote>
  <w:footnote w:id="22">
    <w:p w14:paraId="6EFD1E88" w14:textId="6BC18275" w:rsidR="00587E23" w:rsidRPr="00B163F9" w:rsidRDefault="00587E23" w:rsidP="00587E23">
      <w:pPr>
        <w:pStyle w:val="Tekstprzypisudolnego"/>
        <w:rPr>
          <w:rFonts w:ascii="Times New Roman" w:hAnsi="Times New Roman" w:cs="Times New Roman"/>
        </w:rPr>
      </w:pPr>
      <w:r w:rsidRPr="00B163F9">
        <w:rPr>
          <w:rStyle w:val="Odwoanieprzypisudolnego"/>
          <w:rFonts w:ascii="Times New Roman" w:hAnsi="Times New Roman" w:cs="Times New Roman"/>
        </w:rPr>
        <w:footnoteRef/>
      </w:r>
      <w:r w:rsidRPr="00B163F9">
        <w:rPr>
          <w:rFonts w:ascii="Times New Roman" w:hAnsi="Times New Roman" w:cs="Times New Roman"/>
        </w:rPr>
        <w:t xml:space="preserve"> Inf. z dnia</w:t>
      </w:r>
      <w:r w:rsidR="00B163F9">
        <w:rPr>
          <w:rFonts w:ascii="Times New Roman" w:hAnsi="Times New Roman" w:cs="Times New Roman"/>
        </w:rPr>
        <w:t xml:space="preserve"> 0</w:t>
      </w:r>
      <w:r w:rsidRPr="00B163F9">
        <w:rPr>
          <w:rFonts w:ascii="Times New Roman" w:hAnsi="Times New Roman" w:cs="Times New Roman"/>
        </w:rPr>
        <w:t>1.0</w:t>
      </w:r>
      <w:r w:rsidR="00B163F9">
        <w:rPr>
          <w:rFonts w:ascii="Times New Roman" w:hAnsi="Times New Roman" w:cs="Times New Roman"/>
        </w:rPr>
        <w:t>5</w:t>
      </w:r>
      <w:r w:rsidRPr="00B163F9">
        <w:rPr>
          <w:rFonts w:ascii="Times New Roman" w:hAnsi="Times New Roman" w:cs="Times New Roman"/>
        </w:rPr>
        <w:t>.202</w:t>
      </w:r>
      <w:r w:rsidR="00B163F9">
        <w:rPr>
          <w:rFonts w:ascii="Times New Roman" w:hAnsi="Times New Roman" w:cs="Times New Roman"/>
        </w:rPr>
        <w:t>3</w:t>
      </w:r>
      <w:r w:rsidRPr="00B163F9">
        <w:rPr>
          <w:rFonts w:ascii="Times New Roman" w:hAnsi="Times New Roman" w:cs="Times New Roman"/>
        </w:rPr>
        <w:t xml:space="preserve"> r.</w:t>
      </w:r>
    </w:p>
  </w:footnote>
  <w:footnote w:id="23">
    <w:p w14:paraId="7F89327A" w14:textId="77777777" w:rsidR="00587E23" w:rsidRPr="00B163F9" w:rsidRDefault="00587E23" w:rsidP="00587E23">
      <w:pPr>
        <w:pStyle w:val="Tekstprzypisudolnego"/>
        <w:jc w:val="both"/>
        <w:rPr>
          <w:rFonts w:ascii="Times New Roman" w:hAnsi="Times New Roman" w:cs="Times New Roman"/>
        </w:rPr>
      </w:pPr>
      <w:r w:rsidRPr="00B163F9">
        <w:rPr>
          <w:rStyle w:val="Odwoanieprzypisudolnego"/>
          <w:rFonts w:ascii="Times New Roman" w:hAnsi="Times New Roman" w:cs="Times New Roman"/>
        </w:rPr>
        <w:footnoteRef/>
      </w:r>
      <w:r w:rsidRPr="00B163F9">
        <w:rPr>
          <w:rFonts w:ascii="Times New Roman" w:hAnsi="Times New Roman" w:cs="Times New Roman"/>
        </w:rPr>
        <w:t xml:space="preserve"> Penetracja lokalowa – stosunek liczby wszystkich lokali mieszkalnych w budynkach w zasięgu sieci min. 100 Mb/s (budynek, w którym operatorzy deklarują możliwość świadczenia danych usług) do ogólnej liczby lokali mieszkalnych na analizowanym obszarze. Należy wyjaśnić, że na potrzeby monitorowania postępów realizacji celów Europejskiej Agendy Cyfrowej gospodarstwo domowe utożsamiane jest z lokalem mieszkalnym.</w:t>
      </w:r>
    </w:p>
  </w:footnote>
  <w:footnote w:id="24">
    <w:p w14:paraId="4D6261E3" w14:textId="77777777" w:rsidR="00587E23" w:rsidRPr="001B2C32" w:rsidRDefault="00587E23" w:rsidP="00587E23">
      <w:pPr>
        <w:pStyle w:val="Tekstprzypisudolnego"/>
      </w:pPr>
      <w:r w:rsidRPr="00B163F9">
        <w:rPr>
          <w:rStyle w:val="Odwoanieprzypisudolnego"/>
          <w:rFonts w:ascii="Times New Roman" w:hAnsi="Times New Roman" w:cs="Times New Roman"/>
        </w:rPr>
        <w:footnoteRef/>
      </w:r>
      <w:r w:rsidRPr="00B163F9">
        <w:rPr>
          <w:rFonts w:ascii="Times New Roman" w:hAnsi="Times New Roman" w:cs="Times New Roman"/>
        </w:rPr>
        <w:t xml:space="preserve"> </w:t>
      </w:r>
      <w:r w:rsidRPr="00425605">
        <w:rPr>
          <w:rFonts w:ascii="Times New Roman" w:hAnsi="Times New Roman" w:cs="Times New Roman"/>
        </w:rPr>
        <w:t>Urząd Komunikacji Elektronicznej, Atlas szerokopasmowego dostępu do Internetu, mapbook.uke.gov.pl/areas</w:t>
      </w:r>
    </w:p>
  </w:footnote>
  <w:footnote w:id="25">
    <w:p w14:paraId="323E19BA" w14:textId="4055BF7E" w:rsidR="00154170" w:rsidRPr="00154170" w:rsidRDefault="00154170">
      <w:pPr>
        <w:pStyle w:val="Tekstprzypisudolnego"/>
      </w:pPr>
      <w:r>
        <w:rPr>
          <w:rStyle w:val="Odwoanieprzypisudolnego"/>
        </w:rPr>
        <w:footnoteRef/>
      </w:r>
      <w:r>
        <w:t xml:space="preserve"> </w:t>
      </w:r>
      <w:r w:rsidRPr="00154170">
        <w:rPr>
          <w:rFonts w:ascii="Times New Roman" w:hAnsi="Times New Roman" w:cs="Times New Roman"/>
          <w:color w:val="000000" w:themeColor="text1"/>
        </w:rPr>
        <w:t>Urząd Komunikacji Elektronicznej</w:t>
      </w:r>
      <w:r w:rsidRPr="00587E23">
        <w:rPr>
          <w:rFonts w:ascii="Times New Roman" w:hAnsi="Times New Roman" w:cs="Times New Roman"/>
          <w:i/>
          <w:iCs/>
          <w:color w:val="000000" w:themeColor="text1"/>
        </w:rPr>
        <w:t xml:space="preserve">, </w:t>
      </w:r>
      <w:r w:rsidRPr="00154170">
        <w:rPr>
          <w:rFonts w:ascii="Times New Roman" w:hAnsi="Times New Roman" w:cs="Times New Roman"/>
          <w:color w:val="000000" w:themeColor="text1"/>
        </w:rPr>
        <w:t>Raport o stanie rynku telekomunikacyjnego w Polsce w 2021 roku</w:t>
      </w:r>
      <w:r>
        <w:rPr>
          <w:rFonts w:ascii="Times New Roman" w:hAnsi="Times New Roman" w:cs="Times New Roman"/>
          <w:color w:val="000000" w:themeColor="text1"/>
        </w:rPr>
        <w:t xml:space="preserve">, </w:t>
      </w:r>
      <w:r w:rsidRPr="00154170">
        <w:rPr>
          <w:rFonts w:ascii="Times New Roman" w:hAnsi="Times New Roman" w:cs="Times New Roman"/>
          <w:color w:val="000000" w:themeColor="text1"/>
        </w:rPr>
        <w:t>uke.gov.pl</w:t>
      </w:r>
    </w:p>
  </w:footnote>
  <w:footnote w:id="26">
    <w:p w14:paraId="7A75CC21" w14:textId="77777777" w:rsidR="004044FC" w:rsidRDefault="004044FC" w:rsidP="004044FC">
      <w:pPr>
        <w:pStyle w:val="Tekstprzypisudolnego"/>
      </w:pPr>
      <w:r>
        <w:rPr>
          <w:rStyle w:val="Odwoanieprzypisudolnego"/>
        </w:rPr>
        <w:footnoteRef/>
      </w:r>
      <w:r>
        <w:t xml:space="preserve"> </w:t>
      </w:r>
      <w:r w:rsidRPr="00B03B24">
        <w:rPr>
          <w:rFonts w:ascii="Times New Roman" w:hAnsi="Times New Roman" w:cs="Times New Roman"/>
        </w:rPr>
        <w:t xml:space="preserve">Górny B., </w:t>
      </w:r>
      <w:r w:rsidRPr="00B03B24">
        <w:rPr>
          <w:rFonts w:ascii="Times New Roman" w:hAnsi="Times New Roman" w:cs="Times New Roman"/>
          <w:i/>
          <w:iCs/>
        </w:rPr>
        <w:t>Monografia powiatu bialskiego</w:t>
      </w:r>
      <w:r>
        <w:t xml:space="preserve">, </w:t>
      </w:r>
      <w:r w:rsidRPr="00B03B24">
        <w:rPr>
          <w:rFonts w:ascii="Times New Roman" w:hAnsi="Times New Roman" w:cs="Times New Roman"/>
        </w:rPr>
        <w:t>1939</w:t>
      </w:r>
      <w:r>
        <w:t>.</w:t>
      </w:r>
    </w:p>
  </w:footnote>
  <w:footnote w:id="27">
    <w:p w14:paraId="14251756" w14:textId="77777777" w:rsidR="004044FC" w:rsidRPr="0088277C" w:rsidRDefault="004044FC" w:rsidP="004044FC">
      <w:pPr>
        <w:pStyle w:val="Tekstprzypisudolnego"/>
        <w:rPr>
          <w:rFonts w:ascii="Times New Roman" w:hAnsi="Times New Roman" w:cs="Times New Roman"/>
        </w:rPr>
      </w:pPr>
      <w:r>
        <w:rPr>
          <w:rStyle w:val="Odwoanieprzypisudolnego"/>
        </w:rPr>
        <w:footnoteRef/>
      </w:r>
      <w:r>
        <w:t xml:space="preserve"> </w:t>
      </w:r>
      <w:r w:rsidRPr="0088277C">
        <w:rPr>
          <w:rFonts w:ascii="Times New Roman" w:hAnsi="Times New Roman" w:cs="Times New Roman"/>
        </w:rPr>
        <w:t>Strona internetowa Urzędu Gminy w Łomazach, lomazy.pl</w:t>
      </w:r>
    </w:p>
  </w:footnote>
  <w:footnote w:id="28">
    <w:p w14:paraId="6DFCEFC4" w14:textId="4D66BABF" w:rsidR="004044FC" w:rsidRPr="00AE13F1" w:rsidRDefault="004044FC" w:rsidP="004044FC">
      <w:pPr>
        <w:pStyle w:val="Tekstprzypisudolnego"/>
        <w:rPr>
          <w:rFonts w:cs="Times New Roman"/>
        </w:rPr>
      </w:pPr>
      <w:r w:rsidRPr="00AE13F1">
        <w:rPr>
          <w:rStyle w:val="Odwoanieprzypisudolnego"/>
        </w:rPr>
        <w:footnoteRef/>
      </w:r>
      <w:r w:rsidRPr="00AE13F1">
        <w:rPr>
          <w:rFonts w:cs="Times New Roman"/>
        </w:rPr>
        <w:t xml:space="preserve"> </w:t>
      </w:r>
      <w:r w:rsidRPr="00D45015">
        <w:rPr>
          <w:rFonts w:ascii="Times New Roman" w:hAnsi="Times New Roman" w:cs="Times New Roman"/>
        </w:rPr>
        <w:t>Narodowy Instytut Dziedzictwa, nid.pl/zasoby/rejestr-zabytkow-zasoby, stan na dzień 3</w:t>
      </w:r>
      <w:r w:rsidR="00441F6B">
        <w:rPr>
          <w:rFonts w:ascii="Times New Roman" w:hAnsi="Times New Roman" w:cs="Times New Roman"/>
        </w:rPr>
        <w:t>1</w:t>
      </w:r>
      <w:r w:rsidRPr="00D45015">
        <w:rPr>
          <w:rFonts w:ascii="Times New Roman" w:hAnsi="Times New Roman" w:cs="Times New Roman"/>
        </w:rPr>
        <w:t xml:space="preserve"> </w:t>
      </w:r>
      <w:r w:rsidR="00441F6B">
        <w:rPr>
          <w:rFonts w:ascii="Times New Roman" w:hAnsi="Times New Roman" w:cs="Times New Roman"/>
        </w:rPr>
        <w:t>grudni</w:t>
      </w:r>
      <w:r>
        <w:rPr>
          <w:rFonts w:ascii="Times New Roman" w:hAnsi="Times New Roman" w:cs="Times New Roman"/>
        </w:rPr>
        <w:t>a</w:t>
      </w:r>
      <w:r w:rsidRPr="00D45015">
        <w:rPr>
          <w:rFonts w:ascii="Times New Roman" w:hAnsi="Times New Roman" w:cs="Times New Roman"/>
        </w:rPr>
        <w:t xml:space="preserve"> 2022</w:t>
      </w:r>
      <w:r w:rsidRPr="00AE13F1">
        <w:rPr>
          <w:rFonts w:cs="Times New Roman"/>
        </w:rPr>
        <w:t xml:space="preserve"> r.</w:t>
      </w:r>
    </w:p>
  </w:footnote>
  <w:footnote w:id="29">
    <w:p w14:paraId="1B8734E1" w14:textId="77777777" w:rsidR="004044FC" w:rsidRDefault="004044FC" w:rsidP="004044FC">
      <w:pPr>
        <w:pStyle w:val="Tekstprzypisudolnego"/>
      </w:pPr>
      <w:r>
        <w:rPr>
          <w:rStyle w:val="Odwoanieprzypisudolnego"/>
        </w:rPr>
        <w:footnoteRef/>
      </w:r>
      <w:r>
        <w:t xml:space="preserve"> </w:t>
      </w:r>
      <w:r w:rsidRPr="00F37186">
        <w:rPr>
          <w:rFonts w:ascii="Times New Roman" w:hAnsi="Times New Roman" w:cs="Times New Roman"/>
        </w:rPr>
        <w:t>Strona internetowa Stadniny Koni w Janowie Podlaskim, skjanow.pl</w:t>
      </w:r>
    </w:p>
  </w:footnote>
  <w:footnote w:id="30">
    <w:p w14:paraId="2D046D30" w14:textId="77777777" w:rsidR="004044FC" w:rsidRDefault="004044FC" w:rsidP="004044FC">
      <w:pPr>
        <w:pStyle w:val="Tekstprzypisudolnego"/>
      </w:pPr>
      <w:r>
        <w:rPr>
          <w:rStyle w:val="Odwoanieprzypisudolnego"/>
        </w:rPr>
        <w:footnoteRef/>
      </w:r>
      <w:r>
        <w:t xml:space="preserve"> </w:t>
      </w:r>
      <w:r>
        <w:rPr>
          <w:rFonts w:ascii="Times New Roman" w:hAnsi="Times New Roman" w:cs="Times New Roman"/>
        </w:rPr>
        <w:t xml:space="preserve">Portal internetowy Rowerowa Mapa Polski, </w:t>
      </w:r>
      <w:r w:rsidRPr="00756D76">
        <w:rPr>
          <w:rFonts w:ascii="Times New Roman" w:hAnsi="Times New Roman" w:cs="Times New Roman"/>
        </w:rPr>
        <w:t>Nadburzański Szlak Rowerowy, velomapa.pl</w:t>
      </w:r>
    </w:p>
  </w:footnote>
  <w:footnote w:id="31">
    <w:p w14:paraId="2A15A4BD" w14:textId="77777777" w:rsidR="00071253" w:rsidRDefault="00071253" w:rsidP="00071253">
      <w:pPr>
        <w:pStyle w:val="Tekstprzypisudolnego"/>
      </w:pPr>
      <w:r w:rsidRPr="006E2CCE">
        <w:rPr>
          <w:rStyle w:val="Odwoanieprzypisudolnego"/>
        </w:rPr>
        <w:footnoteRef/>
      </w:r>
      <w:r w:rsidRPr="006E2CCE">
        <w:rPr>
          <w:rFonts w:ascii="Times New Roman" w:hAnsi="Times New Roman" w:cs="Times New Roman"/>
        </w:rPr>
        <w:t xml:space="preserve"> Kondracki J., </w:t>
      </w:r>
      <w:r w:rsidRPr="006E2CCE">
        <w:rPr>
          <w:rFonts w:ascii="Times New Roman" w:hAnsi="Times New Roman" w:cs="Times New Roman"/>
          <w:i/>
          <w:iCs/>
        </w:rPr>
        <w:t>Geografia regionalna Polski</w:t>
      </w:r>
      <w:r w:rsidRPr="006E2CCE">
        <w:rPr>
          <w:rFonts w:ascii="Times New Roman" w:hAnsi="Times New Roman" w:cs="Times New Roman"/>
        </w:rPr>
        <w:t>, 2002</w:t>
      </w:r>
      <w:r>
        <w:t xml:space="preserve">. </w:t>
      </w:r>
    </w:p>
  </w:footnote>
  <w:footnote w:id="32">
    <w:p w14:paraId="1B5DA59A" w14:textId="77777777" w:rsidR="00071253" w:rsidRPr="004B66FA" w:rsidRDefault="00071253" w:rsidP="00071253">
      <w:pPr>
        <w:pStyle w:val="Tekstprzypisudolnego"/>
        <w:rPr>
          <w:rFonts w:ascii="Times New Roman" w:hAnsi="Times New Roman" w:cs="Times New Roman"/>
        </w:rPr>
      </w:pPr>
      <w:r>
        <w:rPr>
          <w:rStyle w:val="Odwoanieprzypisudolnego"/>
        </w:rPr>
        <w:footnoteRef/>
      </w:r>
      <w:r>
        <w:t xml:space="preserve"> </w:t>
      </w:r>
      <w:r w:rsidRPr="004B66FA">
        <w:rPr>
          <w:rFonts w:ascii="Times New Roman" w:hAnsi="Times New Roman" w:cs="Times New Roman"/>
        </w:rPr>
        <w:t>Centralny Rejestr Form Ochrony Przyrody, Generalna Dyrekcja Ochrony Środowiska, crfop.gdos.gov.pl</w:t>
      </w:r>
    </w:p>
  </w:footnote>
  <w:footnote w:id="33">
    <w:p w14:paraId="72A6CE99" w14:textId="77777777" w:rsidR="00071253" w:rsidRDefault="00071253" w:rsidP="00071253">
      <w:pPr>
        <w:pStyle w:val="Tekstprzypisudolnego"/>
      </w:pPr>
      <w:r>
        <w:rPr>
          <w:rStyle w:val="Odwoanieprzypisudolnego"/>
        </w:rPr>
        <w:footnoteRef/>
      </w:r>
      <w:r>
        <w:t xml:space="preserve"> </w:t>
      </w:r>
      <w:r w:rsidRPr="00F563AF">
        <w:rPr>
          <w:rFonts w:ascii="Times New Roman" w:hAnsi="Times New Roman" w:cs="Times New Roman"/>
        </w:rPr>
        <w:t>Dane GUS za 202</w:t>
      </w:r>
      <w:r>
        <w:rPr>
          <w:rFonts w:ascii="Times New Roman" w:hAnsi="Times New Roman" w:cs="Times New Roman"/>
        </w:rPr>
        <w:t>0</w:t>
      </w:r>
      <w:r w:rsidRPr="00F563AF">
        <w:rPr>
          <w:rFonts w:ascii="Times New Roman" w:hAnsi="Times New Roman" w:cs="Times New Roman"/>
        </w:rPr>
        <w:t xml:space="preserve"> r.</w:t>
      </w:r>
    </w:p>
  </w:footnote>
  <w:footnote w:id="34">
    <w:p w14:paraId="3A05BA68" w14:textId="77777777" w:rsidR="001966CB" w:rsidRDefault="001966CB" w:rsidP="001966CB">
      <w:pPr>
        <w:pStyle w:val="Tekstprzypisudolnego"/>
      </w:pPr>
      <w:r w:rsidRPr="00654106">
        <w:rPr>
          <w:rStyle w:val="Odwoanieprzypisudolnego"/>
          <w:rFonts w:ascii="Times New Roman" w:hAnsi="Times New Roman" w:cs="Times New Roman"/>
        </w:rPr>
        <w:footnoteRef/>
      </w:r>
      <w:r w:rsidRPr="00654106">
        <w:rPr>
          <w:rFonts w:ascii="Times New Roman" w:hAnsi="Times New Roman" w:cs="Times New Roman"/>
        </w:rPr>
        <w:t xml:space="preserve"> </w:t>
      </w:r>
      <w:bookmarkStart w:id="83" w:name="_Hlk125096018"/>
      <w:r w:rsidRPr="0068562C">
        <w:rPr>
          <w:rFonts w:ascii="Times New Roman" w:hAnsi="Times New Roman" w:cs="Times New Roman"/>
        </w:rPr>
        <w:t xml:space="preserve">Zgodnie z załącznikiem nr 5 do Regulaminu konkursu na wybór LSR </w:t>
      </w:r>
      <w:r w:rsidRPr="0068562C">
        <w:rPr>
          <w:rFonts w:ascii="Times New Roman" w:hAnsi="Times New Roman" w:cs="Times New Roman"/>
          <w:i/>
          <w:iCs/>
        </w:rPr>
        <w:t>Kryteria wyboru LSR</w:t>
      </w:r>
      <w:bookmarkEnd w:id="83"/>
      <w:r w:rsidRPr="0068562C">
        <w:rPr>
          <w:rFonts w:ascii="Times New Roman" w:hAnsi="Times New Roman" w:cs="Times New Roman"/>
        </w:rPr>
        <w:t>, kryterium 5.</w:t>
      </w:r>
      <w:r>
        <w:rPr>
          <w:rFonts w:ascii="Times New Roman" w:hAnsi="Times New Roman" w:cs="Times New Roman"/>
        </w:rPr>
        <w:t>8.</w:t>
      </w:r>
    </w:p>
  </w:footnote>
  <w:footnote w:id="35">
    <w:p w14:paraId="0450B2A1" w14:textId="77777777" w:rsidR="00071253" w:rsidRDefault="00071253" w:rsidP="00071253">
      <w:pPr>
        <w:pStyle w:val="Tekstprzypisudolnego"/>
      </w:pPr>
      <w:r>
        <w:rPr>
          <w:rStyle w:val="Odwoanieprzypisudolnego"/>
        </w:rPr>
        <w:footnoteRef/>
      </w:r>
      <w:r>
        <w:t xml:space="preserve"> </w:t>
      </w:r>
      <w:r w:rsidRPr="00482966">
        <w:rPr>
          <w:rFonts w:ascii="Times New Roman" w:hAnsi="Times New Roman" w:cs="Times New Roman"/>
          <w:i/>
          <w:iCs/>
          <w:color w:val="000000"/>
        </w:rPr>
        <w:t>Roczna ocena jakości powietrza w województwie lubelskim – raport wojewódzki za rok 2021</w:t>
      </w:r>
      <w:r w:rsidRPr="00A7658E">
        <w:rPr>
          <w:rFonts w:ascii="Times New Roman" w:hAnsi="Times New Roman" w:cs="Times New Roman"/>
          <w:color w:val="000000"/>
        </w:rPr>
        <w:t>, s.</w:t>
      </w:r>
      <w:r>
        <w:rPr>
          <w:rFonts w:ascii="Times New Roman" w:hAnsi="Times New Roman" w:cs="Times New Roman"/>
          <w:color w:val="000000"/>
        </w:rPr>
        <w:t xml:space="preserve"> </w:t>
      </w:r>
      <w:r w:rsidRPr="00A7658E">
        <w:rPr>
          <w:rFonts w:ascii="Times New Roman" w:hAnsi="Times New Roman" w:cs="Times New Roman"/>
          <w:color w:val="000000"/>
        </w:rPr>
        <w:t>21</w:t>
      </w:r>
      <w:r>
        <w:rPr>
          <w:rFonts w:ascii="Times New Roman" w:hAnsi="Times New Roman" w:cs="Times New Roman"/>
          <w:color w:val="000000"/>
        </w:rPr>
        <w:t>.</w:t>
      </w:r>
    </w:p>
  </w:footnote>
  <w:footnote w:id="36">
    <w:p w14:paraId="6C1BC232" w14:textId="77777777" w:rsidR="00380AAD" w:rsidRDefault="00380AAD" w:rsidP="00380AAD">
      <w:pPr>
        <w:pStyle w:val="Tekstprzypisudolnego"/>
      </w:pPr>
      <w:r>
        <w:rPr>
          <w:rStyle w:val="Odwoanieprzypisudolnego"/>
        </w:rPr>
        <w:footnoteRef/>
      </w:r>
      <w:r>
        <w:t xml:space="preserve"> </w:t>
      </w:r>
      <w:r>
        <w:rPr>
          <w:rFonts w:ascii="Times New Roman" w:hAnsi="Times New Roman" w:cs="Times New Roman"/>
        </w:rPr>
        <w:t xml:space="preserve">Portal internetowy Rowerowa Mapa Polski, </w:t>
      </w:r>
      <w:r w:rsidRPr="00756D76">
        <w:rPr>
          <w:rFonts w:ascii="Times New Roman" w:hAnsi="Times New Roman" w:cs="Times New Roman"/>
        </w:rPr>
        <w:t>Nadburzański Szlak Rowerowy, velomapa.pl</w:t>
      </w:r>
    </w:p>
  </w:footnote>
  <w:footnote w:id="37">
    <w:p w14:paraId="7557A8D0" w14:textId="77F82A64" w:rsidR="00A17173" w:rsidRPr="00EB1F87" w:rsidRDefault="00A17173" w:rsidP="00A17173">
      <w:pPr>
        <w:pStyle w:val="Tekstprzypisudolnego"/>
        <w:jc w:val="both"/>
        <w:rPr>
          <w:rFonts w:ascii="Times New Roman" w:hAnsi="Times New Roman" w:cs="Times New Roman"/>
        </w:rPr>
      </w:pPr>
      <w:r w:rsidRPr="00EB1F87">
        <w:rPr>
          <w:rStyle w:val="Odwoanieprzypisudolnego"/>
          <w:rFonts w:ascii="Times New Roman" w:hAnsi="Times New Roman" w:cs="Times New Roman"/>
        </w:rPr>
        <w:footnoteRef/>
      </w:r>
      <w:r w:rsidRPr="00EB1F87">
        <w:rPr>
          <w:rFonts w:ascii="Times New Roman" w:hAnsi="Times New Roman" w:cs="Times New Roman"/>
        </w:rPr>
        <w:t xml:space="preserve"> </w:t>
      </w:r>
      <w:bookmarkStart w:id="84" w:name="_Hlk133484273"/>
      <w:r>
        <w:rPr>
          <w:rFonts w:ascii="Times New Roman" w:hAnsi="Times New Roman" w:cs="Times New Roman"/>
        </w:rPr>
        <w:t xml:space="preserve">Strona internetowa Ministerstwa Rolnictwa i Rozwoju Wsi, Lista produktów tradycyjnych, </w:t>
      </w:r>
      <w:r w:rsidRPr="003D3A0D">
        <w:rPr>
          <w:rFonts w:ascii="Times New Roman" w:hAnsi="Times New Roman" w:cs="Times New Roman"/>
        </w:rPr>
        <w:t>gov.pl/web/rolnictwo/woj-</w:t>
      </w:r>
      <w:r w:rsidR="00F120B3">
        <w:rPr>
          <w:rFonts w:ascii="Times New Roman" w:hAnsi="Times New Roman" w:cs="Times New Roman"/>
        </w:rPr>
        <w:t>lubelskie</w:t>
      </w:r>
      <w:r>
        <w:rPr>
          <w:rFonts w:ascii="Times New Roman" w:hAnsi="Times New Roman" w:cs="Times New Roman"/>
        </w:rPr>
        <w:t>, s</w:t>
      </w:r>
      <w:r w:rsidRPr="00EB1F87">
        <w:rPr>
          <w:rFonts w:ascii="Times New Roman" w:hAnsi="Times New Roman" w:cs="Times New Roman"/>
        </w:rPr>
        <w:t xml:space="preserve">tan na dzień </w:t>
      </w:r>
      <w:r w:rsidR="00F120B3">
        <w:rPr>
          <w:rFonts w:ascii="Times New Roman" w:hAnsi="Times New Roman" w:cs="Times New Roman"/>
        </w:rPr>
        <w:t>30</w:t>
      </w:r>
      <w:r w:rsidRPr="00EB1F87">
        <w:rPr>
          <w:rFonts w:ascii="Times New Roman" w:hAnsi="Times New Roman" w:cs="Times New Roman"/>
        </w:rPr>
        <w:t>.04.202</w:t>
      </w:r>
      <w:r>
        <w:rPr>
          <w:rFonts w:ascii="Times New Roman" w:hAnsi="Times New Roman" w:cs="Times New Roman"/>
        </w:rPr>
        <w:t>3</w:t>
      </w:r>
      <w:r w:rsidRPr="00EB1F87">
        <w:rPr>
          <w:rFonts w:ascii="Times New Roman" w:hAnsi="Times New Roman" w:cs="Times New Roman"/>
        </w:rPr>
        <w:t xml:space="preserve"> </w:t>
      </w:r>
      <w:r>
        <w:rPr>
          <w:rFonts w:ascii="Times New Roman" w:hAnsi="Times New Roman" w:cs="Times New Roman"/>
        </w:rPr>
        <w:t>r</w:t>
      </w:r>
      <w:bookmarkEnd w:id="84"/>
      <w:r>
        <w:rPr>
          <w:rFonts w:ascii="Times New Roman" w:hAnsi="Times New Roman" w:cs="Times New Roman"/>
        </w:rPr>
        <w:t xml:space="preserve">. </w:t>
      </w:r>
    </w:p>
  </w:footnote>
  <w:footnote w:id="38">
    <w:p w14:paraId="3EF4200F" w14:textId="4A81C68A" w:rsidR="00A17173" w:rsidRPr="00D6215D" w:rsidRDefault="00A17173" w:rsidP="00A17173">
      <w:pPr>
        <w:pStyle w:val="Tekstprzypisudolnego"/>
        <w:rPr>
          <w:rFonts w:ascii="Times New Roman" w:hAnsi="Times New Roman" w:cs="Times New Roman"/>
        </w:rPr>
      </w:pPr>
      <w:r w:rsidRPr="00D6215D">
        <w:rPr>
          <w:rStyle w:val="Odwoanieprzypisudolnego"/>
          <w:rFonts w:ascii="Times New Roman" w:hAnsi="Times New Roman" w:cs="Times New Roman"/>
        </w:rPr>
        <w:footnoteRef/>
      </w:r>
      <w:r>
        <w:t xml:space="preserve"> </w:t>
      </w:r>
      <w:r w:rsidRPr="00D6215D">
        <w:rPr>
          <w:rFonts w:ascii="Times New Roman" w:hAnsi="Times New Roman" w:cs="Times New Roman"/>
        </w:rPr>
        <w:t>Z</w:t>
      </w:r>
      <w:r w:rsidRPr="00D6215D">
        <w:rPr>
          <w:rStyle w:val="markedcontent"/>
          <w:rFonts w:ascii="Times New Roman" w:hAnsi="Times New Roman" w:cs="Times New Roman"/>
        </w:rPr>
        <w:t xml:space="preserve">ałącznik Nr 1 do Uchwały Nr </w:t>
      </w:r>
      <w:r w:rsidR="0036583C">
        <w:rPr>
          <w:rStyle w:val="markedcontent"/>
          <w:rFonts w:ascii="Times New Roman" w:hAnsi="Times New Roman" w:cs="Times New Roman"/>
        </w:rPr>
        <w:t>XI</w:t>
      </w:r>
      <w:r w:rsidRPr="00D6215D">
        <w:rPr>
          <w:rStyle w:val="markedcontent"/>
          <w:rFonts w:ascii="Times New Roman" w:hAnsi="Times New Roman" w:cs="Times New Roman"/>
        </w:rPr>
        <w:t>/</w:t>
      </w:r>
      <w:r w:rsidR="0036583C">
        <w:rPr>
          <w:rStyle w:val="markedcontent"/>
          <w:rFonts w:ascii="Times New Roman" w:hAnsi="Times New Roman" w:cs="Times New Roman"/>
        </w:rPr>
        <w:t>162</w:t>
      </w:r>
      <w:r w:rsidRPr="00D6215D">
        <w:rPr>
          <w:rStyle w:val="markedcontent"/>
          <w:rFonts w:ascii="Times New Roman" w:hAnsi="Times New Roman" w:cs="Times New Roman"/>
        </w:rPr>
        <w:t>/</w:t>
      </w:r>
      <w:r w:rsidR="0036583C">
        <w:rPr>
          <w:rStyle w:val="markedcontent"/>
          <w:rFonts w:ascii="Times New Roman" w:hAnsi="Times New Roman" w:cs="Times New Roman"/>
        </w:rPr>
        <w:t>2015</w:t>
      </w:r>
      <w:r w:rsidRPr="00D6215D">
        <w:rPr>
          <w:rStyle w:val="markedcontent"/>
          <w:rFonts w:ascii="Times New Roman" w:hAnsi="Times New Roman" w:cs="Times New Roman"/>
        </w:rPr>
        <w:t xml:space="preserve"> Sejmiku Województwa </w:t>
      </w:r>
      <w:r w:rsidR="0036583C">
        <w:rPr>
          <w:rStyle w:val="markedcontent"/>
          <w:rFonts w:ascii="Times New Roman" w:hAnsi="Times New Roman" w:cs="Times New Roman"/>
        </w:rPr>
        <w:t>Lubelskiego</w:t>
      </w:r>
      <w:r w:rsidRPr="00D6215D">
        <w:rPr>
          <w:rStyle w:val="markedcontent"/>
          <w:rFonts w:ascii="Times New Roman" w:hAnsi="Times New Roman" w:cs="Times New Roman"/>
        </w:rPr>
        <w:t xml:space="preserve"> z dnia </w:t>
      </w:r>
      <w:r w:rsidR="0036583C">
        <w:rPr>
          <w:rStyle w:val="markedcontent"/>
          <w:rFonts w:ascii="Times New Roman" w:hAnsi="Times New Roman" w:cs="Times New Roman"/>
        </w:rPr>
        <w:t>30 października 2015</w:t>
      </w:r>
      <w:r w:rsidRPr="00D6215D">
        <w:rPr>
          <w:rStyle w:val="markedcontent"/>
          <w:rFonts w:ascii="Times New Roman" w:hAnsi="Times New Roman" w:cs="Times New Roman"/>
        </w:rPr>
        <w:t xml:space="preserve">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C38"/>
    <w:multiLevelType w:val="hybridMultilevel"/>
    <w:tmpl w:val="69FA164C"/>
    <w:lvl w:ilvl="0" w:tplc="B8C4DD2A">
      <w:start w:val="1"/>
      <w:numFmt w:val="decimal"/>
      <w:lvlText w:val="%1."/>
      <w:lvlJc w:val="left"/>
      <w:pPr>
        <w:ind w:left="1429" w:hanging="360"/>
      </w:pPr>
      <w:rPr>
        <w:i w:val="0"/>
        <w:i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3A47DE"/>
    <w:multiLevelType w:val="hybridMultilevel"/>
    <w:tmpl w:val="FA2628C6"/>
    <w:lvl w:ilvl="0" w:tplc="A5286F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179DF"/>
    <w:multiLevelType w:val="hybridMultilevel"/>
    <w:tmpl w:val="7B04AAC8"/>
    <w:lvl w:ilvl="0" w:tplc="0415000F">
      <w:start w:val="1"/>
      <w:numFmt w:val="decimal"/>
      <w:lvlText w:val="%1."/>
      <w:lvlJc w:val="left"/>
      <w:pPr>
        <w:ind w:left="7318" w:hanging="360"/>
      </w:pPr>
    </w:lvl>
    <w:lvl w:ilvl="1" w:tplc="04150019" w:tentative="1">
      <w:start w:val="1"/>
      <w:numFmt w:val="lowerLetter"/>
      <w:lvlText w:val="%2."/>
      <w:lvlJc w:val="left"/>
      <w:pPr>
        <w:ind w:left="8038" w:hanging="360"/>
      </w:pPr>
    </w:lvl>
    <w:lvl w:ilvl="2" w:tplc="0415001B" w:tentative="1">
      <w:start w:val="1"/>
      <w:numFmt w:val="lowerRoman"/>
      <w:lvlText w:val="%3."/>
      <w:lvlJc w:val="right"/>
      <w:pPr>
        <w:ind w:left="8758" w:hanging="180"/>
      </w:pPr>
    </w:lvl>
    <w:lvl w:ilvl="3" w:tplc="0415000F" w:tentative="1">
      <w:start w:val="1"/>
      <w:numFmt w:val="decimal"/>
      <w:lvlText w:val="%4."/>
      <w:lvlJc w:val="left"/>
      <w:pPr>
        <w:ind w:left="9478" w:hanging="360"/>
      </w:pPr>
    </w:lvl>
    <w:lvl w:ilvl="4" w:tplc="04150019" w:tentative="1">
      <w:start w:val="1"/>
      <w:numFmt w:val="lowerLetter"/>
      <w:lvlText w:val="%5."/>
      <w:lvlJc w:val="left"/>
      <w:pPr>
        <w:ind w:left="10198" w:hanging="360"/>
      </w:pPr>
    </w:lvl>
    <w:lvl w:ilvl="5" w:tplc="0415001B" w:tentative="1">
      <w:start w:val="1"/>
      <w:numFmt w:val="lowerRoman"/>
      <w:lvlText w:val="%6."/>
      <w:lvlJc w:val="right"/>
      <w:pPr>
        <w:ind w:left="10918" w:hanging="180"/>
      </w:pPr>
    </w:lvl>
    <w:lvl w:ilvl="6" w:tplc="0415000F" w:tentative="1">
      <w:start w:val="1"/>
      <w:numFmt w:val="decimal"/>
      <w:lvlText w:val="%7."/>
      <w:lvlJc w:val="left"/>
      <w:pPr>
        <w:ind w:left="11638" w:hanging="360"/>
      </w:pPr>
    </w:lvl>
    <w:lvl w:ilvl="7" w:tplc="04150019" w:tentative="1">
      <w:start w:val="1"/>
      <w:numFmt w:val="lowerLetter"/>
      <w:lvlText w:val="%8."/>
      <w:lvlJc w:val="left"/>
      <w:pPr>
        <w:ind w:left="12358" w:hanging="360"/>
      </w:pPr>
    </w:lvl>
    <w:lvl w:ilvl="8" w:tplc="0415001B" w:tentative="1">
      <w:start w:val="1"/>
      <w:numFmt w:val="lowerRoman"/>
      <w:lvlText w:val="%9."/>
      <w:lvlJc w:val="right"/>
      <w:pPr>
        <w:ind w:left="13078" w:hanging="180"/>
      </w:pPr>
    </w:lvl>
  </w:abstractNum>
  <w:abstractNum w:abstractNumId="3" w15:restartNumberingAfterBreak="0">
    <w:nsid w:val="078B19B2"/>
    <w:multiLevelType w:val="hybridMultilevel"/>
    <w:tmpl w:val="F8C8AE66"/>
    <w:lvl w:ilvl="0" w:tplc="71D2274E">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4" w15:restartNumberingAfterBreak="0">
    <w:nsid w:val="0A16243F"/>
    <w:multiLevelType w:val="hybridMultilevel"/>
    <w:tmpl w:val="63C03D9A"/>
    <w:lvl w:ilvl="0" w:tplc="04F69EB0">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FE4C21"/>
    <w:multiLevelType w:val="hybridMultilevel"/>
    <w:tmpl w:val="801C56A6"/>
    <w:lvl w:ilvl="0" w:tplc="71D227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C74012A"/>
    <w:multiLevelType w:val="hybridMultilevel"/>
    <w:tmpl w:val="8C866982"/>
    <w:lvl w:ilvl="0" w:tplc="44840F1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8468C3"/>
    <w:multiLevelType w:val="hybridMultilevel"/>
    <w:tmpl w:val="798A24D8"/>
    <w:lvl w:ilvl="0" w:tplc="FFFFFFFF">
      <w:start w:val="1"/>
      <w:numFmt w:val="bullet"/>
      <w:lvlText w:val=""/>
      <w:lvlJc w:val="left"/>
      <w:pPr>
        <w:ind w:left="720" w:hanging="360"/>
      </w:pPr>
      <w:rPr>
        <w:rFonts w:ascii="Symbol" w:hAnsi="Symbol" w:hint="default"/>
      </w:rPr>
    </w:lvl>
    <w:lvl w:ilvl="1" w:tplc="71D2274E">
      <w:start w:val="1"/>
      <w:numFmt w:val="bullet"/>
      <w:lvlText w:val=""/>
      <w:lvlJc w:val="left"/>
      <w:pPr>
        <w:ind w:left="142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2E51693"/>
    <w:multiLevelType w:val="hybridMultilevel"/>
    <w:tmpl w:val="0C6AC1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2E0D5E"/>
    <w:multiLevelType w:val="hybridMultilevel"/>
    <w:tmpl w:val="06C06A8E"/>
    <w:lvl w:ilvl="0" w:tplc="2D848EF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86B05"/>
    <w:multiLevelType w:val="hybridMultilevel"/>
    <w:tmpl w:val="E3CE0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B37821"/>
    <w:multiLevelType w:val="hybridMultilevel"/>
    <w:tmpl w:val="CFCA1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85121"/>
    <w:multiLevelType w:val="hybridMultilevel"/>
    <w:tmpl w:val="6338B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5A5147"/>
    <w:multiLevelType w:val="hybridMultilevel"/>
    <w:tmpl w:val="2A5677EC"/>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14" w15:restartNumberingAfterBreak="0">
    <w:nsid w:val="1B681E4A"/>
    <w:multiLevelType w:val="hybridMultilevel"/>
    <w:tmpl w:val="7D4ADF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EEA2467"/>
    <w:multiLevelType w:val="multilevel"/>
    <w:tmpl w:val="410A778E"/>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D02EDF"/>
    <w:multiLevelType w:val="hybridMultilevel"/>
    <w:tmpl w:val="A48C2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300855"/>
    <w:multiLevelType w:val="hybridMultilevel"/>
    <w:tmpl w:val="3A3ECCA8"/>
    <w:lvl w:ilvl="0" w:tplc="71D227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0D530D3"/>
    <w:multiLevelType w:val="hybridMultilevel"/>
    <w:tmpl w:val="7A30E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1C95726"/>
    <w:multiLevelType w:val="hybridMultilevel"/>
    <w:tmpl w:val="25D8264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22053FC8"/>
    <w:multiLevelType w:val="hybridMultilevel"/>
    <w:tmpl w:val="2480AB66"/>
    <w:lvl w:ilvl="0" w:tplc="A4A86A78">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6485565"/>
    <w:multiLevelType w:val="hybridMultilevel"/>
    <w:tmpl w:val="46C2E80A"/>
    <w:lvl w:ilvl="0" w:tplc="FFFFFFFF">
      <w:start w:val="1"/>
      <w:numFmt w:val="decimal"/>
      <w:lvlText w:val="%1)"/>
      <w:lvlJc w:val="left"/>
      <w:pPr>
        <w:ind w:left="720" w:hanging="360"/>
      </w:pPr>
    </w:lvl>
    <w:lvl w:ilvl="1" w:tplc="718EE91E">
      <w:start w:val="1"/>
      <w:numFmt w:val="decimal"/>
      <w:lvlText w:val="%2."/>
      <w:lvlJc w:val="left"/>
      <w:pPr>
        <w:ind w:left="1353" w:hanging="360"/>
      </w:pPr>
      <w:rPr>
        <w:rFonts w:hint="default"/>
        <w:i w:val="0"/>
        <w:iCs w:val="0"/>
      </w:rPr>
    </w:lvl>
    <w:lvl w:ilvl="2" w:tplc="FFFFFFFF">
      <w:start w:val="3"/>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5C5863"/>
    <w:multiLevelType w:val="multilevel"/>
    <w:tmpl w:val="E71A5B86"/>
    <w:lvl w:ilvl="0">
      <w:start w:val="1"/>
      <w:numFmt w:val="decimal"/>
      <w:lvlText w:val="%1."/>
      <w:lvlJc w:val="left"/>
      <w:pPr>
        <w:ind w:left="1080" w:hanging="360"/>
      </w:pPr>
    </w:lvl>
    <w:lvl w:ilvl="1">
      <w:start w:val="1"/>
      <w:numFmt w:val="decimal"/>
      <w:isLgl/>
      <w:lvlText w:val="%1.%2."/>
      <w:lvlJc w:val="left"/>
      <w:pPr>
        <w:ind w:left="1080" w:hanging="360"/>
      </w:pPr>
      <w:rPr>
        <w:rFonts w:eastAsia="Times New Roman" w:hint="default"/>
        <w:i/>
        <w:sz w:val="20"/>
      </w:rPr>
    </w:lvl>
    <w:lvl w:ilvl="2">
      <w:start w:val="1"/>
      <w:numFmt w:val="decimal"/>
      <w:isLgl/>
      <w:lvlText w:val="%1.%2.%3."/>
      <w:lvlJc w:val="left"/>
      <w:pPr>
        <w:ind w:left="1440" w:hanging="720"/>
      </w:pPr>
      <w:rPr>
        <w:rFonts w:eastAsia="Times New Roman" w:hint="default"/>
        <w:i/>
        <w:sz w:val="20"/>
      </w:rPr>
    </w:lvl>
    <w:lvl w:ilvl="3">
      <w:start w:val="1"/>
      <w:numFmt w:val="decimal"/>
      <w:isLgl/>
      <w:lvlText w:val="%1.%2.%3.%4."/>
      <w:lvlJc w:val="left"/>
      <w:pPr>
        <w:ind w:left="1440" w:hanging="720"/>
      </w:pPr>
      <w:rPr>
        <w:rFonts w:eastAsia="Times New Roman" w:hint="default"/>
        <w:i/>
        <w:sz w:val="20"/>
      </w:rPr>
    </w:lvl>
    <w:lvl w:ilvl="4">
      <w:start w:val="1"/>
      <w:numFmt w:val="decimal"/>
      <w:isLgl/>
      <w:lvlText w:val="%1.%2.%3.%4.%5."/>
      <w:lvlJc w:val="left"/>
      <w:pPr>
        <w:ind w:left="1440" w:hanging="720"/>
      </w:pPr>
      <w:rPr>
        <w:rFonts w:eastAsia="Times New Roman" w:hint="default"/>
        <w:i/>
        <w:sz w:val="20"/>
      </w:rPr>
    </w:lvl>
    <w:lvl w:ilvl="5">
      <w:start w:val="1"/>
      <w:numFmt w:val="decimal"/>
      <w:isLgl/>
      <w:lvlText w:val="%1.%2.%3.%4.%5.%6."/>
      <w:lvlJc w:val="left"/>
      <w:pPr>
        <w:ind w:left="1800" w:hanging="1080"/>
      </w:pPr>
      <w:rPr>
        <w:rFonts w:eastAsia="Times New Roman" w:hint="default"/>
        <w:i/>
        <w:sz w:val="20"/>
      </w:rPr>
    </w:lvl>
    <w:lvl w:ilvl="6">
      <w:start w:val="1"/>
      <w:numFmt w:val="decimal"/>
      <w:isLgl/>
      <w:lvlText w:val="%1.%2.%3.%4.%5.%6.%7."/>
      <w:lvlJc w:val="left"/>
      <w:pPr>
        <w:ind w:left="1800" w:hanging="1080"/>
      </w:pPr>
      <w:rPr>
        <w:rFonts w:eastAsia="Times New Roman" w:hint="default"/>
        <w:i/>
        <w:sz w:val="20"/>
      </w:rPr>
    </w:lvl>
    <w:lvl w:ilvl="7">
      <w:start w:val="1"/>
      <w:numFmt w:val="decimal"/>
      <w:isLgl/>
      <w:lvlText w:val="%1.%2.%3.%4.%5.%6.%7.%8."/>
      <w:lvlJc w:val="left"/>
      <w:pPr>
        <w:ind w:left="1800" w:hanging="1080"/>
      </w:pPr>
      <w:rPr>
        <w:rFonts w:eastAsia="Times New Roman" w:hint="default"/>
        <w:i/>
        <w:sz w:val="20"/>
      </w:rPr>
    </w:lvl>
    <w:lvl w:ilvl="8">
      <w:start w:val="1"/>
      <w:numFmt w:val="decimal"/>
      <w:isLgl/>
      <w:lvlText w:val="%1.%2.%3.%4.%5.%6.%7.%8.%9."/>
      <w:lvlJc w:val="left"/>
      <w:pPr>
        <w:ind w:left="2160" w:hanging="1440"/>
      </w:pPr>
      <w:rPr>
        <w:rFonts w:eastAsia="Times New Roman" w:hint="default"/>
        <w:i/>
        <w:sz w:val="20"/>
      </w:rPr>
    </w:lvl>
  </w:abstractNum>
  <w:abstractNum w:abstractNumId="23" w15:restartNumberingAfterBreak="0">
    <w:nsid w:val="2F644759"/>
    <w:multiLevelType w:val="hybridMultilevel"/>
    <w:tmpl w:val="C6BE1348"/>
    <w:lvl w:ilvl="0" w:tplc="71D2274E">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310F4896"/>
    <w:multiLevelType w:val="hybridMultilevel"/>
    <w:tmpl w:val="267CF052"/>
    <w:lvl w:ilvl="0" w:tplc="44840F1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2965050"/>
    <w:multiLevelType w:val="hybridMultilevel"/>
    <w:tmpl w:val="C07C08EE"/>
    <w:lvl w:ilvl="0" w:tplc="0BDEA0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03029"/>
    <w:multiLevelType w:val="hybridMultilevel"/>
    <w:tmpl w:val="71D437E4"/>
    <w:lvl w:ilvl="0" w:tplc="04150015">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A2F4F6D"/>
    <w:multiLevelType w:val="hybridMultilevel"/>
    <w:tmpl w:val="66B0F908"/>
    <w:lvl w:ilvl="0" w:tplc="71D2274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406E050D"/>
    <w:multiLevelType w:val="hybridMultilevel"/>
    <w:tmpl w:val="0CDCB9CE"/>
    <w:lvl w:ilvl="0" w:tplc="71D2274E">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9" w15:restartNumberingAfterBreak="0">
    <w:nsid w:val="42EB6A67"/>
    <w:multiLevelType w:val="hybridMultilevel"/>
    <w:tmpl w:val="6EF2B6DC"/>
    <w:lvl w:ilvl="0" w:tplc="89DE9614">
      <w:start w:val="1"/>
      <w:numFmt w:val="decimal"/>
      <w:lvlText w:val="%1.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0" w15:restartNumberingAfterBreak="0">
    <w:nsid w:val="430C6065"/>
    <w:multiLevelType w:val="hybridMultilevel"/>
    <w:tmpl w:val="9ACC15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497D0F33"/>
    <w:multiLevelType w:val="hybridMultilevel"/>
    <w:tmpl w:val="DE342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462451"/>
    <w:multiLevelType w:val="hybridMultilevel"/>
    <w:tmpl w:val="E9808904"/>
    <w:lvl w:ilvl="0" w:tplc="71D2274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4A864834"/>
    <w:multiLevelType w:val="hybridMultilevel"/>
    <w:tmpl w:val="3E46707C"/>
    <w:lvl w:ilvl="0" w:tplc="FFFFFFFF">
      <w:start w:val="1"/>
      <w:numFmt w:val="bullet"/>
      <w:lvlText w:val=""/>
      <w:lvlJc w:val="left"/>
      <w:pPr>
        <w:ind w:left="720" w:hanging="360"/>
      </w:pPr>
      <w:rPr>
        <w:rFonts w:ascii="Symbol" w:hAnsi="Symbol" w:hint="default"/>
      </w:rPr>
    </w:lvl>
    <w:lvl w:ilvl="1" w:tplc="71D2274E">
      <w:start w:val="1"/>
      <w:numFmt w:val="bullet"/>
      <w:lvlText w:val=""/>
      <w:lvlJc w:val="left"/>
      <w:pPr>
        <w:ind w:left="142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1785F"/>
    <w:multiLevelType w:val="multilevel"/>
    <w:tmpl w:val="EEB05F5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C2149BC"/>
    <w:multiLevelType w:val="hybridMultilevel"/>
    <w:tmpl w:val="E7240DC2"/>
    <w:lvl w:ilvl="0" w:tplc="71D2274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4E874C82"/>
    <w:multiLevelType w:val="multilevel"/>
    <w:tmpl w:val="8782E80C"/>
    <w:lvl w:ilvl="0">
      <w:start w:val="1"/>
      <w:numFmt w:val="decimal"/>
      <w:lvlText w:val="%1."/>
      <w:lvlJc w:val="left"/>
      <w:pPr>
        <w:ind w:left="720" w:hanging="360"/>
      </w:pPr>
    </w:lvl>
    <w:lvl w:ilvl="1">
      <w:start w:val="1"/>
      <w:numFmt w:val="decimal"/>
      <w:isLgl/>
      <w:lvlText w:val="%1.%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080" w:hanging="720"/>
      </w:pPr>
      <w:rPr>
        <w:rFonts w:ascii="Times New Roman" w:eastAsia="Times New Roman" w:hAnsi="Times New Roman" w:cs="Times New Roman" w:hint="default"/>
        <w:b w:val="0"/>
      </w:rPr>
    </w:lvl>
    <w:lvl w:ilvl="4">
      <w:start w:val="1"/>
      <w:numFmt w:val="decimal"/>
      <w:isLgl/>
      <w:lvlText w:val="%1.%2.%3.%4.%5"/>
      <w:lvlJc w:val="left"/>
      <w:pPr>
        <w:ind w:left="1080" w:hanging="720"/>
      </w:pPr>
      <w:rPr>
        <w:rFonts w:ascii="Times New Roman" w:eastAsia="Times New Roman" w:hAnsi="Times New Roman" w:cs="Times New Roman" w:hint="default"/>
        <w:b w:val="0"/>
      </w:rPr>
    </w:lvl>
    <w:lvl w:ilvl="5">
      <w:start w:val="1"/>
      <w:numFmt w:val="decimal"/>
      <w:isLgl/>
      <w:lvlText w:val="%1.%2.%3.%4.%5.%6"/>
      <w:lvlJc w:val="left"/>
      <w:pPr>
        <w:ind w:left="1440" w:hanging="1080"/>
      </w:pPr>
      <w:rPr>
        <w:rFonts w:ascii="Times New Roman" w:eastAsia="Times New Roman" w:hAnsi="Times New Roman" w:cs="Times New Roman" w:hint="default"/>
        <w:b w:val="0"/>
      </w:rPr>
    </w:lvl>
    <w:lvl w:ilvl="6">
      <w:start w:val="1"/>
      <w:numFmt w:val="decimal"/>
      <w:isLgl/>
      <w:lvlText w:val="%1.%2.%3.%4.%5.%6.%7"/>
      <w:lvlJc w:val="left"/>
      <w:pPr>
        <w:ind w:left="1440" w:hanging="1080"/>
      </w:pPr>
      <w:rPr>
        <w:rFonts w:ascii="Times New Roman" w:eastAsia="Times New Roman" w:hAnsi="Times New Roman" w:cs="Times New Roman" w:hint="default"/>
        <w:b w:val="0"/>
      </w:rPr>
    </w:lvl>
    <w:lvl w:ilvl="7">
      <w:start w:val="1"/>
      <w:numFmt w:val="decimal"/>
      <w:isLgl/>
      <w:lvlText w:val="%1.%2.%3.%4.%5.%6.%7.%8"/>
      <w:lvlJc w:val="left"/>
      <w:pPr>
        <w:ind w:left="1800" w:hanging="1440"/>
      </w:pPr>
      <w:rPr>
        <w:rFonts w:ascii="Times New Roman" w:eastAsia="Times New Roman" w:hAnsi="Times New Roman" w:cs="Times New Roman" w:hint="default"/>
        <w:b w:val="0"/>
      </w:rPr>
    </w:lvl>
    <w:lvl w:ilvl="8">
      <w:start w:val="1"/>
      <w:numFmt w:val="decimal"/>
      <w:isLgl/>
      <w:lvlText w:val="%1.%2.%3.%4.%5.%6.%7.%8.%9"/>
      <w:lvlJc w:val="left"/>
      <w:pPr>
        <w:ind w:left="1800" w:hanging="1440"/>
      </w:pPr>
      <w:rPr>
        <w:rFonts w:ascii="Times New Roman" w:eastAsia="Times New Roman" w:hAnsi="Times New Roman" w:cs="Times New Roman" w:hint="default"/>
        <w:b w:val="0"/>
      </w:rPr>
    </w:lvl>
  </w:abstractNum>
  <w:abstractNum w:abstractNumId="37" w15:restartNumberingAfterBreak="0">
    <w:nsid w:val="524442F0"/>
    <w:multiLevelType w:val="hybridMultilevel"/>
    <w:tmpl w:val="7BB8AB26"/>
    <w:lvl w:ilvl="0" w:tplc="71D22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102F08"/>
    <w:multiLevelType w:val="hybridMultilevel"/>
    <w:tmpl w:val="4ED47A8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585A4712"/>
    <w:multiLevelType w:val="hybridMultilevel"/>
    <w:tmpl w:val="86D89248"/>
    <w:lvl w:ilvl="0" w:tplc="CA06C8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68490B"/>
    <w:multiLevelType w:val="hybridMultilevel"/>
    <w:tmpl w:val="920AF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4A2809"/>
    <w:multiLevelType w:val="hybridMultilevel"/>
    <w:tmpl w:val="203E5A52"/>
    <w:lvl w:ilvl="0" w:tplc="0415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3"/>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A0E024B"/>
    <w:multiLevelType w:val="hybridMultilevel"/>
    <w:tmpl w:val="5896C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55485"/>
    <w:multiLevelType w:val="hybridMultilevel"/>
    <w:tmpl w:val="7F2E99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CEF07A1"/>
    <w:multiLevelType w:val="hybridMultilevel"/>
    <w:tmpl w:val="13867E2C"/>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D2115F6"/>
    <w:multiLevelType w:val="hybridMultilevel"/>
    <w:tmpl w:val="0C6AC1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F5E71FF"/>
    <w:multiLevelType w:val="hybridMultilevel"/>
    <w:tmpl w:val="CD943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3C4199"/>
    <w:multiLevelType w:val="hybridMultilevel"/>
    <w:tmpl w:val="ADF89866"/>
    <w:lvl w:ilvl="0" w:tplc="71D2274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67D9468C"/>
    <w:multiLevelType w:val="multilevel"/>
    <w:tmpl w:val="4EE06246"/>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b/>
        <w:i/>
        <w:sz w:val="20"/>
      </w:rPr>
    </w:lvl>
    <w:lvl w:ilvl="2">
      <w:start w:val="1"/>
      <w:numFmt w:val="decimal"/>
      <w:isLgl/>
      <w:lvlText w:val="%1.%2.%3."/>
      <w:lvlJc w:val="left"/>
      <w:pPr>
        <w:ind w:left="1080" w:hanging="720"/>
      </w:pPr>
      <w:rPr>
        <w:rFonts w:eastAsia="Times New Roman" w:hint="default"/>
        <w:b/>
        <w:i/>
        <w:sz w:val="20"/>
      </w:rPr>
    </w:lvl>
    <w:lvl w:ilvl="3">
      <w:start w:val="1"/>
      <w:numFmt w:val="decimal"/>
      <w:isLgl/>
      <w:lvlText w:val="%1.%2.%3.%4."/>
      <w:lvlJc w:val="left"/>
      <w:pPr>
        <w:ind w:left="1080" w:hanging="720"/>
      </w:pPr>
      <w:rPr>
        <w:rFonts w:eastAsia="Times New Roman" w:hint="default"/>
        <w:b/>
        <w:i/>
        <w:sz w:val="20"/>
      </w:rPr>
    </w:lvl>
    <w:lvl w:ilvl="4">
      <w:start w:val="1"/>
      <w:numFmt w:val="decimal"/>
      <w:isLgl/>
      <w:lvlText w:val="%1.%2.%3.%4.%5."/>
      <w:lvlJc w:val="left"/>
      <w:pPr>
        <w:ind w:left="1080" w:hanging="720"/>
      </w:pPr>
      <w:rPr>
        <w:rFonts w:eastAsia="Times New Roman" w:hint="default"/>
        <w:b/>
        <w:i/>
        <w:sz w:val="20"/>
      </w:rPr>
    </w:lvl>
    <w:lvl w:ilvl="5">
      <w:start w:val="1"/>
      <w:numFmt w:val="decimal"/>
      <w:isLgl/>
      <w:lvlText w:val="%1.%2.%3.%4.%5.%6."/>
      <w:lvlJc w:val="left"/>
      <w:pPr>
        <w:ind w:left="1440" w:hanging="1080"/>
      </w:pPr>
      <w:rPr>
        <w:rFonts w:eastAsia="Times New Roman" w:hint="default"/>
        <w:b/>
        <w:i/>
        <w:sz w:val="20"/>
      </w:rPr>
    </w:lvl>
    <w:lvl w:ilvl="6">
      <w:start w:val="1"/>
      <w:numFmt w:val="decimal"/>
      <w:isLgl/>
      <w:lvlText w:val="%1.%2.%3.%4.%5.%6.%7."/>
      <w:lvlJc w:val="left"/>
      <w:pPr>
        <w:ind w:left="1440" w:hanging="1080"/>
      </w:pPr>
      <w:rPr>
        <w:rFonts w:eastAsia="Times New Roman" w:hint="default"/>
        <w:b/>
        <w:i/>
        <w:sz w:val="20"/>
      </w:rPr>
    </w:lvl>
    <w:lvl w:ilvl="7">
      <w:start w:val="1"/>
      <w:numFmt w:val="decimal"/>
      <w:isLgl/>
      <w:lvlText w:val="%1.%2.%3.%4.%5.%6.%7.%8."/>
      <w:lvlJc w:val="left"/>
      <w:pPr>
        <w:ind w:left="1440" w:hanging="1080"/>
      </w:pPr>
      <w:rPr>
        <w:rFonts w:eastAsia="Times New Roman" w:hint="default"/>
        <w:b/>
        <w:i/>
        <w:sz w:val="20"/>
      </w:rPr>
    </w:lvl>
    <w:lvl w:ilvl="8">
      <w:start w:val="1"/>
      <w:numFmt w:val="decimal"/>
      <w:isLgl/>
      <w:lvlText w:val="%1.%2.%3.%4.%5.%6.%7.%8.%9."/>
      <w:lvlJc w:val="left"/>
      <w:pPr>
        <w:ind w:left="1800" w:hanging="1440"/>
      </w:pPr>
      <w:rPr>
        <w:rFonts w:eastAsia="Times New Roman" w:hint="default"/>
        <w:b/>
        <w:i/>
        <w:sz w:val="20"/>
      </w:rPr>
    </w:lvl>
  </w:abstractNum>
  <w:abstractNum w:abstractNumId="49" w15:restartNumberingAfterBreak="0">
    <w:nsid w:val="69B2290B"/>
    <w:multiLevelType w:val="hybridMultilevel"/>
    <w:tmpl w:val="410A77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9B3388C"/>
    <w:multiLevelType w:val="hybridMultilevel"/>
    <w:tmpl w:val="3F14725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6C6B0CA2"/>
    <w:multiLevelType w:val="hybridMultilevel"/>
    <w:tmpl w:val="851AD9FE"/>
    <w:lvl w:ilvl="0" w:tplc="DC4CE072">
      <w:start w:val="1"/>
      <w:numFmt w:val="upperRoman"/>
      <w:pStyle w:val="Gwne"/>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BC39AE"/>
    <w:multiLevelType w:val="hybridMultilevel"/>
    <w:tmpl w:val="0BDA1E70"/>
    <w:lvl w:ilvl="0" w:tplc="6ED430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AE093F"/>
    <w:multiLevelType w:val="hybridMultilevel"/>
    <w:tmpl w:val="289E7C72"/>
    <w:lvl w:ilvl="0" w:tplc="71D2274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71D2274E">
      <w:start w:val="1"/>
      <w:numFmt w:val="bullet"/>
      <w:lvlText w:val=""/>
      <w:lvlJc w:val="left"/>
      <w:pPr>
        <w:ind w:left="1428" w:hanging="360"/>
      </w:pPr>
      <w:rPr>
        <w:rFonts w:ascii="Symbol" w:hAnsi="Symbol"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71423195"/>
    <w:multiLevelType w:val="hybridMultilevel"/>
    <w:tmpl w:val="AA7871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5271C10"/>
    <w:multiLevelType w:val="hybridMultilevel"/>
    <w:tmpl w:val="5D9ED89A"/>
    <w:lvl w:ilvl="0" w:tplc="71D2274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75CA2886"/>
    <w:multiLevelType w:val="multilevel"/>
    <w:tmpl w:val="439C30EA"/>
    <w:lvl w:ilvl="0">
      <w:start w:val="1"/>
      <w:numFmt w:val="decimal"/>
      <w:pStyle w:val="podnagowek"/>
      <w:lvlText w:val="%1."/>
      <w:lvlJc w:val="left"/>
      <w:pPr>
        <w:ind w:left="4755"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7E83EEB"/>
    <w:multiLevelType w:val="hybridMultilevel"/>
    <w:tmpl w:val="171001C6"/>
    <w:lvl w:ilvl="0" w:tplc="71D22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426E1A"/>
    <w:multiLevelType w:val="hybridMultilevel"/>
    <w:tmpl w:val="BF00EB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B6777F0"/>
    <w:multiLevelType w:val="hybridMultilevel"/>
    <w:tmpl w:val="E48A0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BBD445C"/>
    <w:multiLevelType w:val="hybridMultilevel"/>
    <w:tmpl w:val="1CF0729C"/>
    <w:lvl w:ilvl="0" w:tplc="53961E7C">
      <w:start w:val="1"/>
      <w:numFmt w:val="lowerLetter"/>
      <w:lvlText w:val="%1)"/>
      <w:lvlJc w:val="left"/>
      <w:pPr>
        <w:ind w:left="1428" w:hanging="360"/>
      </w:pPr>
      <w:rPr>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7DB60858"/>
    <w:multiLevelType w:val="hybridMultilevel"/>
    <w:tmpl w:val="8A705DEC"/>
    <w:lvl w:ilvl="0" w:tplc="04150013">
      <w:start w:val="1"/>
      <w:numFmt w:val="upperRoman"/>
      <w:lvlText w:val="%1."/>
      <w:lvlJc w:val="right"/>
      <w:pPr>
        <w:ind w:left="720" w:hanging="360"/>
      </w:pPr>
    </w:lvl>
    <w:lvl w:ilvl="1" w:tplc="A2785212">
      <w:start w:val="1"/>
      <w:numFmt w:val="decimal"/>
      <w:lvlText w:val="%2."/>
      <w:lvlJc w:val="left"/>
      <w:pPr>
        <w:ind w:left="1440" w:hanging="360"/>
      </w:pPr>
      <w:rPr>
        <w:rFonts w:hint="default"/>
      </w:rPr>
    </w:lvl>
    <w:lvl w:ilvl="2" w:tplc="321CD16E">
      <w:start w:val="3"/>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5839111">
    <w:abstractNumId w:val="6"/>
  </w:num>
  <w:num w:numId="2" w16cid:durableId="1209027881">
    <w:abstractNumId w:val="20"/>
  </w:num>
  <w:num w:numId="3" w16cid:durableId="1837184504">
    <w:abstractNumId w:val="45"/>
  </w:num>
  <w:num w:numId="4" w16cid:durableId="1631083388">
    <w:abstractNumId w:val="15"/>
  </w:num>
  <w:num w:numId="5" w16cid:durableId="1715888412">
    <w:abstractNumId w:val="26"/>
  </w:num>
  <w:num w:numId="6" w16cid:durableId="794449172">
    <w:abstractNumId w:val="27"/>
  </w:num>
  <w:num w:numId="7" w16cid:durableId="741177947">
    <w:abstractNumId w:val="51"/>
  </w:num>
  <w:num w:numId="8" w16cid:durableId="1208685173">
    <w:abstractNumId w:val="14"/>
  </w:num>
  <w:num w:numId="9" w16cid:durableId="1390493590">
    <w:abstractNumId w:val="56"/>
  </w:num>
  <w:num w:numId="10" w16cid:durableId="14066091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5231738">
    <w:abstractNumId w:val="48"/>
  </w:num>
  <w:num w:numId="12" w16cid:durableId="230234938">
    <w:abstractNumId w:val="16"/>
  </w:num>
  <w:num w:numId="13" w16cid:durableId="947739108">
    <w:abstractNumId w:val="0"/>
  </w:num>
  <w:num w:numId="14" w16cid:durableId="2125923941">
    <w:abstractNumId w:val="22"/>
  </w:num>
  <w:num w:numId="15" w16cid:durableId="312564384">
    <w:abstractNumId w:val="29"/>
  </w:num>
  <w:num w:numId="16" w16cid:durableId="1760906172">
    <w:abstractNumId w:val="34"/>
  </w:num>
  <w:num w:numId="17" w16cid:durableId="1598050969">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983405">
    <w:abstractNumId w:val="43"/>
  </w:num>
  <w:num w:numId="19" w16cid:durableId="1324820550">
    <w:abstractNumId w:val="55"/>
  </w:num>
  <w:num w:numId="20" w16cid:durableId="82379739">
    <w:abstractNumId w:val="53"/>
  </w:num>
  <w:num w:numId="21" w16cid:durableId="1350449317">
    <w:abstractNumId w:val="46"/>
  </w:num>
  <w:num w:numId="22" w16cid:durableId="1419402694">
    <w:abstractNumId w:val="13"/>
  </w:num>
  <w:num w:numId="23" w16cid:durableId="1053625989">
    <w:abstractNumId w:val="10"/>
  </w:num>
  <w:num w:numId="24" w16cid:durableId="734545141">
    <w:abstractNumId w:val="3"/>
  </w:num>
  <w:num w:numId="25" w16cid:durableId="54352491">
    <w:abstractNumId w:val="12"/>
  </w:num>
  <w:num w:numId="26" w16cid:durableId="2010911629">
    <w:abstractNumId w:val="58"/>
  </w:num>
  <w:num w:numId="27" w16cid:durableId="1154906794">
    <w:abstractNumId w:val="50"/>
  </w:num>
  <w:num w:numId="28" w16cid:durableId="347754023">
    <w:abstractNumId w:val="5"/>
  </w:num>
  <w:num w:numId="29" w16cid:durableId="1929456618">
    <w:abstractNumId w:val="28"/>
  </w:num>
  <w:num w:numId="30" w16cid:durableId="1528718391">
    <w:abstractNumId w:val="31"/>
  </w:num>
  <w:num w:numId="31" w16cid:durableId="1643342549">
    <w:abstractNumId w:val="37"/>
  </w:num>
  <w:num w:numId="32" w16cid:durableId="1095125994">
    <w:abstractNumId w:val="21"/>
  </w:num>
  <w:num w:numId="33" w16cid:durableId="562448976">
    <w:abstractNumId w:val="18"/>
  </w:num>
  <w:num w:numId="34" w16cid:durableId="772674285">
    <w:abstractNumId w:val="54"/>
  </w:num>
  <w:num w:numId="35" w16cid:durableId="1071929521">
    <w:abstractNumId w:val="61"/>
  </w:num>
  <w:num w:numId="36" w16cid:durableId="967129361">
    <w:abstractNumId w:val="60"/>
  </w:num>
  <w:num w:numId="37" w16cid:durableId="1911889649">
    <w:abstractNumId w:val="47"/>
  </w:num>
  <w:num w:numId="38" w16cid:durableId="932737976">
    <w:abstractNumId w:val="35"/>
  </w:num>
  <w:num w:numId="39" w16cid:durableId="415248136">
    <w:abstractNumId w:val="44"/>
  </w:num>
  <w:num w:numId="40" w16cid:durableId="2078356020">
    <w:abstractNumId w:val="42"/>
  </w:num>
  <w:num w:numId="41" w16cid:durableId="910893689">
    <w:abstractNumId w:val="33"/>
  </w:num>
  <w:num w:numId="42" w16cid:durableId="742067028">
    <w:abstractNumId w:val="7"/>
  </w:num>
  <w:num w:numId="43" w16cid:durableId="1440878839">
    <w:abstractNumId w:val="59"/>
  </w:num>
  <w:num w:numId="44" w16cid:durableId="1143498834">
    <w:abstractNumId w:val="40"/>
  </w:num>
  <w:num w:numId="45" w16cid:durableId="1258710524">
    <w:abstractNumId w:val="24"/>
  </w:num>
  <w:num w:numId="46" w16cid:durableId="1510489542">
    <w:abstractNumId w:val="23"/>
  </w:num>
  <w:num w:numId="47" w16cid:durableId="1564489811">
    <w:abstractNumId w:val="30"/>
  </w:num>
  <w:num w:numId="48" w16cid:durableId="2030980889">
    <w:abstractNumId w:val="17"/>
  </w:num>
  <w:num w:numId="49" w16cid:durableId="177088269">
    <w:abstractNumId w:val="38"/>
  </w:num>
  <w:num w:numId="50" w16cid:durableId="284316941">
    <w:abstractNumId w:val="19"/>
  </w:num>
  <w:num w:numId="51" w16cid:durableId="1245841856">
    <w:abstractNumId w:val="4"/>
  </w:num>
  <w:num w:numId="52" w16cid:durableId="1045181287">
    <w:abstractNumId w:val="32"/>
  </w:num>
  <w:num w:numId="53" w16cid:durableId="1180192459">
    <w:abstractNumId w:val="1"/>
  </w:num>
  <w:num w:numId="54" w16cid:durableId="412167773">
    <w:abstractNumId w:val="39"/>
  </w:num>
  <w:num w:numId="55" w16cid:durableId="1370959746">
    <w:abstractNumId w:val="25"/>
  </w:num>
  <w:num w:numId="56" w16cid:durableId="971595183">
    <w:abstractNumId w:val="9"/>
  </w:num>
  <w:num w:numId="57" w16cid:durableId="689142838">
    <w:abstractNumId w:val="57"/>
  </w:num>
  <w:num w:numId="58" w16cid:durableId="1924291248">
    <w:abstractNumId w:val="41"/>
  </w:num>
  <w:num w:numId="59" w16cid:durableId="1532842223">
    <w:abstractNumId w:val="2"/>
  </w:num>
  <w:num w:numId="60" w16cid:durableId="2084179860">
    <w:abstractNumId w:val="11"/>
  </w:num>
  <w:num w:numId="61" w16cid:durableId="330257341">
    <w:abstractNumId w:val="36"/>
  </w:num>
  <w:num w:numId="62" w16cid:durableId="1294015940">
    <w:abstractNumId w:val="56"/>
  </w:num>
  <w:num w:numId="63" w16cid:durableId="1470510220">
    <w:abstractNumId w:val="49"/>
  </w:num>
  <w:num w:numId="64" w16cid:durableId="380908295">
    <w:abstractNumId w:val="8"/>
  </w:num>
  <w:num w:numId="65" w16cid:durableId="1560550167">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73"/>
    <w:rsid w:val="000104ED"/>
    <w:rsid w:val="00012335"/>
    <w:rsid w:val="0001367D"/>
    <w:rsid w:val="00015FCF"/>
    <w:rsid w:val="0001601B"/>
    <w:rsid w:val="00024874"/>
    <w:rsid w:val="00025FC3"/>
    <w:rsid w:val="00026B8D"/>
    <w:rsid w:val="000317F6"/>
    <w:rsid w:val="0004157F"/>
    <w:rsid w:val="000422E7"/>
    <w:rsid w:val="000513F1"/>
    <w:rsid w:val="000529BC"/>
    <w:rsid w:val="0006514F"/>
    <w:rsid w:val="00065DA7"/>
    <w:rsid w:val="00071253"/>
    <w:rsid w:val="00072DE9"/>
    <w:rsid w:val="000761AD"/>
    <w:rsid w:val="0008142C"/>
    <w:rsid w:val="00081481"/>
    <w:rsid w:val="000826AC"/>
    <w:rsid w:val="0008353F"/>
    <w:rsid w:val="00085DEC"/>
    <w:rsid w:val="00086679"/>
    <w:rsid w:val="00090F4A"/>
    <w:rsid w:val="0009190E"/>
    <w:rsid w:val="00091AE5"/>
    <w:rsid w:val="000A51F6"/>
    <w:rsid w:val="000A6145"/>
    <w:rsid w:val="000B0033"/>
    <w:rsid w:val="000B3A59"/>
    <w:rsid w:val="000B690C"/>
    <w:rsid w:val="000B6F06"/>
    <w:rsid w:val="000C0B56"/>
    <w:rsid w:val="000D1B1B"/>
    <w:rsid w:val="000D2905"/>
    <w:rsid w:val="000D3C3D"/>
    <w:rsid w:val="000D501F"/>
    <w:rsid w:val="000D6E6E"/>
    <w:rsid w:val="000E5A01"/>
    <w:rsid w:val="000E5BBF"/>
    <w:rsid w:val="000E625D"/>
    <w:rsid w:val="000E7A3B"/>
    <w:rsid w:val="000F3558"/>
    <w:rsid w:val="000F4A13"/>
    <w:rsid w:val="00103554"/>
    <w:rsid w:val="00104431"/>
    <w:rsid w:val="00110EAE"/>
    <w:rsid w:val="00120561"/>
    <w:rsid w:val="00121A92"/>
    <w:rsid w:val="0012539D"/>
    <w:rsid w:val="001276CA"/>
    <w:rsid w:val="00142AF8"/>
    <w:rsid w:val="0015230F"/>
    <w:rsid w:val="00154170"/>
    <w:rsid w:val="00154CE6"/>
    <w:rsid w:val="0016133A"/>
    <w:rsid w:val="0016285D"/>
    <w:rsid w:val="00171A26"/>
    <w:rsid w:val="001744D2"/>
    <w:rsid w:val="00195AFA"/>
    <w:rsid w:val="00195FBC"/>
    <w:rsid w:val="001966CB"/>
    <w:rsid w:val="001969C9"/>
    <w:rsid w:val="001972CD"/>
    <w:rsid w:val="001A3707"/>
    <w:rsid w:val="001A4352"/>
    <w:rsid w:val="001B01CD"/>
    <w:rsid w:val="001B0545"/>
    <w:rsid w:val="001B17EC"/>
    <w:rsid w:val="001B589A"/>
    <w:rsid w:val="001B5F80"/>
    <w:rsid w:val="001C1E70"/>
    <w:rsid w:val="001C7EFF"/>
    <w:rsid w:val="001D5BF7"/>
    <w:rsid w:val="001E00E1"/>
    <w:rsid w:val="001E060A"/>
    <w:rsid w:val="001E4C29"/>
    <w:rsid w:val="001E56CB"/>
    <w:rsid w:val="001F4863"/>
    <w:rsid w:val="001F5CB9"/>
    <w:rsid w:val="001F7FD0"/>
    <w:rsid w:val="00201830"/>
    <w:rsid w:val="00206ABC"/>
    <w:rsid w:val="002113C7"/>
    <w:rsid w:val="00212137"/>
    <w:rsid w:val="00234273"/>
    <w:rsid w:val="0023484B"/>
    <w:rsid w:val="00240B81"/>
    <w:rsid w:val="002412F3"/>
    <w:rsid w:val="00241C61"/>
    <w:rsid w:val="00244E2C"/>
    <w:rsid w:val="00247CB2"/>
    <w:rsid w:val="00251B81"/>
    <w:rsid w:val="0025296B"/>
    <w:rsid w:val="00257F2B"/>
    <w:rsid w:val="00261D5E"/>
    <w:rsid w:val="00264791"/>
    <w:rsid w:val="00266D84"/>
    <w:rsid w:val="00277AEF"/>
    <w:rsid w:val="0028099E"/>
    <w:rsid w:val="00293649"/>
    <w:rsid w:val="002A4DAC"/>
    <w:rsid w:val="002B330D"/>
    <w:rsid w:val="002B51CD"/>
    <w:rsid w:val="002B716C"/>
    <w:rsid w:val="002B7D4B"/>
    <w:rsid w:val="002C1014"/>
    <w:rsid w:val="002C27AD"/>
    <w:rsid w:val="002D42F0"/>
    <w:rsid w:val="002D479A"/>
    <w:rsid w:val="002E1060"/>
    <w:rsid w:val="002E6A41"/>
    <w:rsid w:val="002F027B"/>
    <w:rsid w:val="002F2A28"/>
    <w:rsid w:val="002F2F97"/>
    <w:rsid w:val="0031203F"/>
    <w:rsid w:val="003126D0"/>
    <w:rsid w:val="0031458D"/>
    <w:rsid w:val="00325D22"/>
    <w:rsid w:val="0033011A"/>
    <w:rsid w:val="00330614"/>
    <w:rsid w:val="00331B1E"/>
    <w:rsid w:val="003354D6"/>
    <w:rsid w:val="003448FD"/>
    <w:rsid w:val="003467E8"/>
    <w:rsid w:val="003508E4"/>
    <w:rsid w:val="00351E5C"/>
    <w:rsid w:val="0035262C"/>
    <w:rsid w:val="00354717"/>
    <w:rsid w:val="00356078"/>
    <w:rsid w:val="00356D54"/>
    <w:rsid w:val="00362233"/>
    <w:rsid w:val="0036583C"/>
    <w:rsid w:val="003776ED"/>
    <w:rsid w:val="00380AAD"/>
    <w:rsid w:val="00382E08"/>
    <w:rsid w:val="00397D82"/>
    <w:rsid w:val="003A32C1"/>
    <w:rsid w:val="003A4D8D"/>
    <w:rsid w:val="003B08A7"/>
    <w:rsid w:val="003B3888"/>
    <w:rsid w:val="003B3C57"/>
    <w:rsid w:val="003C6E4E"/>
    <w:rsid w:val="003D1A36"/>
    <w:rsid w:val="003D1BC7"/>
    <w:rsid w:val="003D6A50"/>
    <w:rsid w:val="003E2ABA"/>
    <w:rsid w:val="003F32D7"/>
    <w:rsid w:val="003F63FF"/>
    <w:rsid w:val="00400A44"/>
    <w:rsid w:val="00401E54"/>
    <w:rsid w:val="00402079"/>
    <w:rsid w:val="004044FC"/>
    <w:rsid w:val="004126E1"/>
    <w:rsid w:val="00416D1A"/>
    <w:rsid w:val="00417CF3"/>
    <w:rsid w:val="00420E6B"/>
    <w:rsid w:val="004216CF"/>
    <w:rsid w:val="0042557E"/>
    <w:rsid w:val="00441F6B"/>
    <w:rsid w:val="00460149"/>
    <w:rsid w:val="00465095"/>
    <w:rsid w:val="00467831"/>
    <w:rsid w:val="0047259A"/>
    <w:rsid w:val="004740A7"/>
    <w:rsid w:val="00481FBE"/>
    <w:rsid w:val="00485640"/>
    <w:rsid w:val="00493B2F"/>
    <w:rsid w:val="004B40E2"/>
    <w:rsid w:val="004C216B"/>
    <w:rsid w:val="004C4A5D"/>
    <w:rsid w:val="004C5D15"/>
    <w:rsid w:val="004D3C28"/>
    <w:rsid w:val="004D67A3"/>
    <w:rsid w:val="004F3356"/>
    <w:rsid w:val="004F3B7A"/>
    <w:rsid w:val="004F632E"/>
    <w:rsid w:val="004F66E4"/>
    <w:rsid w:val="0050557E"/>
    <w:rsid w:val="00511358"/>
    <w:rsid w:val="00511B36"/>
    <w:rsid w:val="00511EEA"/>
    <w:rsid w:val="00515F4B"/>
    <w:rsid w:val="00523270"/>
    <w:rsid w:val="0052454A"/>
    <w:rsid w:val="00524BFE"/>
    <w:rsid w:val="00527C4F"/>
    <w:rsid w:val="00534B92"/>
    <w:rsid w:val="005371C7"/>
    <w:rsid w:val="00537E15"/>
    <w:rsid w:val="00545CD9"/>
    <w:rsid w:val="0055177D"/>
    <w:rsid w:val="005570E6"/>
    <w:rsid w:val="00560223"/>
    <w:rsid w:val="00563BB3"/>
    <w:rsid w:val="005646C5"/>
    <w:rsid w:val="00565B2A"/>
    <w:rsid w:val="005768A5"/>
    <w:rsid w:val="00587E23"/>
    <w:rsid w:val="00593C09"/>
    <w:rsid w:val="00595ECA"/>
    <w:rsid w:val="005978DC"/>
    <w:rsid w:val="005A1F77"/>
    <w:rsid w:val="005A4DD8"/>
    <w:rsid w:val="005A56EF"/>
    <w:rsid w:val="005B4DB2"/>
    <w:rsid w:val="005C295B"/>
    <w:rsid w:val="005C7E9E"/>
    <w:rsid w:val="005D4A71"/>
    <w:rsid w:val="005E6795"/>
    <w:rsid w:val="005E702C"/>
    <w:rsid w:val="005E7A69"/>
    <w:rsid w:val="005F7666"/>
    <w:rsid w:val="00600438"/>
    <w:rsid w:val="00600816"/>
    <w:rsid w:val="006023CD"/>
    <w:rsid w:val="00610835"/>
    <w:rsid w:val="00621218"/>
    <w:rsid w:val="0062385A"/>
    <w:rsid w:val="00625C64"/>
    <w:rsid w:val="00634E90"/>
    <w:rsid w:val="00646A4A"/>
    <w:rsid w:val="00651FB4"/>
    <w:rsid w:val="00654EC3"/>
    <w:rsid w:val="0065581C"/>
    <w:rsid w:val="00661FF5"/>
    <w:rsid w:val="006639CB"/>
    <w:rsid w:val="00666137"/>
    <w:rsid w:val="00671F71"/>
    <w:rsid w:val="00676D9C"/>
    <w:rsid w:val="00680D7F"/>
    <w:rsid w:val="00681F6B"/>
    <w:rsid w:val="0068213B"/>
    <w:rsid w:val="006826FB"/>
    <w:rsid w:val="006871E7"/>
    <w:rsid w:val="00691AB8"/>
    <w:rsid w:val="006930A4"/>
    <w:rsid w:val="006959D8"/>
    <w:rsid w:val="006A1E60"/>
    <w:rsid w:val="006A1F75"/>
    <w:rsid w:val="006A2253"/>
    <w:rsid w:val="006A4E5D"/>
    <w:rsid w:val="006B275B"/>
    <w:rsid w:val="006B2D4F"/>
    <w:rsid w:val="006B665C"/>
    <w:rsid w:val="006B7EDA"/>
    <w:rsid w:val="006C54B5"/>
    <w:rsid w:val="006D21FB"/>
    <w:rsid w:val="006D26B5"/>
    <w:rsid w:val="006E6F1B"/>
    <w:rsid w:val="006F0C94"/>
    <w:rsid w:val="006F2054"/>
    <w:rsid w:val="006F3922"/>
    <w:rsid w:val="006F6411"/>
    <w:rsid w:val="006F6DDB"/>
    <w:rsid w:val="00700AAA"/>
    <w:rsid w:val="00712E4B"/>
    <w:rsid w:val="00727F73"/>
    <w:rsid w:val="00730AC6"/>
    <w:rsid w:val="0073173F"/>
    <w:rsid w:val="00734998"/>
    <w:rsid w:val="007359D0"/>
    <w:rsid w:val="00735C02"/>
    <w:rsid w:val="00740354"/>
    <w:rsid w:val="00745EAA"/>
    <w:rsid w:val="0075533E"/>
    <w:rsid w:val="00757F5D"/>
    <w:rsid w:val="00764FAB"/>
    <w:rsid w:val="00791E19"/>
    <w:rsid w:val="00792F24"/>
    <w:rsid w:val="007952FB"/>
    <w:rsid w:val="00796405"/>
    <w:rsid w:val="00796E23"/>
    <w:rsid w:val="007A7C34"/>
    <w:rsid w:val="007B4EAA"/>
    <w:rsid w:val="007B67F3"/>
    <w:rsid w:val="007C0F05"/>
    <w:rsid w:val="007C71D8"/>
    <w:rsid w:val="007D16B1"/>
    <w:rsid w:val="007F353C"/>
    <w:rsid w:val="007F3D8E"/>
    <w:rsid w:val="007F6517"/>
    <w:rsid w:val="00800310"/>
    <w:rsid w:val="0080794E"/>
    <w:rsid w:val="00811783"/>
    <w:rsid w:val="00812E5A"/>
    <w:rsid w:val="00813AD1"/>
    <w:rsid w:val="00817ACC"/>
    <w:rsid w:val="00825C88"/>
    <w:rsid w:val="008413B6"/>
    <w:rsid w:val="00844A39"/>
    <w:rsid w:val="0084722A"/>
    <w:rsid w:val="008546D9"/>
    <w:rsid w:val="00856DC0"/>
    <w:rsid w:val="008622F1"/>
    <w:rsid w:val="00872F75"/>
    <w:rsid w:val="00874D5A"/>
    <w:rsid w:val="008752BD"/>
    <w:rsid w:val="008844D2"/>
    <w:rsid w:val="00885C1E"/>
    <w:rsid w:val="008979D5"/>
    <w:rsid w:val="008A03E1"/>
    <w:rsid w:val="008A2804"/>
    <w:rsid w:val="008A7D58"/>
    <w:rsid w:val="008B134E"/>
    <w:rsid w:val="008C11C2"/>
    <w:rsid w:val="008C15D9"/>
    <w:rsid w:val="008C3E47"/>
    <w:rsid w:val="008C573B"/>
    <w:rsid w:val="008D36E4"/>
    <w:rsid w:val="008E67DE"/>
    <w:rsid w:val="008E681A"/>
    <w:rsid w:val="008E71F4"/>
    <w:rsid w:val="008F0826"/>
    <w:rsid w:val="008F0AF3"/>
    <w:rsid w:val="008F0E43"/>
    <w:rsid w:val="008F1A05"/>
    <w:rsid w:val="008F34ED"/>
    <w:rsid w:val="008F37C5"/>
    <w:rsid w:val="008F592F"/>
    <w:rsid w:val="00911300"/>
    <w:rsid w:val="00917BC5"/>
    <w:rsid w:val="00921B68"/>
    <w:rsid w:val="009260A3"/>
    <w:rsid w:val="0092619F"/>
    <w:rsid w:val="009315C8"/>
    <w:rsid w:val="009344C3"/>
    <w:rsid w:val="00935659"/>
    <w:rsid w:val="009408B5"/>
    <w:rsid w:val="00941E30"/>
    <w:rsid w:val="0094673B"/>
    <w:rsid w:val="00947E97"/>
    <w:rsid w:val="0095093B"/>
    <w:rsid w:val="00955432"/>
    <w:rsid w:val="009604DA"/>
    <w:rsid w:val="00966C2B"/>
    <w:rsid w:val="009756E0"/>
    <w:rsid w:val="00975DC8"/>
    <w:rsid w:val="0098161B"/>
    <w:rsid w:val="009870D8"/>
    <w:rsid w:val="0098762F"/>
    <w:rsid w:val="00990735"/>
    <w:rsid w:val="00990C31"/>
    <w:rsid w:val="009A453A"/>
    <w:rsid w:val="009C2472"/>
    <w:rsid w:val="009C564A"/>
    <w:rsid w:val="009C69A3"/>
    <w:rsid w:val="009D0074"/>
    <w:rsid w:val="009D31D7"/>
    <w:rsid w:val="009E333B"/>
    <w:rsid w:val="009F69E3"/>
    <w:rsid w:val="00A04FE5"/>
    <w:rsid w:val="00A11F3A"/>
    <w:rsid w:val="00A17173"/>
    <w:rsid w:val="00A20DAF"/>
    <w:rsid w:val="00A30EA5"/>
    <w:rsid w:val="00A31CEC"/>
    <w:rsid w:val="00A32E9A"/>
    <w:rsid w:val="00A45CF9"/>
    <w:rsid w:val="00A62189"/>
    <w:rsid w:val="00A62F6C"/>
    <w:rsid w:val="00A63AAD"/>
    <w:rsid w:val="00A6572B"/>
    <w:rsid w:val="00A671CB"/>
    <w:rsid w:val="00A7277F"/>
    <w:rsid w:val="00A72D7B"/>
    <w:rsid w:val="00A760CC"/>
    <w:rsid w:val="00A83A23"/>
    <w:rsid w:val="00A83E5F"/>
    <w:rsid w:val="00A859BB"/>
    <w:rsid w:val="00A92DDA"/>
    <w:rsid w:val="00AA1C72"/>
    <w:rsid w:val="00AB49B3"/>
    <w:rsid w:val="00AC03D6"/>
    <w:rsid w:val="00AC3440"/>
    <w:rsid w:val="00AC4AC7"/>
    <w:rsid w:val="00AE0DB4"/>
    <w:rsid w:val="00AE646D"/>
    <w:rsid w:val="00AE69AA"/>
    <w:rsid w:val="00AF2C22"/>
    <w:rsid w:val="00AF7147"/>
    <w:rsid w:val="00B10A37"/>
    <w:rsid w:val="00B163F9"/>
    <w:rsid w:val="00B16FF3"/>
    <w:rsid w:val="00B1710A"/>
    <w:rsid w:val="00B27FCB"/>
    <w:rsid w:val="00B332D6"/>
    <w:rsid w:val="00B42D83"/>
    <w:rsid w:val="00B56B71"/>
    <w:rsid w:val="00B61613"/>
    <w:rsid w:val="00B731D7"/>
    <w:rsid w:val="00B75EC5"/>
    <w:rsid w:val="00B800C0"/>
    <w:rsid w:val="00B823CA"/>
    <w:rsid w:val="00B831EF"/>
    <w:rsid w:val="00B83EFB"/>
    <w:rsid w:val="00B84E0F"/>
    <w:rsid w:val="00B84F49"/>
    <w:rsid w:val="00B9077E"/>
    <w:rsid w:val="00B93ED0"/>
    <w:rsid w:val="00B97DAF"/>
    <w:rsid w:val="00BA4531"/>
    <w:rsid w:val="00BA4D76"/>
    <w:rsid w:val="00BA503E"/>
    <w:rsid w:val="00BB2C35"/>
    <w:rsid w:val="00BC3391"/>
    <w:rsid w:val="00BC6F5F"/>
    <w:rsid w:val="00BC73E1"/>
    <w:rsid w:val="00BD2272"/>
    <w:rsid w:val="00BE1A36"/>
    <w:rsid w:val="00BE350C"/>
    <w:rsid w:val="00BE6BCB"/>
    <w:rsid w:val="00BF00AF"/>
    <w:rsid w:val="00BF756F"/>
    <w:rsid w:val="00C01880"/>
    <w:rsid w:val="00C0554D"/>
    <w:rsid w:val="00C07237"/>
    <w:rsid w:val="00C07BDA"/>
    <w:rsid w:val="00C1289E"/>
    <w:rsid w:val="00C13D77"/>
    <w:rsid w:val="00C17DC9"/>
    <w:rsid w:val="00C20037"/>
    <w:rsid w:val="00C23A5B"/>
    <w:rsid w:val="00C320F4"/>
    <w:rsid w:val="00C32A3F"/>
    <w:rsid w:val="00C36141"/>
    <w:rsid w:val="00C43865"/>
    <w:rsid w:val="00C47A79"/>
    <w:rsid w:val="00C600C2"/>
    <w:rsid w:val="00C75098"/>
    <w:rsid w:val="00C859B7"/>
    <w:rsid w:val="00C907C9"/>
    <w:rsid w:val="00CB187B"/>
    <w:rsid w:val="00CB33D8"/>
    <w:rsid w:val="00CC19BF"/>
    <w:rsid w:val="00CC1E21"/>
    <w:rsid w:val="00CD0B7F"/>
    <w:rsid w:val="00CD2D87"/>
    <w:rsid w:val="00CD2FC2"/>
    <w:rsid w:val="00CD3B9D"/>
    <w:rsid w:val="00CD53CB"/>
    <w:rsid w:val="00CD6EF6"/>
    <w:rsid w:val="00CE2EDC"/>
    <w:rsid w:val="00CE69D1"/>
    <w:rsid w:val="00CE7AD6"/>
    <w:rsid w:val="00CF301F"/>
    <w:rsid w:val="00CF706F"/>
    <w:rsid w:val="00D014DB"/>
    <w:rsid w:val="00D20329"/>
    <w:rsid w:val="00D251D8"/>
    <w:rsid w:val="00D30F94"/>
    <w:rsid w:val="00D341FB"/>
    <w:rsid w:val="00D5258E"/>
    <w:rsid w:val="00D541D2"/>
    <w:rsid w:val="00D577E5"/>
    <w:rsid w:val="00D6278A"/>
    <w:rsid w:val="00D83D9E"/>
    <w:rsid w:val="00D94122"/>
    <w:rsid w:val="00D960CE"/>
    <w:rsid w:val="00DA51C0"/>
    <w:rsid w:val="00DA78DE"/>
    <w:rsid w:val="00DB2574"/>
    <w:rsid w:val="00DB4A98"/>
    <w:rsid w:val="00DB7746"/>
    <w:rsid w:val="00DC1E0D"/>
    <w:rsid w:val="00DC5C3F"/>
    <w:rsid w:val="00DC62CB"/>
    <w:rsid w:val="00DE0E0D"/>
    <w:rsid w:val="00DE3BDE"/>
    <w:rsid w:val="00DF11E4"/>
    <w:rsid w:val="00DF1FA6"/>
    <w:rsid w:val="00E0087F"/>
    <w:rsid w:val="00E033F2"/>
    <w:rsid w:val="00E041C6"/>
    <w:rsid w:val="00E30945"/>
    <w:rsid w:val="00E36C64"/>
    <w:rsid w:val="00E4670C"/>
    <w:rsid w:val="00E50B54"/>
    <w:rsid w:val="00E53613"/>
    <w:rsid w:val="00E53B3F"/>
    <w:rsid w:val="00E55CEF"/>
    <w:rsid w:val="00E606D8"/>
    <w:rsid w:val="00E708E4"/>
    <w:rsid w:val="00E746C4"/>
    <w:rsid w:val="00E7576F"/>
    <w:rsid w:val="00E75D94"/>
    <w:rsid w:val="00E860C3"/>
    <w:rsid w:val="00E97B84"/>
    <w:rsid w:val="00EA22F0"/>
    <w:rsid w:val="00EB440A"/>
    <w:rsid w:val="00EB47AB"/>
    <w:rsid w:val="00EB7520"/>
    <w:rsid w:val="00ED253E"/>
    <w:rsid w:val="00ED359B"/>
    <w:rsid w:val="00EE1575"/>
    <w:rsid w:val="00EE5304"/>
    <w:rsid w:val="00EF2667"/>
    <w:rsid w:val="00EF4A59"/>
    <w:rsid w:val="00F010F9"/>
    <w:rsid w:val="00F04550"/>
    <w:rsid w:val="00F053D6"/>
    <w:rsid w:val="00F06DB0"/>
    <w:rsid w:val="00F120B3"/>
    <w:rsid w:val="00F14811"/>
    <w:rsid w:val="00F2229F"/>
    <w:rsid w:val="00F27937"/>
    <w:rsid w:val="00F35EB5"/>
    <w:rsid w:val="00F46207"/>
    <w:rsid w:val="00F46D3D"/>
    <w:rsid w:val="00F47584"/>
    <w:rsid w:val="00F5145F"/>
    <w:rsid w:val="00F5301B"/>
    <w:rsid w:val="00F66A19"/>
    <w:rsid w:val="00F7466A"/>
    <w:rsid w:val="00F80629"/>
    <w:rsid w:val="00F86A4C"/>
    <w:rsid w:val="00FB27CB"/>
    <w:rsid w:val="00FB2F5C"/>
    <w:rsid w:val="00FB3B94"/>
    <w:rsid w:val="00FC493E"/>
    <w:rsid w:val="00FC6A1E"/>
    <w:rsid w:val="00FC6EC6"/>
    <w:rsid w:val="00FD6AFC"/>
    <w:rsid w:val="00FE5E53"/>
    <w:rsid w:val="00FF4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55E23"/>
  <w15:chartTrackingRefBased/>
  <w15:docId w15:val="{16A7A852-16BE-40E6-8976-AC3BFF11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173"/>
    <w:rPr>
      <w:kern w:val="0"/>
      <w14:ligatures w14:val="none"/>
    </w:rPr>
  </w:style>
  <w:style w:type="paragraph" w:styleId="Nagwek1">
    <w:name w:val="heading 1"/>
    <w:basedOn w:val="Normalny"/>
    <w:next w:val="Normalny"/>
    <w:link w:val="Nagwek1Znak"/>
    <w:uiPriority w:val="9"/>
    <w:qFormat/>
    <w:rsid w:val="00A17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F47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7173"/>
    <w:rPr>
      <w:rFonts w:asciiTheme="majorHAnsi" w:eastAsiaTheme="majorEastAsia" w:hAnsiTheme="majorHAnsi" w:cstheme="majorBidi"/>
      <w:color w:val="2F5496" w:themeColor="accent1" w:themeShade="BF"/>
      <w:kern w:val="0"/>
      <w:sz w:val="32"/>
      <w:szCs w:val="32"/>
      <w14:ligatures w14:val="none"/>
    </w:rPr>
  </w:style>
  <w:style w:type="paragraph" w:styleId="Akapitzlist">
    <w:name w:val="List Paragraph"/>
    <w:aliases w:val="Normal,Akapit z listą3,Akapit z listą31,Akapit z listą BS,Numerowanie,List Paragraph,Kolorowa lista — akcent 11,Signature,Podpis1,BulletC,Table of contents numbered,maz_wyliczenie,opis dzialania,K-P_odwolanie,A_wyliczenie,Akapit z listą5"/>
    <w:basedOn w:val="Normalny"/>
    <w:link w:val="AkapitzlistZnak"/>
    <w:uiPriority w:val="34"/>
    <w:qFormat/>
    <w:rsid w:val="00A17173"/>
    <w:pPr>
      <w:ind w:left="720"/>
      <w:contextualSpacing/>
    </w:pPr>
  </w:style>
  <w:style w:type="paragraph" w:styleId="Legenda">
    <w:name w:val="caption"/>
    <w:aliases w:val="Tabela,Legenda Znak Znak Znak,Legenda Znak Znak,Legenda Znak Znak Znak Znak,Legenda Znak Znak Znak Znak Znak Znak,Legenda Znak Znak Znak Znak Znak Znak Znak,Legenda Znak Znak Znak Znak Znak Znak Znak Znak Znak Z,Legenda Znak Z,Tabela nagłówek"/>
    <w:basedOn w:val="Normalny"/>
    <w:next w:val="Normalny"/>
    <w:link w:val="LegendaZnak"/>
    <w:uiPriority w:val="35"/>
    <w:unhideWhenUsed/>
    <w:qFormat/>
    <w:rsid w:val="00A17173"/>
    <w:pPr>
      <w:spacing w:after="200" w:line="240" w:lineRule="auto"/>
    </w:pPr>
    <w:rPr>
      <w:i/>
      <w:iCs/>
      <w:color w:val="44546A" w:themeColor="text2"/>
      <w:sz w:val="18"/>
      <w:szCs w:val="18"/>
    </w:rPr>
  </w:style>
  <w:style w:type="paragraph" w:styleId="Tekstprzypisudolnego">
    <w:name w:val="footnote text"/>
    <w:basedOn w:val="Normalny"/>
    <w:link w:val="TekstprzypisudolnegoZnak"/>
    <w:uiPriority w:val="99"/>
    <w:unhideWhenUsed/>
    <w:rsid w:val="00A171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17173"/>
    <w:rPr>
      <w:kern w:val="0"/>
      <w:sz w:val="20"/>
      <w:szCs w:val="20"/>
      <w14:ligatures w14:val="none"/>
    </w:rPr>
  </w:style>
  <w:style w:type="character" w:styleId="Odwoanieprzypisudolnego">
    <w:name w:val="footnote reference"/>
    <w:basedOn w:val="Domylnaczcionkaakapitu"/>
    <w:uiPriority w:val="99"/>
    <w:unhideWhenUsed/>
    <w:rsid w:val="00A17173"/>
    <w:rPr>
      <w:vertAlign w:val="superscript"/>
    </w:rPr>
  </w:style>
  <w:style w:type="paragraph" w:styleId="Tekstprzypisukocowego">
    <w:name w:val="endnote text"/>
    <w:basedOn w:val="Normalny"/>
    <w:link w:val="TekstprzypisukocowegoZnak"/>
    <w:uiPriority w:val="99"/>
    <w:semiHidden/>
    <w:unhideWhenUsed/>
    <w:rsid w:val="00A17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7173"/>
    <w:rPr>
      <w:kern w:val="0"/>
      <w:sz w:val="20"/>
      <w:szCs w:val="20"/>
      <w14:ligatures w14:val="none"/>
    </w:rPr>
  </w:style>
  <w:style w:type="character" w:styleId="Odwoanieprzypisukocowego">
    <w:name w:val="endnote reference"/>
    <w:basedOn w:val="Domylnaczcionkaakapitu"/>
    <w:uiPriority w:val="99"/>
    <w:semiHidden/>
    <w:unhideWhenUsed/>
    <w:rsid w:val="00A17173"/>
    <w:rPr>
      <w:vertAlign w:val="superscript"/>
    </w:rPr>
  </w:style>
  <w:style w:type="character" w:customStyle="1" w:styleId="markedcontent">
    <w:name w:val="markedcontent"/>
    <w:basedOn w:val="Domylnaczcionkaakapitu"/>
    <w:rsid w:val="00A17173"/>
  </w:style>
  <w:style w:type="paragraph" w:customStyle="1" w:styleId="Default">
    <w:name w:val="Default"/>
    <w:rsid w:val="00A1717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agwek">
    <w:name w:val="header"/>
    <w:basedOn w:val="Normalny"/>
    <w:link w:val="NagwekZnak"/>
    <w:uiPriority w:val="99"/>
    <w:unhideWhenUsed/>
    <w:rsid w:val="00A171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7173"/>
    <w:rPr>
      <w:kern w:val="0"/>
      <w14:ligatures w14:val="none"/>
    </w:rPr>
  </w:style>
  <w:style w:type="paragraph" w:styleId="Stopka">
    <w:name w:val="footer"/>
    <w:basedOn w:val="Normalny"/>
    <w:link w:val="StopkaZnak"/>
    <w:uiPriority w:val="99"/>
    <w:unhideWhenUsed/>
    <w:rsid w:val="00A171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7173"/>
    <w:rPr>
      <w:kern w:val="0"/>
      <w14:ligatures w14:val="none"/>
    </w:rPr>
  </w:style>
  <w:style w:type="table" w:styleId="Tabela-Siatka">
    <w:name w:val="Table Grid"/>
    <w:basedOn w:val="Standardowy"/>
    <w:uiPriority w:val="59"/>
    <w:rsid w:val="00A1717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A17173"/>
    <w:pPr>
      <w:numPr>
        <w:numId w:val="4"/>
      </w:numPr>
    </w:pPr>
  </w:style>
  <w:style w:type="paragraph" w:customStyle="1" w:styleId="Styl2">
    <w:name w:val="Styl2"/>
    <w:basedOn w:val="Normalny"/>
    <w:link w:val="Styl2Znak"/>
    <w:qFormat/>
    <w:rsid w:val="00A17173"/>
    <w:pPr>
      <w:spacing w:after="0" w:line="360" w:lineRule="auto"/>
    </w:pPr>
    <w:rPr>
      <w:rFonts w:ascii="Times New Roman" w:hAnsi="Times New Roman" w:cs="Times New Roman"/>
      <w:sz w:val="24"/>
      <w:szCs w:val="24"/>
      <w:lang w:bidi="en-US"/>
    </w:rPr>
  </w:style>
  <w:style w:type="character" w:customStyle="1" w:styleId="Styl2Znak">
    <w:name w:val="Styl2 Znak"/>
    <w:basedOn w:val="Domylnaczcionkaakapitu"/>
    <w:link w:val="Styl2"/>
    <w:rsid w:val="00A17173"/>
    <w:rPr>
      <w:rFonts w:ascii="Times New Roman" w:hAnsi="Times New Roman" w:cs="Times New Roman"/>
      <w:kern w:val="0"/>
      <w:sz w:val="24"/>
      <w:szCs w:val="24"/>
      <w:lang w:bidi="en-US"/>
      <w14:ligatures w14:val="none"/>
    </w:rPr>
  </w:style>
  <w:style w:type="paragraph" w:styleId="Nagwekspisutreci">
    <w:name w:val="TOC Heading"/>
    <w:basedOn w:val="Nagwek1"/>
    <w:next w:val="Normalny"/>
    <w:uiPriority w:val="39"/>
    <w:unhideWhenUsed/>
    <w:qFormat/>
    <w:rsid w:val="00A17173"/>
    <w:pPr>
      <w:outlineLvl w:val="9"/>
    </w:pPr>
    <w:rPr>
      <w:lang w:eastAsia="pl-PL"/>
    </w:rPr>
  </w:style>
  <w:style w:type="paragraph" w:styleId="Spistreci1">
    <w:name w:val="toc 1"/>
    <w:basedOn w:val="Normalny"/>
    <w:next w:val="Normalny"/>
    <w:autoRedefine/>
    <w:uiPriority w:val="39"/>
    <w:unhideWhenUsed/>
    <w:rsid w:val="00A17173"/>
    <w:pPr>
      <w:tabs>
        <w:tab w:val="right" w:leader="dot" w:pos="660"/>
        <w:tab w:val="right" w:leader="dot" w:pos="10478"/>
      </w:tabs>
      <w:spacing w:after="100" w:line="276" w:lineRule="auto"/>
      <w:ind w:left="221"/>
      <w:jc w:val="both"/>
    </w:pPr>
    <w:rPr>
      <w:rFonts w:ascii="Times New Roman" w:hAnsi="Times New Roman" w:cs="Times New Roman"/>
      <w:noProof/>
    </w:rPr>
  </w:style>
  <w:style w:type="paragraph" w:styleId="Spistreci2">
    <w:name w:val="toc 2"/>
    <w:basedOn w:val="Normalny"/>
    <w:next w:val="Normalny"/>
    <w:autoRedefine/>
    <w:uiPriority w:val="39"/>
    <w:unhideWhenUsed/>
    <w:rsid w:val="00A17173"/>
    <w:pPr>
      <w:tabs>
        <w:tab w:val="left" w:pos="880"/>
        <w:tab w:val="right" w:leader="dot" w:pos="10478"/>
      </w:tabs>
      <w:spacing w:after="100"/>
      <w:ind w:left="442"/>
    </w:pPr>
    <w:rPr>
      <w:rFonts w:ascii="Times New Roman" w:hAnsi="Times New Roman" w:cs="Times New Roman"/>
      <w:noProof/>
    </w:rPr>
  </w:style>
  <w:style w:type="paragraph" w:styleId="Spistreci3">
    <w:name w:val="toc 3"/>
    <w:basedOn w:val="Normalny"/>
    <w:next w:val="Normalny"/>
    <w:autoRedefine/>
    <w:uiPriority w:val="39"/>
    <w:unhideWhenUsed/>
    <w:rsid w:val="00A17173"/>
    <w:pPr>
      <w:tabs>
        <w:tab w:val="left" w:pos="1100"/>
        <w:tab w:val="right" w:leader="dot" w:pos="10478"/>
      </w:tabs>
      <w:spacing w:after="100"/>
      <w:ind w:left="510"/>
    </w:pPr>
    <w:rPr>
      <w:rFonts w:ascii="Times New Roman" w:hAnsi="Times New Roman" w:cs="Times New Roman"/>
      <w:noProof/>
    </w:rPr>
  </w:style>
  <w:style w:type="character" w:styleId="Hipercze">
    <w:name w:val="Hyperlink"/>
    <w:basedOn w:val="Domylnaczcionkaakapitu"/>
    <w:uiPriority w:val="99"/>
    <w:unhideWhenUsed/>
    <w:rsid w:val="00A17173"/>
    <w:rPr>
      <w:color w:val="0563C1" w:themeColor="hyperlink"/>
      <w:u w:val="single"/>
    </w:rPr>
  </w:style>
  <w:style w:type="paragraph" w:styleId="Spisilustracji">
    <w:name w:val="table of figures"/>
    <w:basedOn w:val="Normalny"/>
    <w:next w:val="Normalny"/>
    <w:uiPriority w:val="99"/>
    <w:unhideWhenUsed/>
    <w:rsid w:val="00A17173"/>
    <w:pPr>
      <w:spacing w:after="0"/>
    </w:pPr>
  </w:style>
  <w:style w:type="character" w:styleId="Pogrubienie">
    <w:name w:val="Strong"/>
    <w:basedOn w:val="Domylnaczcionkaakapitu"/>
    <w:uiPriority w:val="22"/>
    <w:qFormat/>
    <w:rsid w:val="00A17173"/>
    <w:rPr>
      <w:b/>
      <w:bCs/>
    </w:rPr>
  </w:style>
  <w:style w:type="paragraph" w:customStyle="1" w:styleId="spsize">
    <w:name w:val="sp_size"/>
    <w:basedOn w:val="Normalny"/>
    <w:rsid w:val="00A171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A17173"/>
    <w:pPr>
      <w:spacing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A17173"/>
    <w:rPr>
      <w:rFonts w:ascii="Times New Roman" w:hAnsi="Times New Roman"/>
      <w:kern w:val="0"/>
      <w:sz w:val="20"/>
      <w:szCs w:val="20"/>
      <w14:ligatures w14:val="none"/>
    </w:rPr>
  </w:style>
  <w:style w:type="character" w:styleId="Odwoaniedokomentarza">
    <w:name w:val="annotation reference"/>
    <w:basedOn w:val="Domylnaczcionkaakapitu"/>
    <w:uiPriority w:val="99"/>
    <w:semiHidden/>
    <w:unhideWhenUsed/>
    <w:rsid w:val="00A17173"/>
    <w:rPr>
      <w:sz w:val="16"/>
      <w:szCs w:val="16"/>
    </w:rPr>
  </w:style>
  <w:style w:type="paragraph" w:styleId="Tematkomentarza">
    <w:name w:val="annotation subject"/>
    <w:basedOn w:val="Tekstkomentarza"/>
    <w:next w:val="Tekstkomentarza"/>
    <w:link w:val="TematkomentarzaZnak"/>
    <w:uiPriority w:val="99"/>
    <w:semiHidden/>
    <w:unhideWhenUsed/>
    <w:rsid w:val="00A17173"/>
    <w:rPr>
      <w:rFonts w:asciiTheme="minorHAnsi" w:hAnsiTheme="minorHAnsi"/>
      <w:b/>
      <w:bCs/>
    </w:rPr>
  </w:style>
  <w:style w:type="character" w:customStyle="1" w:styleId="TematkomentarzaZnak">
    <w:name w:val="Temat komentarza Znak"/>
    <w:basedOn w:val="TekstkomentarzaZnak"/>
    <w:link w:val="Tematkomentarza"/>
    <w:uiPriority w:val="99"/>
    <w:semiHidden/>
    <w:rsid w:val="00A17173"/>
    <w:rPr>
      <w:rFonts w:ascii="Times New Roman" w:hAnsi="Times New Roman"/>
      <w:b/>
      <w:bCs/>
      <w:kern w:val="0"/>
      <w:sz w:val="20"/>
      <w:szCs w:val="20"/>
      <w14:ligatures w14:val="none"/>
    </w:rPr>
  </w:style>
  <w:style w:type="paragraph" w:styleId="Poprawka">
    <w:name w:val="Revision"/>
    <w:hidden/>
    <w:uiPriority w:val="99"/>
    <w:semiHidden/>
    <w:rsid w:val="00A17173"/>
    <w:pPr>
      <w:spacing w:after="0" w:line="240" w:lineRule="auto"/>
    </w:pPr>
    <w:rPr>
      <w:kern w:val="0"/>
      <w14:ligatures w14:val="none"/>
    </w:rPr>
  </w:style>
  <w:style w:type="character" w:styleId="Nierozpoznanawzmianka">
    <w:name w:val="Unresolved Mention"/>
    <w:basedOn w:val="Domylnaczcionkaakapitu"/>
    <w:uiPriority w:val="99"/>
    <w:semiHidden/>
    <w:unhideWhenUsed/>
    <w:rsid w:val="00A17173"/>
    <w:rPr>
      <w:color w:val="605E5C"/>
      <w:shd w:val="clear" w:color="auto" w:fill="E1DFDD"/>
    </w:rPr>
  </w:style>
  <w:style w:type="paragraph" w:customStyle="1" w:styleId="Nagowki">
    <w:name w:val="Nagłowki"/>
    <w:basedOn w:val="Normalny"/>
    <w:link w:val="NagowkiZnak"/>
    <w:qFormat/>
    <w:rsid w:val="00A17173"/>
    <w:pPr>
      <w:jc w:val="both"/>
      <w:outlineLvl w:val="0"/>
    </w:pPr>
    <w:rPr>
      <w:rFonts w:ascii="Times New Roman" w:hAnsi="Times New Roman" w:cs="Times New Roman"/>
      <w:b/>
      <w:bCs/>
      <w:color w:val="000000" w:themeColor="text1"/>
      <w:sz w:val="28"/>
      <w:szCs w:val="28"/>
    </w:rPr>
  </w:style>
  <w:style w:type="paragraph" w:customStyle="1" w:styleId="podnagowek">
    <w:name w:val="podnagłowek"/>
    <w:link w:val="podnagowekZnak"/>
    <w:qFormat/>
    <w:rsid w:val="00A17173"/>
    <w:pPr>
      <w:numPr>
        <w:numId w:val="9"/>
      </w:numPr>
      <w:jc w:val="both"/>
      <w:outlineLvl w:val="1"/>
    </w:pPr>
    <w:rPr>
      <w:rFonts w:ascii="Times New Roman" w:hAnsi="Times New Roman" w:cs="Times New Roman"/>
      <w:b/>
      <w:bCs/>
      <w:color w:val="000000" w:themeColor="text1"/>
      <w:kern w:val="0"/>
      <w:sz w:val="24"/>
      <w:szCs w:val="24"/>
      <w14:ligatures w14:val="none"/>
    </w:rPr>
  </w:style>
  <w:style w:type="character" w:customStyle="1" w:styleId="NagowkiZnak">
    <w:name w:val="Nagłowki Znak"/>
    <w:basedOn w:val="Domylnaczcionkaakapitu"/>
    <w:link w:val="Nagowki"/>
    <w:rsid w:val="00A17173"/>
    <w:rPr>
      <w:rFonts w:ascii="Times New Roman" w:hAnsi="Times New Roman" w:cs="Times New Roman"/>
      <w:b/>
      <w:bCs/>
      <w:color w:val="000000" w:themeColor="text1"/>
      <w:kern w:val="0"/>
      <w:sz w:val="28"/>
      <w:szCs w:val="28"/>
      <w14:ligatures w14:val="none"/>
    </w:rPr>
  </w:style>
  <w:style w:type="paragraph" w:customStyle="1" w:styleId="Gwne">
    <w:name w:val="Główne"/>
    <w:link w:val="GwneZnak"/>
    <w:qFormat/>
    <w:rsid w:val="00A17173"/>
    <w:pPr>
      <w:numPr>
        <w:numId w:val="7"/>
      </w:numPr>
      <w:jc w:val="both"/>
      <w:outlineLvl w:val="0"/>
    </w:pPr>
    <w:rPr>
      <w:rFonts w:ascii="Times New Roman" w:hAnsi="Times New Roman" w:cs="Times New Roman"/>
      <w:b/>
      <w:bCs/>
      <w:color w:val="000000" w:themeColor="text1"/>
      <w:kern w:val="0"/>
      <w:sz w:val="28"/>
      <w:szCs w:val="28"/>
      <w14:ligatures w14:val="none"/>
    </w:rPr>
  </w:style>
  <w:style w:type="character" w:customStyle="1" w:styleId="podnagowekZnak">
    <w:name w:val="podnagłowek Znak"/>
    <w:basedOn w:val="Domylnaczcionkaakapitu"/>
    <w:link w:val="podnagowek"/>
    <w:rsid w:val="00A17173"/>
    <w:rPr>
      <w:rFonts w:ascii="Times New Roman" w:hAnsi="Times New Roman" w:cs="Times New Roman"/>
      <w:b/>
      <w:bCs/>
      <w:color w:val="000000" w:themeColor="text1"/>
      <w:kern w:val="0"/>
      <w:sz w:val="24"/>
      <w:szCs w:val="24"/>
      <w14:ligatures w14:val="none"/>
    </w:rPr>
  </w:style>
  <w:style w:type="paragraph" w:customStyle="1" w:styleId="podnagowk">
    <w:name w:val="podnagłowk"/>
    <w:basedOn w:val="Akapitzlist"/>
    <w:link w:val="podnagowkZnak"/>
    <w:qFormat/>
    <w:rsid w:val="00A17173"/>
    <w:pPr>
      <w:ind w:left="786" w:hanging="360"/>
      <w:jc w:val="both"/>
      <w:outlineLvl w:val="1"/>
    </w:pPr>
    <w:rPr>
      <w:rFonts w:ascii="Times New Roman" w:hAnsi="Times New Roman" w:cs="Times New Roman"/>
      <w:b/>
      <w:bCs/>
      <w:color w:val="000000" w:themeColor="text1"/>
      <w:sz w:val="24"/>
      <w:szCs w:val="24"/>
    </w:rPr>
  </w:style>
  <w:style w:type="character" w:customStyle="1" w:styleId="GwneZnak">
    <w:name w:val="Główne Znak"/>
    <w:basedOn w:val="Domylnaczcionkaakapitu"/>
    <w:link w:val="Gwne"/>
    <w:rsid w:val="00A17173"/>
    <w:rPr>
      <w:rFonts w:ascii="Times New Roman" w:hAnsi="Times New Roman" w:cs="Times New Roman"/>
      <w:b/>
      <w:bCs/>
      <w:color w:val="000000" w:themeColor="text1"/>
      <w:kern w:val="0"/>
      <w:sz w:val="28"/>
      <w:szCs w:val="28"/>
      <w14:ligatures w14:val="none"/>
    </w:rPr>
  </w:style>
  <w:style w:type="character" w:customStyle="1" w:styleId="AkapitzlistZnak">
    <w:name w:val="Akapit z listą Znak"/>
    <w:aliases w:val="Normal Znak,Akapit z listą3 Znak,Akapit z listą31 Znak,Akapit z listą BS Znak,Numerowanie Znak,List Paragraph Znak,Kolorowa lista — akcent 11 Znak,Signature Znak,Podpis1 Znak,BulletC Znak,Table of contents numbered Znak"/>
    <w:basedOn w:val="Domylnaczcionkaakapitu"/>
    <w:link w:val="Akapitzlist"/>
    <w:uiPriority w:val="34"/>
    <w:qFormat/>
    <w:rsid w:val="00A17173"/>
    <w:rPr>
      <w:kern w:val="0"/>
      <w14:ligatures w14:val="none"/>
    </w:rPr>
  </w:style>
  <w:style w:type="character" w:customStyle="1" w:styleId="podnagowkZnak">
    <w:name w:val="podnagłowk Znak"/>
    <w:basedOn w:val="AkapitzlistZnak"/>
    <w:link w:val="podnagowk"/>
    <w:rsid w:val="00A17173"/>
    <w:rPr>
      <w:rFonts w:ascii="Times New Roman" w:hAnsi="Times New Roman" w:cs="Times New Roman"/>
      <w:b/>
      <w:bCs/>
      <w:color w:val="000000" w:themeColor="text1"/>
      <w:kern w:val="0"/>
      <w:sz w:val="24"/>
      <w:szCs w:val="24"/>
      <w14:ligatures w14:val="none"/>
    </w:rPr>
  </w:style>
  <w:style w:type="table" w:customStyle="1" w:styleId="TableNormal">
    <w:name w:val="Table Normal"/>
    <w:uiPriority w:val="2"/>
    <w:semiHidden/>
    <w:unhideWhenUsed/>
    <w:qFormat/>
    <w:rsid w:val="00A1717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17173"/>
    <w:pPr>
      <w:widowControl w:val="0"/>
      <w:autoSpaceDE w:val="0"/>
      <w:autoSpaceDN w:val="0"/>
      <w:spacing w:after="0" w:line="240" w:lineRule="auto"/>
    </w:pPr>
    <w:rPr>
      <w:rFonts w:ascii="Calibri" w:eastAsia="Calibri" w:hAnsi="Calibri" w:cs="Calibri"/>
    </w:rPr>
  </w:style>
  <w:style w:type="paragraph" w:styleId="Tekstpodstawowy">
    <w:name w:val="Body Text"/>
    <w:basedOn w:val="Normalny"/>
    <w:link w:val="TekstpodstawowyZnak"/>
    <w:uiPriority w:val="1"/>
    <w:qFormat/>
    <w:rsid w:val="00A17173"/>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A17173"/>
    <w:rPr>
      <w:rFonts w:ascii="Calibri" w:eastAsia="Calibri" w:hAnsi="Calibri" w:cs="Calibri"/>
      <w:kern w:val="0"/>
      <w:sz w:val="24"/>
      <w:szCs w:val="24"/>
      <w14:ligatures w14:val="none"/>
    </w:rPr>
  </w:style>
  <w:style w:type="character" w:customStyle="1" w:styleId="LegendaZnak">
    <w:name w:val="Legenda Znak"/>
    <w:aliases w:val="Tabela Znak,Legenda Znak Znak Znak Znak1,Legenda Znak Znak Znak1,Legenda Znak Znak Znak Znak Znak,Legenda Znak Znak Znak Znak Znak Znak Znak1,Legenda Znak Znak Znak Znak Znak Znak Znak Znak,Legenda Znak Z Znak,Tabela nagłówek Znak"/>
    <w:basedOn w:val="Domylnaczcionkaakapitu"/>
    <w:link w:val="Legenda"/>
    <w:uiPriority w:val="35"/>
    <w:rsid w:val="00A17173"/>
    <w:rPr>
      <w:i/>
      <w:iCs/>
      <w:color w:val="44546A" w:themeColor="text2"/>
      <w:kern w:val="0"/>
      <w:sz w:val="18"/>
      <w:szCs w:val="18"/>
      <w14:ligatures w14:val="none"/>
    </w:rPr>
  </w:style>
  <w:style w:type="paragraph" w:customStyle="1" w:styleId="reset-margin-bottom">
    <w:name w:val="reset-margin-bottom"/>
    <w:basedOn w:val="Normalny"/>
    <w:rsid w:val="00975D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FF4707"/>
    <w:rPr>
      <w:rFonts w:asciiTheme="majorHAnsi" w:eastAsiaTheme="majorEastAsia" w:hAnsiTheme="majorHAnsi" w:cstheme="majorBidi"/>
      <w:color w:val="2F5496" w:themeColor="accent1" w:themeShade="BF"/>
      <w:kern w:val="0"/>
      <w:sz w:val="26"/>
      <w:szCs w:val="26"/>
      <w14:ligatures w14:val="none"/>
    </w:rPr>
  </w:style>
  <w:style w:type="character" w:styleId="Uwydatnienie">
    <w:name w:val="Emphasis"/>
    <w:basedOn w:val="Domylnaczcionkaakapitu"/>
    <w:uiPriority w:val="20"/>
    <w:qFormat/>
    <w:rsid w:val="00B90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6839">
      <w:bodyDiv w:val="1"/>
      <w:marLeft w:val="0"/>
      <w:marRight w:val="0"/>
      <w:marTop w:val="0"/>
      <w:marBottom w:val="0"/>
      <w:divBdr>
        <w:top w:val="none" w:sz="0" w:space="0" w:color="auto"/>
        <w:left w:val="none" w:sz="0" w:space="0" w:color="auto"/>
        <w:bottom w:val="none" w:sz="0" w:space="0" w:color="auto"/>
        <w:right w:val="none" w:sz="0" w:space="0" w:color="auto"/>
      </w:divBdr>
    </w:div>
    <w:div w:id="556480329">
      <w:bodyDiv w:val="1"/>
      <w:marLeft w:val="0"/>
      <w:marRight w:val="0"/>
      <w:marTop w:val="0"/>
      <w:marBottom w:val="0"/>
      <w:divBdr>
        <w:top w:val="none" w:sz="0" w:space="0" w:color="auto"/>
        <w:left w:val="none" w:sz="0" w:space="0" w:color="auto"/>
        <w:bottom w:val="none" w:sz="0" w:space="0" w:color="auto"/>
        <w:right w:val="none" w:sz="0" w:space="0" w:color="auto"/>
      </w:divBdr>
    </w:div>
    <w:div w:id="572857653">
      <w:bodyDiv w:val="1"/>
      <w:marLeft w:val="0"/>
      <w:marRight w:val="0"/>
      <w:marTop w:val="0"/>
      <w:marBottom w:val="0"/>
      <w:divBdr>
        <w:top w:val="none" w:sz="0" w:space="0" w:color="auto"/>
        <w:left w:val="none" w:sz="0" w:space="0" w:color="auto"/>
        <w:bottom w:val="none" w:sz="0" w:space="0" w:color="auto"/>
        <w:right w:val="none" w:sz="0" w:space="0" w:color="auto"/>
      </w:divBdr>
    </w:div>
    <w:div w:id="800534188">
      <w:bodyDiv w:val="1"/>
      <w:marLeft w:val="0"/>
      <w:marRight w:val="0"/>
      <w:marTop w:val="0"/>
      <w:marBottom w:val="0"/>
      <w:divBdr>
        <w:top w:val="none" w:sz="0" w:space="0" w:color="auto"/>
        <w:left w:val="none" w:sz="0" w:space="0" w:color="auto"/>
        <w:bottom w:val="none" w:sz="0" w:space="0" w:color="auto"/>
        <w:right w:val="none" w:sz="0" w:space="0" w:color="auto"/>
      </w:divBdr>
    </w:div>
    <w:div w:id="1303192679">
      <w:bodyDiv w:val="1"/>
      <w:marLeft w:val="0"/>
      <w:marRight w:val="0"/>
      <w:marTop w:val="0"/>
      <w:marBottom w:val="0"/>
      <w:divBdr>
        <w:top w:val="none" w:sz="0" w:space="0" w:color="auto"/>
        <w:left w:val="none" w:sz="0" w:space="0" w:color="auto"/>
        <w:bottom w:val="none" w:sz="0" w:space="0" w:color="auto"/>
        <w:right w:val="none" w:sz="0" w:space="0" w:color="auto"/>
      </w:divBdr>
    </w:div>
    <w:div w:id="1343436361">
      <w:bodyDiv w:val="1"/>
      <w:marLeft w:val="0"/>
      <w:marRight w:val="0"/>
      <w:marTop w:val="0"/>
      <w:marBottom w:val="0"/>
      <w:divBdr>
        <w:top w:val="none" w:sz="0" w:space="0" w:color="auto"/>
        <w:left w:val="none" w:sz="0" w:space="0" w:color="auto"/>
        <w:bottom w:val="none" w:sz="0" w:space="0" w:color="auto"/>
        <w:right w:val="none" w:sz="0" w:space="0" w:color="auto"/>
      </w:divBdr>
    </w:div>
    <w:div w:id="1709646056">
      <w:bodyDiv w:val="1"/>
      <w:marLeft w:val="0"/>
      <w:marRight w:val="0"/>
      <w:marTop w:val="0"/>
      <w:marBottom w:val="0"/>
      <w:divBdr>
        <w:top w:val="none" w:sz="0" w:space="0" w:color="auto"/>
        <w:left w:val="none" w:sz="0" w:space="0" w:color="auto"/>
        <w:bottom w:val="none" w:sz="0" w:space="0" w:color="auto"/>
        <w:right w:val="none" w:sz="0" w:space="0" w:color="auto"/>
      </w:divBdr>
    </w:div>
    <w:div w:id="1986160165">
      <w:bodyDiv w:val="1"/>
      <w:marLeft w:val="0"/>
      <w:marRight w:val="0"/>
      <w:marTop w:val="0"/>
      <w:marBottom w:val="0"/>
      <w:divBdr>
        <w:top w:val="none" w:sz="0" w:space="0" w:color="auto"/>
        <w:left w:val="none" w:sz="0" w:space="0" w:color="auto"/>
        <w:bottom w:val="none" w:sz="0" w:space="0" w:color="auto"/>
        <w:right w:val="none" w:sz="0" w:space="0" w:color="auto"/>
      </w:divBdr>
    </w:div>
    <w:div w:id="20464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Paulina%20Ciach\05_LGD\01_LGD%20moje\01_Bialskopodlaska\LGD_%20Bialskopodlask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Paulina%20Ciach\05_LGD\01_LGD%20moje\01_Bialskopodlaska\LGD_%20Bialskopodlask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Paulina%20Ciach\05_LGD\01_LGD%20moje\01_Bialskopodlaska\LGD_%20Bialskopodlask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'[LGD_ Bialskopodlaska.xlsx]demografia'!$B$23:$M$23</c:f>
              <c:strCache>
                <c:ptCount val="12"/>
                <c:pt idx="0">
                  <c:v>114 360</c:v>
                </c:pt>
                <c:pt idx="1">
                  <c:v>114 052</c:v>
                </c:pt>
                <c:pt idx="2">
                  <c:v>113 672</c:v>
                </c:pt>
                <c:pt idx="3">
                  <c:v>113 336</c:v>
                </c:pt>
                <c:pt idx="4">
                  <c:v>112 901</c:v>
                </c:pt>
                <c:pt idx="5">
                  <c:v>112 507</c:v>
                </c:pt>
                <c:pt idx="6">
                  <c:v>112 398</c:v>
                </c:pt>
                <c:pt idx="7">
                  <c:v>111 922</c:v>
                </c:pt>
                <c:pt idx="8">
                  <c:v>111 391</c:v>
                </c:pt>
                <c:pt idx="9">
                  <c:v>110 772</c:v>
                </c:pt>
                <c:pt idx="10">
                  <c:v>107 031</c:v>
                </c:pt>
                <c:pt idx="11">
                  <c:v>106 194</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'[LGD_ Bialskopodlaska.xlsx]demografia'!$B$3:$M$3</c:f>
              <c:numCache>
                <c:formatCode>General</c:formatCode>
                <c:ptCount val="6"/>
                <c:pt idx="0">
                  <c:v>2016</c:v>
                </c:pt>
                <c:pt idx="1">
                  <c:v>2017</c:v>
                </c:pt>
                <c:pt idx="2">
                  <c:v>2018</c:v>
                </c:pt>
                <c:pt idx="3">
                  <c:v>2019</c:v>
                </c:pt>
                <c:pt idx="4">
                  <c:v>2020</c:v>
                </c:pt>
                <c:pt idx="5">
                  <c:v>2021</c:v>
                </c:pt>
              </c:numCache>
              <c:extLst/>
            </c:numRef>
          </c:cat>
          <c:val>
            <c:numRef>
              <c:f>'[LGD_ Bialskopodlaska.xlsx]demografia'!$B$23:$M$23</c:f>
              <c:numCache>
                <c:formatCode>#,##0</c:formatCode>
                <c:ptCount val="6"/>
                <c:pt idx="0">
                  <c:v>112398</c:v>
                </c:pt>
                <c:pt idx="1">
                  <c:v>111922</c:v>
                </c:pt>
                <c:pt idx="2">
                  <c:v>111391</c:v>
                </c:pt>
                <c:pt idx="3">
                  <c:v>110772</c:v>
                </c:pt>
                <c:pt idx="4">
                  <c:v>107031</c:v>
                </c:pt>
                <c:pt idx="5">
                  <c:v>106194</c:v>
                </c:pt>
              </c:numCache>
              <c:extLst/>
            </c:numRef>
          </c:val>
          <c:smooth val="0"/>
          <c:extLst>
            <c:ext xmlns:c16="http://schemas.microsoft.com/office/drawing/2014/chart" uri="{C3380CC4-5D6E-409C-BE32-E72D297353CC}">
              <c16:uniqueId val="{00000000-5944-45E7-9C17-85737C454853}"/>
            </c:ext>
          </c:extLst>
        </c:ser>
        <c:dLbls>
          <c:dLblPos val="t"/>
          <c:showLegendKey val="0"/>
          <c:showVal val="1"/>
          <c:showCatName val="0"/>
          <c:showSerName val="0"/>
          <c:showPercent val="0"/>
          <c:showBubbleSize val="0"/>
        </c:dLbls>
        <c:marker val="1"/>
        <c:smooth val="0"/>
        <c:axId val="1402019120"/>
        <c:axId val="1402027856"/>
      </c:lineChart>
      <c:catAx>
        <c:axId val="140201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402027856"/>
        <c:crosses val="autoZero"/>
        <c:auto val="1"/>
        <c:lblAlgn val="ctr"/>
        <c:lblOffset val="100"/>
        <c:noMultiLvlLbl val="0"/>
      </c:catAx>
      <c:valAx>
        <c:axId val="140202785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402019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'[LGD_ Bialskopodlaska.xlsx]demografia'!$B$27</c:f>
              <c:strCache>
                <c:ptCount val="1"/>
                <c:pt idx="0">
                  <c:v>wiek przedprodukcyjny</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Arkusz1!$R$14:$W$14</c:f>
              <c:numCache>
                <c:formatCode>General</c:formatCode>
                <c:ptCount val="6"/>
                <c:pt idx="0">
                  <c:v>2016</c:v>
                </c:pt>
                <c:pt idx="1">
                  <c:v>2017</c:v>
                </c:pt>
                <c:pt idx="2">
                  <c:v>2018</c:v>
                </c:pt>
                <c:pt idx="3">
                  <c:v>2019</c:v>
                </c:pt>
                <c:pt idx="4">
                  <c:v>2020</c:v>
                </c:pt>
                <c:pt idx="5">
                  <c:v>2021</c:v>
                </c:pt>
              </c:numCache>
            </c:numRef>
          </c:cat>
          <c:val>
            <c:numRef>
              <c:f>'[LGD_ Bialskopodlaska.xlsx]demografia'!$T$48:$Y$48</c:f>
              <c:numCache>
                <c:formatCode>0.0</c:formatCode>
                <c:ptCount val="6"/>
                <c:pt idx="0">
                  <c:v>19.2</c:v>
                </c:pt>
                <c:pt idx="1">
                  <c:v>19.100000000000001</c:v>
                </c:pt>
                <c:pt idx="2">
                  <c:v>19</c:v>
                </c:pt>
                <c:pt idx="3">
                  <c:v>18.899999999999999</c:v>
                </c:pt>
                <c:pt idx="4">
                  <c:v>19.7</c:v>
                </c:pt>
                <c:pt idx="5">
                  <c:v>19.600000000000001</c:v>
                </c:pt>
              </c:numCache>
            </c:numRef>
          </c:val>
          <c:extLst>
            <c:ext xmlns:c16="http://schemas.microsoft.com/office/drawing/2014/chart" uri="{C3380CC4-5D6E-409C-BE32-E72D297353CC}">
              <c16:uniqueId val="{00000000-2A70-4562-9D28-37E19A2C4467}"/>
            </c:ext>
          </c:extLst>
        </c:ser>
        <c:ser>
          <c:idx val="1"/>
          <c:order val="1"/>
          <c:tx>
            <c:strRef>
              <c:f>'[LGD_ Bialskopodlaska.xlsx]demografia'!$Z$27</c:f>
              <c:strCache>
                <c:ptCount val="1"/>
                <c:pt idx="0">
                  <c:v>wiek produkcyjny</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Arkusz1!$R$14:$W$14</c:f>
              <c:numCache>
                <c:formatCode>General</c:formatCode>
                <c:ptCount val="6"/>
                <c:pt idx="0">
                  <c:v>2016</c:v>
                </c:pt>
                <c:pt idx="1">
                  <c:v>2017</c:v>
                </c:pt>
                <c:pt idx="2">
                  <c:v>2018</c:v>
                </c:pt>
                <c:pt idx="3">
                  <c:v>2019</c:v>
                </c:pt>
                <c:pt idx="4">
                  <c:v>2020</c:v>
                </c:pt>
                <c:pt idx="5">
                  <c:v>2021</c:v>
                </c:pt>
              </c:numCache>
            </c:numRef>
          </c:cat>
          <c:val>
            <c:numRef>
              <c:f>'[LGD_ Bialskopodlaska.xlsx]demografia'!$Z$48:$AE$48</c:f>
              <c:numCache>
                <c:formatCode>0.0</c:formatCode>
                <c:ptCount val="6"/>
                <c:pt idx="0">
                  <c:v>61.7</c:v>
                </c:pt>
                <c:pt idx="1">
                  <c:v>61.5</c:v>
                </c:pt>
                <c:pt idx="2">
                  <c:v>61.3</c:v>
                </c:pt>
                <c:pt idx="3">
                  <c:v>60.9</c:v>
                </c:pt>
                <c:pt idx="4">
                  <c:v>59.2</c:v>
                </c:pt>
                <c:pt idx="5">
                  <c:v>59.1</c:v>
                </c:pt>
              </c:numCache>
            </c:numRef>
          </c:val>
          <c:extLst>
            <c:ext xmlns:c16="http://schemas.microsoft.com/office/drawing/2014/chart" uri="{C3380CC4-5D6E-409C-BE32-E72D297353CC}">
              <c16:uniqueId val="{00000001-2A70-4562-9D28-37E19A2C4467}"/>
            </c:ext>
          </c:extLst>
        </c:ser>
        <c:ser>
          <c:idx val="2"/>
          <c:order val="2"/>
          <c:tx>
            <c:strRef>
              <c:f>'[LGD_ Bialskopodlaska.xlsx]demografia'!$AF$27</c:f>
              <c:strCache>
                <c:ptCount val="1"/>
                <c:pt idx="0">
                  <c:v>wiek poprodukcyjny</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Arkusz1!$R$14:$W$14</c:f>
              <c:numCache>
                <c:formatCode>General</c:formatCode>
                <c:ptCount val="6"/>
                <c:pt idx="0">
                  <c:v>2016</c:v>
                </c:pt>
                <c:pt idx="1">
                  <c:v>2017</c:v>
                </c:pt>
                <c:pt idx="2">
                  <c:v>2018</c:v>
                </c:pt>
                <c:pt idx="3">
                  <c:v>2019</c:v>
                </c:pt>
                <c:pt idx="4">
                  <c:v>2020</c:v>
                </c:pt>
                <c:pt idx="5">
                  <c:v>2021</c:v>
                </c:pt>
              </c:numCache>
            </c:numRef>
          </c:cat>
          <c:val>
            <c:numRef>
              <c:f>'[LGD_ Bialskopodlaska.xlsx]demografia'!$AF$48:$AK$48</c:f>
              <c:numCache>
                <c:formatCode>0.0</c:formatCode>
                <c:ptCount val="6"/>
                <c:pt idx="0">
                  <c:v>19.104432463211086</c:v>
                </c:pt>
                <c:pt idx="1">
                  <c:v>19.399999999999999</c:v>
                </c:pt>
                <c:pt idx="2">
                  <c:v>19.7</c:v>
                </c:pt>
                <c:pt idx="3">
                  <c:v>20.223522189723035</c:v>
                </c:pt>
                <c:pt idx="4">
                  <c:v>21.111640552737057</c:v>
                </c:pt>
                <c:pt idx="5">
                  <c:v>21.26579656101098</c:v>
                </c:pt>
              </c:numCache>
            </c:numRef>
          </c:val>
          <c:extLst>
            <c:ext xmlns:c16="http://schemas.microsoft.com/office/drawing/2014/chart" uri="{C3380CC4-5D6E-409C-BE32-E72D297353CC}">
              <c16:uniqueId val="{00000002-2A70-4562-9D28-37E19A2C4467}"/>
            </c:ext>
          </c:extLst>
        </c:ser>
        <c:dLbls>
          <c:dLblPos val="ctr"/>
          <c:showLegendKey val="0"/>
          <c:showVal val="1"/>
          <c:showCatName val="0"/>
          <c:showSerName val="0"/>
          <c:showPercent val="0"/>
          <c:showBubbleSize val="0"/>
        </c:dLbls>
        <c:gapWidth val="150"/>
        <c:overlap val="100"/>
        <c:axId val="1424603328"/>
        <c:axId val="1424591264"/>
      </c:barChart>
      <c:catAx>
        <c:axId val="142460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424591264"/>
        <c:crosses val="autoZero"/>
        <c:auto val="1"/>
        <c:lblAlgn val="ctr"/>
        <c:lblOffset val="100"/>
        <c:noMultiLvlLbl val="0"/>
      </c:catAx>
      <c:valAx>
        <c:axId val="14245912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42460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demografia!$AB$56</c:f>
              <c:strCache>
                <c:ptCount val="1"/>
                <c:pt idx="0">
                  <c:v>Przyrost naturalny na 1 000 ludności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demografia!$AC$55:$AH$55</c:f>
              <c:numCache>
                <c:formatCode>@</c:formatCode>
                <c:ptCount val="6"/>
                <c:pt idx="0">
                  <c:v>2016</c:v>
                </c:pt>
                <c:pt idx="1">
                  <c:v>2017</c:v>
                </c:pt>
                <c:pt idx="2">
                  <c:v>2018</c:v>
                </c:pt>
                <c:pt idx="3">
                  <c:v>2019</c:v>
                </c:pt>
                <c:pt idx="4">
                  <c:v>2020</c:v>
                </c:pt>
                <c:pt idx="5">
                  <c:v>2021</c:v>
                </c:pt>
              </c:numCache>
            </c:numRef>
          </c:cat>
          <c:val>
            <c:numRef>
              <c:f>demografia!$AC$56:$AH$56</c:f>
              <c:numCache>
                <c:formatCode>General</c:formatCode>
                <c:ptCount val="6"/>
                <c:pt idx="0">
                  <c:v>-1.05</c:v>
                </c:pt>
                <c:pt idx="1">
                  <c:v>-1.42</c:v>
                </c:pt>
                <c:pt idx="2">
                  <c:v>-1.87</c:v>
                </c:pt>
                <c:pt idx="3">
                  <c:v>-2.2200000000000002</c:v>
                </c:pt>
                <c:pt idx="4">
                  <c:v>-5.38</c:v>
                </c:pt>
                <c:pt idx="5">
                  <c:v>-7.45</c:v>
                </c:pt>
              </c:numCache>
            </c:numRef>
          </c:val>
          <c:extLst>
            <c:ext xmlns:c16="http://schemas.microsoft.com/office/drawing/2014/chart" uri="{C3380CC4-5D6E-409C-BE32-E72D297353CC}">
              <c16:uniqueId val="{00000000-B4D1-4E8D-90C5-003177B7B85F}"/>
            </c:ext>
          </c:extLst>
        </c:ser>
        <c:ser>
          <c:idx val="1"/>
          <c:order val="1"/>
          <c:tx>
            <c:strRef>
              <c:f>demografia!$AB$57</c:f>
              <c:strCache>
                <c:ptCount val="1"/>
                <c:pt idx="0">
                  <c:v>Saldo migracji na 1 000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demografia!$AC$55:$AH$55</c:f>
              <c:numCache>
                <c:formatCode>@</c:formatCode>
                <c:ptCount val="6"/>
                <c:pt idx="0">
                  <c:v>2016</c:v>
                </c:pt>
                <c:pt idx="1">
                  <c:v>2017</c:v>
                </c:pt>
                <c:pt idx="2">
                  <c:v>2018</c:v>
                </c:pt>
                <c:pt idx="3">
                  <c:v>2019</c:v>
                </c:pt>
                <c:pt idx="4">
                  <c:v>2020</c:v>
                </c:pt>
                <c:pt idx="5">
                  <c:v>2021</c:v>
                </c:pt>
              </c:numCache>
            </c:numRef>
          </c:cat>
          <c:val>
            <c:numRef>
              <c:f>demografia!$AC$57:$AH$57</c:f>
              <c:numCache>
                <c:formatCode>0.0</c:formatCode>
                <c:ptCount val="6"/>
                <c:pt idx="0">
                  <c:v>-1.79</c:v>
                </c:pt>
                <c:pt idx="1">
                  <c:v>-3.54</c:v>
                </c:pt>
                <c:pt idx="2">
                  <c:v>-3.37</c:v>
                </c:pt>
                <c:pt idx="3">
                  <c:v>-3.56</c:v>
                </c:pt>
                <c:pt idx="4">
                  <c:v>-2.78</c:v>
                </c:pt>
                <c:pt idx="5">
                  <c:v>-1.3</c:v>
                </c:pt>
              </c:numCache>
            </c:numRef>
          </c:val>
          <c:extLst>
            <c:ext xmlns:c16="http://schemas.microsoft.com/office/drawing/2014/chart" uri="{C3380CC4-5D6E-409C-BE32-E72D297353CC}">
              <c16:uniqueId val="{00000001-B4D1-4E8D-90C5-003177B7B85F}"/>
            </c:ext>
          </c:extLst>
        </c:ser>
        <c:dLbls>
          <c:dLblPos val="outEnd"/>
          <c:showLegendKey val="0"/>
          <c:showVal val="1"/>
          <c:showCatName val="0"/>
          <c:showSerName val="0"/>
          <c:showPercent val="0"/>
          <c:showBubbleSize val="0"/>
        </c:dLbls>
        <c:gapWidth val="219"/>
        <c:overlap val="-27"/>
        <c:axId val="629239448"/>
        <c:axId val="629238728"/>
      </c:barChart>
      <c:catAx>
        <c:axId val="629239448"/>
        <c:scaling>
          <c:orientation val="minMax"/>
        </c:scaling>
        <c:delete val="0"/>
        <c:axPos val="b"/>
        <c:numFmt formatCode="@"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29238728"/>
        <c:crosses val="autoZero"/>
        <c:auto val="1"/>
        <c:lblAlgn val="ctr"/>
        <c:lblOffset val="100"/>
        <c:noMultiLvlLbl val="0"/>
      </c:catAx>
      <c:valAx>
        <c:axId val="629238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29239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'[LGD_ Bialskopodlaska.xlsx]budownictwo'!$G$1</c:f>
              <c:strCache>
                <c:ptCount val="1"/>
                <c:pt idx="0">
                  <c:v>Pozwolenia wydane na budowę i zgłoszenia budowy z projektem budowlanym w przeliczeniu na 10 tys. mieszkańców</c:v>
                </c:pt>
              </c:strCache>
            </c:strRef>
          </c:tx>
          <c:spPr>
            <a:solidFill>
              <a:schemeClr val="accent1"/>
            </a:solidFill>
            <a:ln>
              <a:noFill/>
            </a:ln>
            <a:effectLst/>
          </c:spPr>
          <c:invertIfNegative val="0"/>
          <c:dPt>
            <c:idx val="0"/>
            <c:invertIfNegative val="0"/>
            <c:bubble3D val="0"/>
            <c:spPr>
              <a:solidFill>
                <a:srgbClr val="8EB4E3"/>
              </a:solidFill>
              <a:ln>
                <a:noFill/>
              </a:ln>
              <a:effectLst/>
            </c:spPr>
            <c:extLst>
              <c:ext xmlns:c16="http://schemas.microsoft.com/office/drawing/2014/chart" uri="{C3380CC4-5D6E-409C-BE32-E72D297353CC}">
                <c16:uniqueId val="{00000001-2945-4DC5-85E2-A414CEFE83A4}"/>
              </c:ext>
            </c:extLst>
          </c:dPt>
          <c:dPt>
            <c:idx val="1"/>
            <c:invertIfNegative val="0"/>
            <c:bubble3D val="0"/>
            <c:spPr>
              <a:solidFill>
                <a:srgbClr val="9E480E"/>
              </a:solidFill>
              <a:ln>
                <a:noFill/>
              </a:ln>
              <a:effectLst/>
            </c:spPr>
            <c:extLst>
              <c:ext xmlns:c16="http://schemas.microsoft.com/office/drawing/2014/chart" uri="{C3380CC4-5D6E-409C-BE32-E72D297353CC}">
                <c16:uniqueId val="{00000003-2945-4DC5-85E2-A414CEFE83A4}"/>
              </c:ext>
            </c:extLst>
          </c:dPt>
          <c:dPt>
            <c:idx val="2"/>
            <c:invertIfNegative val="0"/>
            <c:bubble3D val="0"/>
            <c:spPr>
              <a:solidFill>
                <a:srgbClr val="636363"/>
              </a:solidFill>
              <a:ln>
                <a:noFill/>
              </a:ln>
              <a:effectLst/>
            </c:spPr>
            <c:extLst>
              <c:ext xmlns:c16="http://schemas.microsoft.com/office/drawing/2014/chart" uri="{C3380CC4-5D6E-409C-BE32-E72D297353CC}">
                <c16:uniqueId val="{00000005-2945-4DC5-85E2-A414CEFE83A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'[LGD_ Bialskopodlaska.xlsx]budownictwo'!$B$22:$B$24</c:f>
              <c:strCache>
                <c:ptCount val="3"/>
                <c:pt idx="0">
                  <c:v>LGD</c:v>
                </c:pt>
                <c:pt idx="1">
                  <c:v>województwo lubelskie</c:v>
                </c:pt>
                <c:pt idx="2">
                  <c:v>Polska</c:v>
                </c:pt>
              </c:strCache>
            </c:strRef>
          </c:cat>
          <c:val>
            <c:numRef>
              <c:f>'[LGD_ Bialskopodlaska.xlsx]budownictwo'!$J$22:$J$24</c:f>
              <c:numCache>
                <c:formatCode>0</c:formatCode>
                <c:ptCount val="3"/>
                <c:pt idx="0">
                  <c:v>47.177806655743261</c:v>
                </c:pt>
                <c:pt idx="1">
                  <c:v>33.277747769095697</c:v>
                </c:pt>
                <c:pt idx="2">
                  <c:v>34.996996224646843</c:v>
                </c:pt>
              </c:numCache>
            </c:numRef>
          </c:val>
          <c:extLst>
            <c:ext xmlns:c16="http://schemas.microsoft.com/office/drawing/2014/chart" uri="{C3380CC4-5D6E-409C-BE32-E72D297353CC}">
              <c16:uniqueId val="{00000006-2945-4DC5-85E2-A414CEFE83A4}"/>
            </c:ext>
          </c:extLst>
        </c:ser>
        <c:dLbls>
          <c:dLblPos val="outEnd"/>
          <c:showLegendKey val="0"/>
          <c:showVal val="1"/>
          <c:showCatName val="0"/>
          <c:showSerName val="0"/>
          <c:showPercent val="0"/>
          <c:showBubbleSize val="0"/>
        </c:dLbls>
        <c:gapWidth val="150"/>
        <c:overlap val="-27"/>
        <c:axId val="1671151999"/>
        <c:axId val="1671152831"/>
      </c:barChart>
      <c:catAx>
        <c:axId val="1671151999"/>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71152831"/>
        <c:crosses val="autoZero"/>
        <c:auto val="1"/>
        <c:lblAlgn val="ctr"/>
        <c:lblOffset val="100"/>
        <c:noMultiLvlLbl val="0"/>
      </c:catAx>
      <c:valAx>
        <c:axId val="16711528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711519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'[LGD_ Bialskopodlaska.xlsx]gospodarka'!$A$74</c:f>
              <c:strCache>
                <c:ptCount val="1"/>
                <c:pt idx="0">
                  <c:v>LGD</c:v>
                </c:pt>
              </c:strCache>
            </c:strRef>
          </c:tx>
          <c:spPr>
            <a:solidFill>
              <a:srgbClr val="8EB4E3"/>
            </a:solidFill>
            <a:ln>
              <a:noFill/>
            </a:ln>
            <a:effectLst/>
          </c:spPr>
          <c:invertIfNegative val="0"/>
          <c:dPt>
            <c:idx val="0"/>
            <c:invertIfNegative val="0"/>
            <c:bubble3D val="0"/>
            <c:spPr>
              <a:solidFill>
                <a:srgbClr val="8EB4E3"/>
              </a:solidFill>
              <a:ln>
                <a:noFill/>
              </a:ln>
              <a:effectLst/>
            </c:spPr>
            <c:extLst>
              <c:ext xmlns:c16="http://schemas.microsoft.com/office/drawing/2014/chart" uri="{C3380CC4-5D6E-409C-BE32-E72D297353CC}">
                <c16:uniqueId val="{00000001-00B0-47B5-9D96-85F9EE19F287}"/>
              </c:ext>
            </c:extLst>
          </c:dPt>
          <c:dPt>
            <c:idx val="1"/>
            <c:invertIfNegative val="0"/>
            <c:bubble3D val="0"/>
            <c:spPr>
              <a:solidFill>
                <a:srgbClr val="8EB4E3"/>
              </a:solidFill>
              <a:ln>
                <a:noFill/>
              </a:ln>
              <a:effectLst/>
            </c:spPr>
            <c:extLst>
              <c:ext xmlns:c16="http://schemas.microsoft.com/office/drawing/2014/chart" uri="{C3380CC4-5D6E-409C-BE32-E72D297353CC}">
                <c16:uniqueId val="{00000003-00B0-47B5-9D96-85F9EE19F28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'[LGD_ Bialskopodlaska.xlsx]gospodarka'!$B$28,'[LGD_ Bialskopodlaska.xlsx]gospodarka'!$H$28</c:f>
              <c:strCache>
                <c:ptCount val="2"/>
                <c:pt idx="0">
                  <c:v>Podmioty wpisane do rejestru REGON na 10 tys. mieszkańców ogółem</c:v>
                </c:pt>
                <c:pt idx="1">
                  <c:v>Nowo zarejestrowane podmioty w rejestrze REGON na 10 tys. mieszkańców w wieku produkcyjnym</c:v>
                </c:pt>
              </c:strCache>
            </c:strRef>
          </c:cat>
          <c:val>
            <c:numRef>
              <c:f>'[LGD_ Bialskopodlaska.xlsx]gospodarka'!$B$74:$C$74</c:f>
              <c:numCache>
                <c:formatCode>0.0</c:formatCode>
                <c:ptCount val="2"/>
                <c:pt idx="0">
                  <c:v>27.5</c:v>
                </c:pt>
                <c:pt idx="1">
                  <c:v>31.25</c:v>
                </c:pt>
              </c:numCache>
            </c:numRef>
          </c:val>
          <c:extLst>
            <c:ext xmlns:c16="http://schemas.microsoft.com/office/drawing/2014/chart" uri="{C3380CC4-5D6E-409C-BE32-E72D297353CC}">
              <c16:uniqueId val="{00000004-00B0-47B5-9D96-85F9EE19F287}"/>
            </c:ext>
          </c:extLst>
        </c:ser>
        <c:ser>
          <c:idx val="1"/>
          <c:order val="1"/>
          <c:tx>
            <c:strRef>
              <c:f>'[LGD_ Bialskopodlaska.xlsx]gospodarka'!$A$75</c:f>
              <c:strCache>
                <c:ptCount val="1"/>
                <c:pt idx="0">
                  <c:v>województwo lubelskie</c:v>
                </c:pt>
              </c:strCache>
            </c:strRef>
          </c:tx>
          <c:spPr>
            <a:solidFill>
              <a:srgbClr val="9E480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'[LGD_ Bialskopodlaska.xlsx]gospodarka'!$B$28,'[LGD_ Bialskopodlaska.xlsx]gospodarka'!$H$28</c:f>
              <c:strCache>
                <c:ptCount val="2"/>
                <c:pt idx="0">
                  <c:v>Podmioty wpisane do rejestru REGON na 10 tys. mieszkańców ogółem</c:v>
                </c:pt>
                <c:pt idx="1">
                  <c:v>Nowo zarejestrowane podmioty w rejestrze REGON na 10 tys. mieszkańców w wieku produkcyjnym</c:v>
                </c:pt>
              </c:strCache>
            </c:strRef>
          </c:cat>
          <c:val>
            <c:numRef>
              <c:f>'[LGD_ Bialskopodlaska.xlsx]gospodarka'!$B$75:$C$75</c:f>
              <c:numCache>
                <c:formatCode>0.0</c:formatCode>
                <c:ptCount val="2"/>
                <c:pt idx="0">
                  <c:v>20</c:v>
                </c:pt>
                <c:pt idx="1">
                  <c:v>24.8</c:v>
                </c:pt>
              </c:numCache>
            </c:numRef>
          </c:val>
          <c:extLst>
            <c:ext xmlns:c16="http://schemas.microsoft.com/office/drawing/2014/chart" uri="{C3380CC4-5D6E-409C-BE32-E72D297353CC}">
              <c16:uniqueId val="{00000005-00B0-47B5-9D96-85F9EE19F287}"/>
            </c:ext>
          </c:extLst>
        </c:ser>
        <c:ser>
          <c:idx val="3"/>
          <c:order val="3"/>
          <c:tx>
            <c:strRef>
              <c:f>'[LGD_ Bialskopodlaska.xlsx]gospodarka'!$A$76</c:f>
              <c:strCache>
                <c:ptCount val="1"/>
                <c:pt idx="0">
                  <c:v>Polska</c:v>
                </c:pt>
              </c:strCache>
            </c:strRef>
          </c:tx>
          <c:spPr>
            <a:solidFill>
              <a:srgbClr val="63636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'[LGD_ Bialskopodlaska.xlsx]gospodarka'!$B$28,'[LGD_ Bialskopodlaska.xlsx]gospodarka'!$H$28</c:f>
              <c:strCache>
                <c:ptCount val="2"/>
                <c:pt idx="0">
                  <c:v>Podmioty wpisane do rejestru REGON na 10 tys. mieszkańców ogółem</c:v>
                </c:pt>
                <c:pt idx="1">
                  <c:v>Nowo zarejestrowane podmioty w rejestrze REGON na 10 tys. mieszkańców w wieku produkcyjnym</c:v>
                </c:pt>
              </c:strCache>
            </c:strRef>
          </c:cat>
          <c:val>
            <c:numRef>
              <c:f>'[LGD_ Bialskopodlaska.xlsx]gospodarka'!$B$76:$C$76</c:f>
              <c:numCache>
                <c:formatCode>0.0</c:formatCode>
                <c:ptCount val="2"/>
                <c:pt idx="0">
                  <c:v>15.1</c:v>
                </c:pt>
                <c:pt idx="1">
                  <c:v>10.884353741496598</c:v>
                </c:pt>
              </c:numCache>
            </c:numRef>
          </c:val>
          <c:extLst>
            <c:ext xmlns:c16="http://schemas.microsoft.com/office/drawing/2014/chart" uri="{C3380CC4-5D6E-409C-BE32-E72D297353CC}">
              <c16:uniqueId val="{00000006-00B0-47B5-9D96-85F9EE19F287}"/>
            </c:ext>
          </c:extLst>
        </c:ser>
        <c:dLbls>
          <c:dLblPos val="outEnd"/>
          <c:showLegendKey val="0"/>
          <c:showVal val="1"/>
          <c:showCatName val="0"/>
          <c:showSerName val="0"/>
          <c:showPercent val="0"/>
          <c:showBubbleSize val="0"/>
        </c:dLbls>
        <c:gapWidth val="150"/>
        <c:overlap val="-27"/>
        <c:axId val="1676227408"/>
        <c:axId val="1676216176"/>
        <c:extLst>
          <c:ext xmlns:c15="http://schemas.microsoft.com/office/drawing/2012/chart" uri="{02D57815-91ED-43cb-92C2-25804820EDAC}">
            <c15:filteredBarSeries>
              <c15:ser>
                <c:idx val="2"/>
                <c:order val="2"/>
                <c:tx>
                  <c:strRef>
                    <c:extLst>
                      <c:ext uri="{02D57815-91ED-43cb-92C2-25804820EDAC}">
                        <c15:formulaRef>
                          <c15:sqref>gospodarka!#REF!</c15:sqref>
                        </c15:formulaRef>
                      </c:ext>
                    </c:extLst>
                    <c:strCache>
                      <c:ptCount val="1"/>
                      <c:pt idx="0">
                        <c:v>#REF!</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'[LGD_ Bialskopodlaska.xlsx]gospodarka'!$B$28,'[LGD_ Bialskopodlaska.xlsx]gospodarka'!$H$28</c15:sqref>
                        </c15:formulaRef>
                      </c:ext>
                    </c:extLst>
                    <c:strCache>
                      <c:ptCount val="2"/>
                      <c:pt idx="0">
                        <c:v>Podmioty wpisane do rejestru REGON na 10 tys. mieszkańców ogółem</c:v>
                      </c:pt>
                      <c:pt idx="1">
                        <c:v>Nowo zarejestrowane podmioty w rejestrze REGON na 10 tys. mieszkańców w wieku produkcyjnym</c:v>
                      </c:pt>
                    </c:strCache>
                  </c:strRef>
                </c:cat>
                <c:val>
                  <c:numRef>
                    <c:extLst>
                      <c:ext uri="{02D57815-91ED-43cb-92C2-25804820EDAC}">
                        <c15:formulaRef>
                          <c15:sqref>gospodarka!#REF!</c15:sqref>
                        </c15:formulaRef>
                      </c:ext>
                    </c:extLst>
                    <c:numCache>
                      <c:formatCode>General</c:formatCode>
                      <c:ptCount val="1"/>
                      <c:pt idx="0">
                        <c:v>1</c:v>
                      </c:pt>
                    </c:numCache>
                  </c:numRef>
                </c:val>
                <c:extLst>
                  <c:ext xmlns:c16="http://schemas.microsoft.com/office/drawing/2014/chart" uri="{C3380CC4-5D6E-409C-BE32-E72D297353CC}">
                    <c16:uniqueId val="{00000007-00B0-47B5-9D96-85F9EE19F287}"/>
                  </c:ext>
                </c:extLst>
              </c15:ser>
            </c15:filteredBarSeries>
          </c:ext>
        </c:extLst>
      </c:barChart>
      <c:catAx>
        <c:axId val="167622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76216176"/>
        <c:crosses val="autoZero"/>
        <c:auto val="1"/>
        <c:lblAlgn val="ctr"/>
        <c:lblOffset val="100"/>
        <c:noMultiLvlLbl val="0"/>
      </c:catAx>
      <c:valAx>
        <c:axId val="167621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7622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'[LGD_ Bialskopodlaska.xlsx]gospodarka'!$T$103</c:f>
              <c:strCache>
                <c:ptCount val="1"/>
                <c:pt idx="0">
                  <c:v>Fundacje, stowarzyszenia, organizacje społeczne na 10 tys. mieszkańców </c:v>
                </c:pt>
              </c:strCache>
            </c:strRef>
          </c:tx>
          <c:spPr>
            <a:solidFill>
              <a:schemeClr val="accent1"/>
            </a:solidFill>
            <a:ln>
              <a:noFill/>
            </a:ln>
            <a:effectLst/>
          </c:spPr>
          <c:invertIfNegative val="0"/>
          <c:dPt>
            <c:idx val="0"/>
            <c:invertIfNegative val="0"/>
            <c:bubble3D val="0"/>
            <c:spPr>
              <a:solidFill>
                <a:srgbClr val="8EB4E3"/>
              </a:solidFill>
              <a:ln>
                <a:noFill/>
              </a:ln>
              <a:effectLst/>
            </c:spPr>
            <c:extLst>
              <c:ext xmlns:c16="http://schemas.microsoft.com/office/drawing/2014/chart" uri="{C3380CC4-5D6E-409C-BE32-E72D297353CC}">
                <c16:uniqueId val="{00000001-C879-4F8F-B50C-09390FF1A68D}"/>
              </c:ext>
            </c:extLst>
          </c:dPt>
          <c:dPt>
            <c:idx val="1"/>
            <c:invertIfNegative val="0"/>
            <c:bubble3D val="0"/>
            <c:spPr>
              <a:solidFill>
                <a:srgbClr val="9E480E"/>
              </a:solidFill>
              <a:ln>
                <a:noFill/>
              </a:ln>
              <a:effectLst/>
            </c:spPr>
            <c:extLst>
              <c:ext xmlns:c16="http://schemas.microsoft.com/office/drawing/2014/chart" uri="{C3380CC4-5D6E-409C-BE32-E72D297353CC}">
                <c16:uniqueId val="{00000003-C879-4F8F-B50C-09390FF1A68D}"/>
              </c:ext>
            </c:extLst>
          </c:dPt>
          <c:dPt>
            <c:idx val="2"/>
            <c:invertIfNegative val="0"/>
            <c:bubble3D val="0"/>
            <c:spPr>
              <a:solidFill>
                <a:srgbClr val="636363"/>
              </a:solidFill>
              <a:ln>
                <a:noFill/>
              </a:ln>
              <a:effectLst/>
            </c:spPr>
            <c:extLst>
              <c:ext xmlns:c16="http://schemas.microsoft.com/office/drawing/2014/chart" uri="{C3380CC4-5D6E-409C-BE32-E72D297353CC}">
                <c16:uniqueId val="{00000005-C879-4F8F-B50C-09390FF1A68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'[LGD_ Bialskopodlaska.xlsx]gospodarka'!$A$124:$A$126</c:f>
              <c:strCache>
                <c:ptCount val="3"/>
                <c:pt idx="0">
                  <c:v>LGD</c:v>
                </c:pt>
                <c:pt idx="1">
                  <c:v>województwo lubelskie</c:v>
                </c:pt>
                <c:pt idx="2">
                  <c:v>Polska</c:v>
                </c:pt>
              </c:strCache>
            </c:strRef>
          </c:cat>
          <c:val>
            <c:numRef>
              <c:f>'[LGD_ Bialskopodlaska.xlsx]gospodarka'!$Y$124:$Y$126</c:f>
              <c:numCache>
                <c:formatCode>#,##0</c:formatCode>
                <c:ptCount val="3"/>
                <c:pt idx="0">
                  <c:v>34.088554908940246</c:v>
                </c:pt>
                <c:pt idx="1">
                  <c:v>40.862503489429173</c:v>
                </c:pt>
                <c:pt idx="2">
                  <c:v>40.678132386753909</c:v>
                </c:pt>
              </c:numCache>
            </c:numRef>
          </c:val>
          <c:extLst>
            <c:ext xmlns:c16="http://schemas.microsoft.com/office/drawing/2014/chart" uri="{C3380CC4-5D6E-409C-BE32-E72D297353CC}">
              <c16:uniqueId val="{00000006-C879-4F8F-B50C-09390FF1A68D}"/>
            </c:ext>
          </c:extLst>
        </c:ser>
        <c:dLbls>
          <c:dLblPos val="outEnd"/>
          <c:showLegendKey val="0"/>
          <c:showVal val="1"/>
          <c:showCatName val="0"/>
          <c:showSerName val="0"/>
          <c:showPercent val="0"/>
          <c:showBubbleSize val="0"/>
        </c:dLbls>
        <c:gapWidth val="150"/>
        <c:overlap val="-27"/>
        <c:axId val="1671151999"/>
        <c:axId val="1671152831"/>
      </c:barChart>
      <c:catAx>
        <c:axId val="1671151999"/>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71152831"/>
        <c:crosses val="autoZero"/>
        <c:auto val="1"/>
        <c:lblAlgn val="ctr"/>
        <c:lblOffset val="100"/>
        <c:noMultiLvlLbl val="0"/>
      </c:catAx>
      <c:valAx>
        <c:axId val="1671152831"/>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6711519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'finanse samorządowe'!$C$132</c:f>
              <c:strCache>
                <c:ptCount val="1"/>
              </c:strCache>
            </c:strRef>
          </c:tx>
          <c:spPr>
            <a:solidFill>
              <a:schemeClr val="accent1"/>
            </a:solidFill>
            <a:ln>
              <a:noFill/>
            </a:ln>
            <a:effectLst/>
          </c:spPr>
          <c:invertIfNegative val="0"/>
          <c:dPt>
            <c:idx val="0"/>
            <c:invertIfNegative val="0"/>
            <c:bubble3D val="0"/>
            <c:spPr>
              <a:solidFill>
                <a:srgbClr val="8EB4E3"/>
              </a:solidFill>
              <a:ln>
                <a:noFill/>
              </a:ln>
              <a:effectLst/>
            </c:spPr>
            <c:extLst>
              <c:ext xmlns:c16="http://schemas.microsoft.com/office/drawing/2014/chart" uri="{C3380CC4-5D6E-409C-BE32-E72D297353CC}">
                <c16:uniqueId val="{00000001-06B9-4134-A8C2-4C0EEF2BED65}"/>
              </c:ext>
            </c:extLst>
          </c:dPt>
          <c:dPt>
            <c:idx val="1"/>
            <c:invertIfNegative val="0"/>
            <c:bubble3D val="0"/>
            <c:spPr>
              <a:solidFill>
                <a:srgbClr val="9E480E"/>
              </a:solidFill>
              <a:ln>
                <a:noFill/>
              </a:ln>
              <a:effectLst/>
            </c:spPr>
            <c:extLst>
              <c:ext xmlns:c16="http://schemas.microsoft.com/office/drawing/2014/chart" uri="{C3380CC4-5D6E-409C-BE32-E72D297353CC}">
                <c16:uniqueId val="{00000003-06B9-4134-A8C2-4C0EEF2BED65}"/>
              </c:ext>
            </c:extLst>
          </c:dPt>
          <c:dPt>
            <c:idx val="2"/>
            <c:invertIfNegative val="0"/>
            <c:bubble3D val="0"/>
            <c:spPr>
              <a:solidFill>
                <a:srgbClr val="636363"/>
              </a:solidFill>
              <a:ln>
                <a:noFill/>
              </a:ln>
              <a:effectLst/>
            </c:spPr>
            <c:extLst>
              <c:ext xmlns:c16="http://schemas.microsoft.com/office/drawing/2014/chart" uri="{C3380CC4-5D6E-409C-BE32-E72D297353CC}">
                <c16:uniqueId val="{00000005-06B9-4134-A8C2-4C0EEF2BED65}"/>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'finanse samorządowe'!$B$102:$B$104</c:f>
              <c:strCache>
                <c:ptCount val="3"/>
                <c:pt idx="0">
                  <c:v>LGD</c:v>
                </c:pt>
                <c:pt idx="1">
                  <c:v>województwo lubelskie</c:v>
                </c:pt>
                <c:pt idx="2">
                  <c:v>Polska</c:v>
                </c:pt>
              </c:strCache>
            </c:strRef>
          </c:cat>
          <c:val>
            <c:numRef>
              <c:f>'finanse samorządowe'!$H$155:$H$157</c:f>
              <c:numCache>
                <c:formatCode>#,##0</c:formatCode>
                <c:ptCount val="3"/>
                <c:pt idx="0">
                  <c:v>624.29999999999995</c:v>
                </c:pt>
                <c:pt idx="1">
                  <c:v>953.6</c:v>
                </c:pt>
                <c:pt idx="2">
                  <c:v>1395.9</c:v>
                </c:pt>
              </c:numCache>
            </c:numRef>
          </c:val>
          <c:extLst>
            <c:ext xmlns:c16="http://schemas.microsoft.com/office/drawing/2014/chart" uri="{C3380CC4-5D6E-409C-BE32-E72D297353CC}">
              <c16:uniqueId val="{00000006-06B9-4134-A8C2-4C0EEF2BED65}"/>
            </c:ext>
          </c:extLst>
        </c:ser>
        <c:dLbls>
          <c:dLblPos val="outEnd"/>
          <c:showLegendKey val="0"/>
          <c:showVal val="1"/>
          <c:showCatName val="0"/>
          <c:showSerName val="0"/>
          <c:showPercent val="0"/>
          <c:showBubbleSize val="0"/>
        </c:dLbls>
        <c:gapWidth val="150"/>
        <c:overlap val="-27"/>
        <c:axId val="1189011151"/>
        <c:axId val="1188987439"/>
      </c:barChart>
      <c:catAx>
        <c:axId val="118901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188987439"/>
        <c:crosses val="autoZero"/>
        <c:auto val="1"/>
        <c:lblAlgn val="ctr"/>
        <c:lblOffset val="100"/>
        <c:noMultiLvlLbl val="0"/>
      </c:catAx>
      <c:valAx>
        <c:axId val="11889874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1890111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8EB4E3"/>
              </a:solidFill>
              <a:ln>
                <a:noFill/>
              </a:ln>
              <a:effectLst/>
            </c:spPr>
            <c:extLst>
              <c:ext xmlns:c16="http://schemas.microsoft.com/office/drawing/2014/chart" uri="{C3380CC4-5D6E-409C-BE32-E72D297353CC}">
                <c16:uniqueId val="{00000001-A59A-4F94-9046-D73E60EF4E4C}"/>
              </c:ext>
            </c:extLst>
          </c:dPt>
          <c:dPt>
            <c:idx val="1"/>
            <c:invertIfNegative val="0"/>
            <c:bubble3D val="0"/>
            <c:spPr>
              <a:solidFill>
                <a:srgbClr val="9E480E"/>
              </a:solidFill>
              <a:ln>
                <a:noFill/>
              </a:ln>
              <a:effectLst/>
            </c:spPr>
            <c:extLst>
              <c:ext xmlns:c16="http://schemas.microsoft.com/office/drawing/2014/chart" uri="{C3380CC4-5D6E-409C-BE32-E72D297353CC}">
                <c16:uniqueId val="{00000003-A59A-4F94-9046-D73E60EF4E4C}"/>
              </c:ext>
            </c:extLst>
          </c:dPt>
          <c:dPt>
            <c:idx val="2"/>
            <c:invertIfNegative val="0"/>
            <c:bubble3D val="0"/>
            <c:spPr>
              <a:solidFill>
                <a:srgbClr val="636363"/>
              </a:solidFill>
              <a:ln>
                <a:noFill/>
              </a:ln>
              <a:effectLst/>
            </c:spPr>
            <c:extLst>
              <c:ext xmlns:c16="http://schemas.microsoft.com/office/drawing/2014/chart" uri="{C3380CC4-5D6E-409C-BE32-E72D297353CC}">
                <c16:uniqueId val="{00000005-A59A-4F94-9046-D73E60EF4E4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'pomoc społeczna'!$B$23:$B$25</c:f>
              <c:strCache>
                <c:ptCount val="3"/>
                <c:pt idx="0">
                  <c:v>LGD</c:v>
                </c:pt>
                <c:pt idx="1">
                  <c:v>województwo lubelskie</c:v>
                </c:pt>
                <c:pt idx="2">
                  <c:v>Polska</c:v>
                </c:pt>
              </c:strCache>
            </c:strRef>
          </c:cat>
          <c:val>
            <c:numRef>
              <c:f>'pomoc społeczna'!$X$23:$X$25</c:f>
              <c:numCache>
                <c:formatCode>0.0</c:formatCode>
                <c:ptCount val="3"/>
                <c:pt idx="0">
                  <c:v>5.5</c:v>
                </c:pt>
                <c:pt idx="1">
                  <c:v>4.2</c:v>
                </c:pt>
                <c:pt idx="2">
                  <c:v>3.7</c:v>
                </c:pt>
              </c:numCache>
            </c:numRef>
          </c:val>
          <c:extLst>
            <c:ext xmlns:c16="http://schemas.microsoft.com/office/drawing/2014/chart" uri="{C3380CC4-5D6E-409C-BE32-E72D297353CC}">
              <c16:uniqueId val="{00000006-A59A-4F94-9046-D73E60EF4E4C}"/>
            </c:ext>
          </c:extLst>
        </c:ser>
        <c:dLbls>
          <c:dLblPos val="outEnd"/>
          <c:showLegendKey val="0"/>
          <c:showVal val="1"/>
          <c:showCatName val="0"/>
          <c:showSerName val="0"/>
          <c:showPercent val="0"/>
          <c:showBubbleSize val="0"/>
        </c:dLbls>
        <c:gapWidth val="219"/>
        <c:overlap val="-27"/>
        <c:axId val="586925944"/>
        <c:axId val="586924864"/>
      </c:barChart>
      <c:catAx>
        <c:axId val="58692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86924864"/>
        <c:crosses val="autoZero"/>
        <c:auto val="1"/>
        <c:lblAlgn val="ctr"/>
        <c:lblOffset val="100"/>
        <c:noMultiLvlLbl val="0"/>
      </c:catAx>
      <c:valAx>
        <c:axId val="5869248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86925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'[LGD_ Bialskopodlaska.xlsx]środowisko'!$B$59</c:f>
              <c:strCache>
                <c:ptCount val="1"/>
                <c:pt idx="0">
                  <c:v>LGD</c:v>
                </c:pt>
              </c:strCache>
            </c:strRef>
          </c:tx>
          <c:spPr>
            <a:solidFill>
              <a:srgbClr val="8EB4E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'[LGD_ Bialskopodlaska.xlsx]środowisko'!$C$58:$E$58</c:f>
              <c:strCache>
                <c:ptCount val="3"/>
                <c:pt idx="0">
                  <c:v>wodociągi</c:v>
                </c:pt>
                <c:pt idx="1">
                  <c:v>kanalizacja</c:v>
                </c:pt>
                <c:pt idx="2">
                  <c:v>gaz</c:v>
                </c:pt>
              </c:strCache>
            </c:strRef>
          </c:cat>
          <c:val>
            <c:numRef>
              <c:f>'[LGD_ Bialskopodlaska.xlsx]środowisko'!$C$59:$E$59</c:f>
              <c:numCache>
                <c:formatCode>General</c:formatCode>
                <c:ptCount val="3"/>
                <c:pt idx="0" formatCode="0.0">
                  <c:v>79.373684210526292</c:v>
                </c:pt>
                <c:pt idx="1">
                  <c:v>32.6</c:v>
                </c:pt>
                <c:pt idx="2" formatCode="0.0">
                  <c:v>3.542105263157894</c:v>
                </c:pt>
              </c:numCache>
            </c:numRef>
          </c:val>
          <c:extLst>
            <c:ext xmlns:c16="http://schemas.microsoft.com/office/drawing/2014/chart" uri="{C3380CC4-5D6E-409C-BE32-E72D297353CC}">
              <c16:uniqueId val="{00000000-46F1-4A76-B99D-5378D5540229}"/>
            </c:ext>
          </c:extLst>
        </c:ser>
        <c:ser>
          <c:idx val="1"/>
          <c:order val="1"/>
          <c:tx>
            <c:strRef>
              <c:f>'[LGD_ Bialskopodlaska.xlsx]środowisko'!$B$60</c:f>
              <c:strCache>
                <c:ptCount val="1"/>
                <c:pt idx="0">
                  <c:v>województwo lubelskie</c:v>
                </c:pt>
              </c:strCache>
            </c:strRef>
          </c:tx>
          <c:spPr>
            <a:solidFill>
              <a:srgbClr val="9E480E"/>
            </a:solidFill>
            <a:ln>
              <a:solidFill>
                <a:srgbClr val="9E480E"/>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'[LGD_ Bialskopodlaska.xlsx]środowisko'!$C$58:$E$58</c:f>
              <c:strCache>
                <c:ptCount val="3"/>
                <c:pt idx="0">
                  <c:v>wodociągi</c:v>
                </c:pt>
                <c:pt idx="1">
                  <c:v>kanalizacja</c:v>
                </c:pt>
                <c:pt idx="2">
                  <c:v>gaz</c:v>
                </c:pt>
              </c:strCache>
            </c:strRef>
          </c:cat>
          <c:val>
            <c:numRef>
              <c:f>'[LGD_ Bialskopodlaska.xlsx]środowisko'!$C$60:$E$60</c:f>
              <c:numCache>
                <c:formatCode>General</c:formatCode>
                <c:ptCount val="3"/>
                <c:pt idx="0" formatCode="0.0">
                  <c:v>87.4</c:v>
                </c:pt>
                <c:pt idx="1">
                  <c:v>53.9</c:v>
                </c:pt>
                <c:pt idx="2" formatCode="0.0">
                  <c:v>43.8</c:v>
                </c:pt>
              </c:numCache>
            </c:numRef>
          </c:val>
          <c:extLst>
            <c:ext xmlns:c16="http://schemas.microsoft.com/office/drawing/2014/chart" uri="{C3380CC4-5D6E-409C-BE32-E72D297353CC}">
              <c16:uniqueId val="{00000001-46F1-4A76-B99D-5378D5540229}"/>
            </c:ext>
          </c:extLst>
        </c:ser>
        <c:ser>
          <c:idx val="2"/>
          <c:order val="2"/>
          <c:tx>
            <c:strRef>
              <c:f>'[LGD_ Bialskopodlaska.xlsx]środowisko'!$B$61</c:f>
              <c:strCache>
                <c:ptCount val="1"/>
                <c:pt idx="0">
                  <c:v>Polska</c:v>
                </c:pt>
              </c:strCache>
            </c:strRef>
          </c:tx>
          <c:spPr>
            <a:solidFill>
              <a:srgbClr val="63636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'[LGD_ Bialskopodlaska.xlsx]środowisko'!$C$58:$E$58</c:f>
              <c:strCache>
                <c:ptCount val="3"/>
                <c:pt idx="0">
                  <c:v>wodociągi</c:v>
                </c:pt>
                <c:pt idx="1">
                  <c:v>kanalizacja</c:v>
                </c:pt>
                <c:pt idx="2">
                  <c:v>gaz</c:v>
                </c:pt>
              </c:strCache>
            </c:strRef>
          </c:cat>
          <c:val>
            <c:numRef>
              <c:f>'[LGD_ Bialskopodlaska.xlsx]środowisko'!$C$61:$E$61</c:f>
              <c:numCache>
                <c:formatCode>General</c:formatCode>
                <c:ptCount val="3"/>
                <c:pt idx="0" formatCode="0.0">
                  <c:v>92.2</c:v>
                </c:pt>
                <c:pt idx="1">
                  <c:v>71.5</c:v>
                </c:pt>
                <c:pt idx="2" formatCode="0.0">
                  <c:v>54.2</c:v>
                </c:pt>
              </c:numCache>
            </c:numRef>
          </c:val>
          <c:extLst>
            <c:ext xmlns:c16="http://schemas.microsoft.com/office/drawing/2014/chart" uri="{C3380CC4-5D6E-409C-BE32-E72D297353CC}">
              <c16:uniqueId val="{00000002-46F1-4A76-B99D-5378D5540229}"/>
            </c:ext>
          </c:extLst>
        </c:ser>
        <c:dLbls>
          <c:showLegendKey val="0"/>
          <c:showVal val="0"/>
          <c:showCatName val="0"/>
          <c:showSerName val="0"/>
          <c:showPercent val="0"/>
          <c:showBubbleSize val="0"/>
        </c:dLbls>
        <c:gapWidth val="219"/>
        <c:overlap val="-27"/>
        <c:axId val="936312560"/>
        <c:axId val="936309648"/>
      </c:barChart>
      <c:catAx>
        <c:axId val="93631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936309648"/>
        <c:crosses val="autoZero"/>
        <c:auto val="1"/>
        <c:lblAlgn val="ctr"/>
        <c:lblOffset val="100"/>
        <c:noMultiLvlLbl val="0"/>
      </c:catAx>
      <c:valAx>
        <c:axId val="936309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93631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B9B8-3D7E-4460-9EB9-5EC4FB2F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33272</Words>
  <Characters>199636</Characters>
  <Application>Microsoft Office Word</Application>
  <DocSecurity>0</DocSecurity>
  <Lines>1663</Lines>
  <Paragraphs>464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Ciach</dc:creator>
  <cp:keywords/>
  <dc:description/>
  <cp:lastModifiedBy>BLGD Biała Podlaska</cp:lastModifiedBy>
  <cp:revision>2</cp:revision>
  <cp:lastPrinted>2023-05-02T21:13:00Z</cp:lastPrinted>
  <dcterms:created xsi:type="dcterms:W3CDTF">2023-05-26T08:09:00Z</dcterms:created>
  <dcterms:modified xsi:type="dcterms:W3CDTF">2023-05-26T08:09:00Z</dcterms:modified>
</cp:coreProperties>
</file>